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Výbor pro občanské svobody, spravedlnost a vnitřní věci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2025/2118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{24/06/2026}</w:t>
      </w:r>
      <w:r>
        <w:t>24.06.2026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STANOVISKO</w:t>
      </w:r>
      <w:r>
        <w:rPr>
          <w:rStyle w:val="HideTWBExt"/>
        </w:rPr>
        <w:t>&lt;/TitreType&gt;</w:t>
      </w:r>
    </w:p>
    <w:p>
      <w:pPr>
        <w:pStyle w:val="CoverNormal24a"/>
      </w:pPr>
      <w:r>
        <w:rPr>
          <w:rStyle w:val="HideTWBExt"/>
        </w:rPr>
        <w:t>&lt;CommissionResp&gt;</w:t>
      </w:r>
      <w:r>
        <w:t>Výboru pro občanské svobody, spravedlnost a vnitřní věci</w:t>
      </w:r>
      <w:r>
        <w:rPr>
          <w:rStyle w:val="HideTWBExt"/>
        </w:rPr>
        <w:t>&lt;/CommissionResp&gt;</w:t>
      </w:r>
    </w:p>
    <w:p>
      <w:pPr>
        <w:pStyle w:val="CoverNormal24a"/>
      </w:pPr>
      <w:r>
        <w:rPr>
          <w:rStyle w:val="HideTWBExt"/>
        </w:rPr>
        <w:t>&lt;CommissionInt&gt;</w:t>
      </w:r>
      <w:r>
        <w:t>pro Výbor pro ústavní záležitosti</w:t>
      </w:r>
      <w:r>
        <w:rPr>
          <w:rStyle w:val="HideTWBExt"/>
        </w:rPr>
        <w:t>&lt;/CommissionInt&gt;</w:t>
      </w:r>
    </w:p>
    <w:p>
      <w:pPr>
        <w:pStyle w:val="CoverNormal"/>
      </w:pPr>
      <w:r>
        <w:rPr>
          <w:rStyle w:val="HideTWBExt"/>
        </w:rPr>
        <w:t>&lt;Titre&gt;</w:t>
      </w:r>
      <w:r>
        <w:t>k institucionálním aspektům umělé inteligence v kontextu evropské integrace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(2025/2118(INI))</w:t>
      </w:r>
      <w:r>
        <w:rPr>
          <w:rStyle w:val="HideTWBExt"/>
        </w:rPr>
        <w:t>&lt;/DocRef&gt;</w:t>
      </w:r>
    </w:p>
    <w:p>
      <w:pPr>
        <w:pStyle w:val="CoverNormal24a"/>
      </w:pPr>
      <w:r>
        <w:t xml:space="preserve">Zpravodaj: </w:t>
      </w:r>
      <w:r>
        <w:rPr>
          <w:rStyle w:val="HideTWBExt"/>
        </w:rPr>
        <w:t>&lt;Depute&gt;</w:t>
      </w:r>
      <w:r>
        <w:t>Lukas Mandl</w:t>
      </w:r>
      <w:r>
        <w:rPr>
          <w:rStyle w:val="HideTWBExt"/>
        </w:rPr>
        <w:t>&lt;/Depute&gt;</w:t>
      </w:r>
    </w:p>
    <w:p>
      <w:r>
        <w:br w:type="page"/>
      </w:r>
      <w:r>
        <w:t>PA_NonLeg</w:t>
      </w:r>
    </w:p>
    <w:p>
      <w:pPr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9" w:h="16834"/>
          <w:pgMar w:top="1134" w:right="1417" w:bottom="1417" w:left="1417" w:header="1134" w:footer="567"/>
          <w:cols w:space="720"/>
          <w:titlePg/>
        </w:sectPr>
      </w:pPr>
    </w:p>
    <w:p>
      <w:pPr>
        <w:pStyle w:val="PageHeadingNotTOC"/>
      </w:pPr>
      <w:r>
        <w:t>POZMĚŇOVACÍ NÁVRHY</w:t>
      </w:r>
    </w:p>
    <w:p>
      <w:pPr>
        <w:pStyle w:val="Normal12a"/>
      </w:pPr>
      <w:r>
        <w:t xml:space="preserve">Výbor pro občanské svobody, spravedlnost a vnitřní věci </w:t>
      </w:r>
      <w:r>
        <w:t xml:space="preserve"> </w:t>
      </w:r>
      <w:r>
        <w:t>předkládá Výboru pro ústavní záležitosti jako příslušnému výboru</w:t>
      </w:r>
      <w:r>
        <w:t xml:space="preserve"> </w:t>
      </w:r>
      <w:r>
        <w:t>:</w:t>
      </w:r>
    </w:p>
    <w:p>
      <w:pPr>
        <w:pStyle w:val="AmNumberTabs"/>
      </w:pP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s ohledem na Smlouvu o fungování Evropské unie (dále jen „SFEU“), a zejména na články 16, 114, 173, 179, 180 a 181 této smlouvy,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s ohledem na Smlouvu o fungování Evropské unie (dále jen „SFEU“), a zejména na články 16, </w:t>
            </w:r>
            <w:r>
              <w:rPr>
                <w:b/>
                <w:i/>
              </w:rPr>
              <w:t>26,</w:t>
            </w:r>
            <w:r>
              <w:t xml:space="preserve"> 114, 173, 179, 180 a 181 této smlouvy,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s ohledem na Rámcovou úmluvu Rady Evropy o umělé inteligenci a lidských právech, demokracii a právním státu podepsanou dne 5. září 2024,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s ohledem na Rámcovou úmluvu Rady Evropy o umělé inteligenci a lidských právech, demokracii a právním státu podepsanou dne 5. září 2024</w:t>
            </w:r>
            <w:r>
              <w:rPr>
                <w:b/>
                <w:i/>
              </w:rPr>
              <w:t xml:space="preserve"> (dále jen „rámcová úmluva Rady Evropy o AI“)</w:t>
            </w:r>
            <w:r>
              <w:t>,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s ohledem na nařízení Evropského parlamentu a Rady (EU) 2024/1689 ze dne 13. června 2024, kterým se stanoví harmonizovaná pravidla pro umělou inteligenci a mění nařízení (ES) č. 300/2008, (EU) č. 167/2013, (EU) č. 168/2013, (EU) 2018/858, (EU) 2018/1139 a (EU) 2019/2144 a směrnice 2014/90/EU, (EU) 2016/797 a (EU) 2020/1828 (akt o umělé inteligenci)</w:t>
            </w:r>
            <w:r>
              <w:rPr>
                <w:vertAlign w:val="superscript"/>
              </w:rPr>
              <w:t>1</w:t>
            </w:r>
            <w: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(Netýká se českého znění.)</w:t>
            </w:r>
            <w:r>
              <w:rPr>
                <w:vertAlign w:val="superscript"/>
              </w:rPr>
              <w:t>1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Úř. věst. L, 2024/1689, 12.7.2024, ELI: http://data.europa.eu/eli/reg/2024/1689/oj.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Úř. věst. L, 2024/1689, 12.7.2024, ELI: http://data.europa.eu/eli/reg/2024/1689/oj.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5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rPr>
                <w:b/>
                <w:i/>
              </w:rPr>
              <w:t>s ohledem na návrh nařízení Evropského parlamentu a Rady, kterým se mění nařízení (EU) 2024/1689 a (EU) 2018/1139, pokud jde o zjednodušení provádění harmonizovaných pravidel pro umělou inteligenci (souhrnný balíček pro digitální oblast týkající se umělé inteligence), který dne 19. listopadu 2025 předložila Komise (</w:t>
            </w:r>
            <w:r>
              <w:rPr>
                <w:b/>
                <w:i/>
              </w:rPr>
              <w:t>COM(2025)0836</w:t>
            </w:r>
            <w:r>
              <w:rPr>
                <w:b/>
                <w:i/>
              </w:rPr>
              <w:t>),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rPr>
                <w:b/>
                <w:i/>
              </w:rPr>
              <w:t>s ohledem na návrh nařízení Evropského parlamentu a Rady, kterým se mění nařízení (EU) 2016/679, (EU) 2018/1724, (EU) 2018/1725, (EU) 2023/2854 a směrnice 2002/58/ES, (EU) 2022/2555 a (EU) 2022/2557, pokud jde o zjednodušení digitálního právního rámce, a kterým se zrušují nařízení (EU) 2018/1807, (EU) 2019/1150, (EU) 2022/868 a směrnice (EU) 2019/1024 (souhrnný balíček pro digitální oblast), který dne 19. listopadu 2025 předložila Komise (</w:t>
            </w:r>
            <w:r>
              <w:rPr>
                <w:b/>
                <w:i/>
              </w:rPr>
              <w:t>COM(2025)0837</w:t>
            </w:r>
            <w:r>
              <w:rPr>
                <w:b/>
                <w:i/>
              </w:rPr>
              <w:t>),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 tomu, že článek 2 SEU </w:t>
            </w:r>
            <w:r>
              <w:rPr>
                <w:b/>
                <w:i/>
              </w:rPr>
              <w:t>se zabývá ústavní identitou EU a legitimizuje</w:t>
            </w:r>
            <w:r>
              <w:t xml:space="preserve"> kontrolu umělé inteligence Parlamentem </w:t>
            </w:r>
            <w:r>
              <w:rPr>
                <w:b/>
                <w:i/>
              </w:rPr>
              <w:t>v případech, kdy její nasazení může ovlivnit základní hodnoty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 tomu, že článek 2 SEU </w:t>
            </w:r>
            <w:r>
              <w:rPr>
                <w:b/>
                <w:i/>
              </w:rPr>
              <w:t xml:space="preserve">stanoví základní společné hodnoty, na nichž je Unie založena, a představuje významný ústavní rámec pro </w:t>
            </w:r>
            <w:r>
              <w:t xml:space="preserve">kontrolu umělé inteligence Parlamentem </w:t>
            </w:r>
            <w:r>
              <w:rPr>
                <w:b/>
                <w:i/>
              </w:rPr>
              <w:t>na základě těchto základních hodnot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AA.</w:t>
            </w:r>
            <w:r>
              <w:tab/>
            </w:r>
            <w:r>
              <w:rPr>
                <w:b/>
                <w:i/>
              </w:rPr>
              <w:t>vzhledem k tomu, že Smlouvy a Listina základních práv Evropské unie tvoří základ pro ochranu základních práv v EU; vzhledem k tomu, že tyto zásady představují důležitý zastřešující rámec pro tvorbu politik EU, a to i v oblasti umělé inteligence;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 tomu, že v souladu s články 10, 11 a 14 SEU nese Parlament zvláštní odpovědnost za zajištění demokratické odpovědnosti, transparentnosti a účinné kontroly technologického vývoje ovlivňujícího fungování orgánů EU; vzhledem k tomu, že bezpečný, etický a právně konformní vývoj a zavádění umělé inteligence vyžadují robustní rámce řízení založené na Smlouvách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 tomu, že v souladu s články 10, 11 a 14 SEU nese Parlament zvláštní odpovědnost za zajištění demokratické odpovědnosti, transparentnosti a účinné kontroly technologického vývoje ovlivňujícího fungování orgánů EU; vzhledem k tomu, že bezpečný, etický a právně konformní vývoj a zavádění umělé inteligence vyžadují robustní rámce řízení založené </w:t>
            </w:r>
            <w:r>
              <w:rPr>
                <w:b/>
                <w:i/>
              </w:rPr>
              <w:t xml:space="preserve">v právních předpisech EU, </w:t>
            </w:r>
            <w:r>
              <w:t>na Smlouvách EU</w:t>
            </w:r>
            <w:r>
              <w:rPr>
                <w:b/>
                <w:i/>
              </w:rPr>
              <w:t xml:space="preserve"> a mezinárodních úmluvách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BA.</w:t>
            </w:r>
            <w:r>
              <w:tab/>
            </w:r>
            <w:r>
              <w:rPr>
                <w:b/>
                <w:i/>
              </w:rPr>
              <w:t>vzhledem k tomu, že institucionální přístup EU k umělé inteligenci musí zajistit, aby regulační rámce zůstaly přiměřené a nevytvářely zbytečnou administrativní zátěž; vzhledem k tomu, že správní struktury EU v oblasti umělé inteligence by měly aktivně podporovat prostředí, jež umožňuje inovace, které inovátorům v EU pomohou konkurovat v celosvětovém měřítku a zároveň dodržovat základní práva; vzhledem k tomu, že takový přístup v oblasti umělé inteligence má zásadní význam nejen pro konkurenceschopnost EU, ale také pro její bezpečnost, technologickou suverenitu a strategickou autonomii;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 tomu, že akt o umělé inteligenci zavádí první komplexní regulační rámec pro umělou inteligenci na světě; vzhledem k tomu, že umělá inteligence postupuje nebývalým tempem a mění hospodářskou činnost, veřejnou správu a společenské interakce;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 tomu, že akt o umělé inteligenci</w:t>
            </w:r>
            <w:r>
              <w:rPr>
                <w:b/>
                <w:i/>
              </w:rPr>
              <w:t xml:space="preserve"> (</w:t>
            </w:r>
            <w:r>
              <w:rPr>
                <w:b/>
                <w:i/>
              </w:rPr>
              <w:t>akt o AI)</w:t>
            </w:r>
            <w:r>
              <w:t xml:space="preserve"> zavádí první komplexní regulační rámec pro umělou inteligenci na světě;</w:t>
            </w:r>
            <w:r>
              <w:rPr>
                <w:b/>
                <w:i/>
              </w:rPr>
              <w:t xml:space="preserve"> vzhledem k tomu, že se jedná o spolehlivý soubor pravidel upravujících poskytování a zavádění umělé inteligence na vnitřním trhu, který podporuje inovace a prosazuje zavádění důvěryhodné umělé inteligence zaměřené na člověka a stanoví v celosvětovém měřítku vysoký standard;</w:t>
            </w:r>
            <w:r>
              <w:t xml:space="preserve"> vzhledem k tomu, že umělá inteligence postupuje nebývalým tempem a mění hospodářskou činnost, veřejnou správu a společenské interakce;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CA.</w:t>
            </w:r>
            <w:r>
              <w:tab/>
            </w:r>
            <w:r>
              <w:rPr>
                <w:b/>
                <w:i/>
              </w:rPr>
              <w:t>vzhledem k tomu, že souhrnný balíček pro digitální oblast týkající se umělé inteligence zavádí cílená zjednodušující opatření, která mají zajistit včasné, hladké a přiměřené provádění některých ustanovení aktu o AI; vzhledem k tomu, že samostatný návrh souhrnného balíčku pro digitální oblast se dále zabývá nutností vyjasnit, jak mohou být osobní údaje použity pro trénování a vývoj umělé inteligence; vzhledem k tomu, že oba návrhy odrážejí potřebu přizpůsobit právní rámec EU s ohledem na rychlý pokrok umělé inteligence v EU i na celém světě;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CB.</w:t>
            </w:r>
            <w:r>
              <w:tab/>
            </w:r>
            <w:r>
              <w:rPr>
                <w:b/>
                <w:i/>
              </w:rPr>
              <w:t xml:space="preserve">vzhledem k tomu, že rámcová úmluva Rady Evropy o AI předkládá pravidla, která mají zajistit, aby systémy umělé inteligence po celou dobu svého životního cyklu splňovaly přísné etické normy, podporovaly transparentnost, kontrolovatelnost a účinný dohled a posilovaly záruky, aby se tak zajistila ochrana základních práv, demokracie a právního státu; vzhledem k tomu, že rámcová úmluva, k níž mohou přistoupit mimoevropské země, podporuje globální základ pro správu umělé inteligence zaměřenou na ochranu práv; vzhledem k tomu, že na úrovni EU jsou zásady a povinnosti stanovené v rámcové úmluvě již prováděny prostřednictvím stávajícího soudržného souboru právních předpisů, který stanoví vyšší a podrobnější úroveň ochrany, mimo jiné zejména aktu o AI; 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CC.</w:t>
            </w:r>
            <w:r>
              <w:tab/>
            </w:r>
            <w:r>
              <w:rPr>
                <w:b/>
                <w:i/>
              </w:rPr>
              <w:t>vzhledem k tomu, že podpora důvěryhodné umělé inteligence zaměřené na člověka má zásadní význam pro posílení konkurenceschopnosti, inovační kapacity, technologické suverenity a strategické autonomie EU ve stále konkurenčnějším globálním prostředí;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vzhledem k tomu, že Parlament jako reprezentativní demokratický orgán EU má v souladu s články 10, 11 a 13 SEU legitimní úlohu přispívat k těmto globálním diskusím a musí se starat o zajištění demokratické odpovědnosti a institucionální soudržnosti v rámci vnější angažovanosti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 tomu, že Parlament jako </w:t>
            </w:r>
            <w:r>
              <w:rPr>
                <w:b/>
                <w:i/>
              </w:rPr>
              <w:t xml:space="preserve">přímo volený </w:t>
            </w:r>
            <w:r>
              <w:t>reprezentativní demokratický orgán EU má v souladu s články 10, 11 a 13 SEU legitimní úlohu přispívat k těmto globálním diskusím a musí se starat o zajištění demokratické odpovědnosti a institucionální soudržnosti v rámci vnější angažovanosti EU</w:t>
            </w:r>
            <w:r>
              <w:rPr>
                <w:b/>
                <w:i/>
              </w:rPr>
              <w:t>, a současně zaručit, aby evropské technologické společnosti byly schopny vyvíjet a zavádět umělou inteligenci, podporovat inovace, konkurenceschopnost a vedoucí postavení Evropy v oblasti technologií, a rovněž chránit základní práva a právní řád;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vzhledem k tomu, že sledování celosvětového vývoje v oblasti umělé inteligence na úrovni EU v úzké spolupráci s úřadem Komise pro umělou inteligenci, Evropskou radou pro umělou inteligenci a příslušnými vnitrostátními orgány, sledování vývoje v členských státech, udržování pravidelných výměn informací </w:t>
            </w:r>
            <w:r>
              <w:rPr>
                <w:b/>
                <w:i/>
              </w:rPr>
              <w:t>s</w:t>
            </w:r>
            <w:r>
              <w:t xml:space="preserve"> vnitrostátními parlamenty a zjišťování možných meziodvětvových překryvů a mezer v právním rámci EU pro umělou inteligenci bude mít klíčový význam; vzhledem k tomu, že </w:t>
            </w:r>
            <w:r>
              <w:rPr>
                <w:b/>
                <w:i/>
              </w:rPr>
              <w:t>ústřední roli by v tomto ohledu mělo hrát navrhované Středisko pro sledování AI Evropského parlamentu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vzhledem k tomu, že sledování celosvětového vývoje v oblasti umělé inteligence na úrovni EU </w:t>
            </w:r>
            <w:r>
              <w:rPr>
                <w:b/>
                <w:i/>
              </w:rPr>
              <w:t>a úrovni členských států</w:t>
            </w:r>
            <w:r>
              <w:t xml:space="preserve"> v úzké spolupráci s úřadem Komise pro umělou inteligenci, Evropskou radou pro umělou inteligenci a příslušnými vnitrostátními orgány, sledování vývoje v členských státech</w:t>
            </w:r>
            <w:r>
              <w:rPr>
                <w:b/>
                <w:i/>
              </w:rPr>
              <w:t xml:space="preserve"> a</w:t>
            </w:r>
            <w:r>
              <w:t xml:space="preserve"> udržování pravidelných výměn informací </w:t>
            </w:r>
            <w:r>
              <w:rPr>
                <w:b/>
                <w:i/>
              </w:rPr>
              <w:t>mezi Evropským parlamentem a</w:t>
            </w:r>
            <w:r>
              <w:t xml:space="preserve"> vnitrostátními parlamenty a zjišťování možných meziodvětvových překryvů a mezer v právním rámci EU pro umělou inteligenci </w:t>
            </w:r>
            <w:r>
              <w:rPr>
                <w:b/>
                <w:i/>
              </w:rPr>
              <w:t xml:space="preserve">s cílem zlepšit soudržnost, zvýšit právní jistotu a zkvalitnit provádění vstřícné k inovacím v celé EU </w:t>
            </w:r>
            <w:r>
              <w:t xml:space="preserve">bude mít klíčový význam; vzhledem k tomu, že </w:t>
            </w:r>
            <w:r>
              <w:rPr>
                <w:b/>
                <w:i/>
              </w:rPr>
              <w:t xml:space="preserve">úsilí Parlamentu o posílení svých vnitřních analytických a řídících kapacit v oblasti umělé inteligence, mimo jiné </w:t>
            </w:r>
            <w:r>
              <w:rPr>
                <w:b/>
                <w:i/>
              </w:rPr>
              <w:t>vytvořením zvláštního administrativního oddělení</w:t>
            </w:r>
            <w:r>
              <w:rPr>
                <w:b/>
                <w:i/>
              </w:rPr>
              <w:t xml:space="preserve">, by mohlo navázat na </w:t>
            </w:r>
            <w:r>
              <w:t xml:space="preserve"> </w:t>
            </w:r>
            <w:r>
              <w:rPr>
                <w:b/>
                <w:i/>
              </w:rPr>
              <w:t>činnost</w:t>
            </w:r>
            <w:r>
              <w:t xml:space="preserve"> </w:t>
            </w:r>
            <w:r>
              <w:rPr>
                <w:b/>
                <w:i/>
              </w:rPr>
              <w:t xml:space="preserve">pracovní skupiny pro akt o AI a dále hrát ústřední roli v </w:t>
            </w:r>
            <w:r>
              <w:rPr>
                <w:b/>
                <w:i/>
              </w:rPr>
              <w:t xml:space="preserve">institucionálním řízení umělé inteligence v rámci Parlamentu, pokud jde o odpovědnost a vysvětlitelnost dopadů systémů umělé inteligence zavedených v rámci orgánu; vzhledem k tomu, že </w:t>
            </w:r>
            <w:r>
              <w:rPr>
                <w:b/>
                <w:i/>
              </w:rPr>
              <w:t xml:space="preserve">by to </w:t>
            </w:r>
            <w:r>
              <w:t>mohlo rovněž přispět k dosažení odpovídající úrovně gramotnosti zaměstnanců Parlamentu v oblasti umělé inteligence; vzhledem k tomu, že toto administrativní oddělení by mělo rovněž využívat zkušeností Panelu pro budoucnost vědy a technologie (STOA), který byl v roce 1988 zřízen jako stálý subjekt a mezi jehož hlavní tematické priority patří umělá inteligence, jakož i zkušeností výzkumné služby Evropského parlamentu (EPRS)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H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HA.</w:t>
            </w:r>
            <w:r>
              <w:tab/>
            </w:r>
            <w:r>
              <w:rPr>
                <w:b/>
                <w:i/>
              </w:rPr>
              <w:t>vzhledem k tomu, že Výbor Evropského parlamentu pro vnitřní trh a ochranu spotřebitelů (IMCO) spolu s Výborem pro občanské svobody, spravedlnost a vnitřní věci (LIBE) zřídily společnou pracovní skupinu výborů IMCO a LIBE pro provádění a prosazování aktu o AI (pracovní skupina pro akt o AI), která slouží jako platforma pro výměnu informací s Komisí, zejména s jejím úřadem pro umělou inteligenci, a dalšími příslušnými zúčastněnými stranami o aktuálním stavu provádění aktu o AI a pro obecné sledování vývoje v oblasti umělé inteligence;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I.</w:t>
            </w:r>
            <w:r>
              <w:tab/>
            </w:r>
            <w:r>
              <w:rPr>
                <w:b/>
                <w:i/>
              </w:rPr>
              <w:t>vzhledem k tomu, že navrhované Středisko pro sledování AI Evropského parlamentu by bylo považováno za orgán EU, který může být přizván na zasedání Evropské rady pro umělou inteligenci v souladu s čl. 65 odst. 2 aktu o umělé inteligenci;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J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>vzhledem k tomu, že umělá inteligence může podpořit parlamentní kontrolu provádění a uplatňování právních předpisů EU tím, že sníží informační asymetrii a bude řešit opakující se obtíže Parlamentu při přístupu k příslušným údajům, jakož i tím, že přispěje ke zlepšení legislativních postupů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 xml:space="preserve">vzhledem k tomu, že umělá inteligence </w:t>
            </w:r>
            <w:r>
              <w:rPr>
                <w:b/>
                <w:i/>
              </w:rPr>
              <w:t xml:space="preserve">pod efektivním lidským dohledem </w:t>
            </w:r>
            <w:r>
              <w:t>může podpořit parlamentní kontrolu provádění a uplatňování právních předpisů EU tím, že sníží informační asymetrii a bude řešit opakující se obtíže Parlamentu při přístupu k příslušným údajům, jakož i tím, že přispěje ke zlepšení legislativních postupů EU</w:t>
            </w:r>
            <w:r>
              <w:rPr>
                <w:b/>
                <w:i/>
              </w:rPr>
              <w:t>, mimo jiné jejím zjednodušením a zajištěním její vyšší účinnosti a schopnosti pohotově reagovat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J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JA.</w:t>
            </w:r>
            <w:r>
              <w:tab/>
            </w:r>
            <w:r>
              <w:rPr>
                <w:b/>
                <w:i/>
              </w:rPr>
              <w:t>vzhledem k tomu, že odpovědné využívání systémů umělé inteligence může zlepšit kvalitu, dostupnost a účinnost legislativních a správních procesů tím, že podpoří tvorbu politik založenou na důkazech, usnadní analýzu složitých regulačních rámců a zlepší přístup k informacím relevantním pro demokratickou kontrolu;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K.</w:t>
            </w:r>
            <w:r>
              <w:tab/>
            </w:r>
            <w:r>
              <w:t>vzhledem k tomu, že rychlý vývoj technologií umělé inteligence vyžaduje neustálou analytickou kapacitu, aby bylo možné posoudit jejich institucionální, demokratické a právní důsledky pro fungování EU; vzhledem k tomu, že Parlament by měl v této oblasti posílit své interní odborné znalosti a kontrolní kapacity;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K.</w:t>
            </w:r>
            <w:r>
              <w:tab/>
            </w:r>
            <w:r>
              <w:t>vzhledem k tomu, že rychlý vývoj technologií umělé inteligence vyžaduje neustálou analytickou kapacitu, aby bylo možné posoudit jejich institucionální, demokratické a právní důsledky pro fungování EU; vzhledem k tomu, že Parlament by měl v této oblasti posílit své interní odborné znalosti a kontrolní kapacity</w:t>
            </w:r>
            <w:r>
              <w:rPr>
                <w:b/>
                <w:i/>
              </w:rPr>
              <w:t xml:space="preserve"> – mimo jiné prostřednictvím důkladné odborné přípravy týkající se gramotnosti v oblasti AI – a podpořit informované, efektivní a odpovědné využívání technologií umělé inteligence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K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KA.</w:t>
            </w:r>
            <w:r>
              <w:tab/>
            </w:r>
            <w:r>
              <w:rPr>
                <w:b/>
                <w:i/>
              </w:rPr>
              <w:t>vzhledem k tomu, že rozdíly ve výkladu a provádění právních předpisů EU v oblasti umělé inteligence v jednotlivých členských státech mohou vést k roztříštěnosti právních předpisů, vzniku právní nejistoty a překážek pro přeshraniční zavádění umělé inteligence v rámci vnitřního trhu, zejména pro malé a střední podniky a startupy působící v několika členských státech; vzhledem k tomu, že umělá inteligence pod náležitým lidským dohledem může posílit schopnost Parlamentu účinně a na základě důkazů kontrolovat provádění a uplatňování právních předpisů EU tím, že sníží informační asymetrie, zlepší analýzu relevantních informací a pomůže řešit opakující se obtíže s přístupem k údajům nezbytným pro demokratickou kontrolu;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L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L.</w:t>
            </w:r>
            <w:r>
              <w:tab/>
            </w:r>
            <w:r>
              <w:t>vzhledem k tomu, že rychlé zavádění technologií umělé inteligence zásadně mění volební kampaně a politickou komunikaci; vzhledem k tomu, že tyto technologie mohou narušit integritu volebních procesů a podkopat důvěru v demokratické instituce, a to i v případě voleb do Evropského 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L.</w:t>
            </w:r>
            <w:r>
              <w:tab/>
            </w:r>
            <w:r>
              <w:t>vzhledem k tomu, že rychlé zavádění technologií umělé inteligence zásadně mění volební kampaně a politickou komunikaci</w:t>
            </w:r>
            <w:r>
              <w:rPr>
                <w:b/>
                <w:i/>
              </w:rPr>
              <w:t>, často za velmi nízkou cenu</w:t>
            </w:r>
            <w:r>
              <w:t>; vzhledem k tomu, že tyto technologie mohou narušit integritu volebních procesů a podkopat důvěru v demokratické instituce</w:t>
            </w:r>
            <w:r>
              <w:rPr>
                <w:b/>
                <w:i/>
              </w:rPr>
              <w:t>, zejména jsou-li využívány nepřátelskými subjekty</w:t>
            </w:r>
            <w:r>
              <w:t>, a to i v případě voleb do Evropského parlamentu;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M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MA.</w:t>
            </w:r>
            <w:r>
              <w:tab/>
            </w:r>
            <w:r>
              <w:rPr>
                <w:b/>
                <w:i/>
              </w:rPr>
              <w:t>vzhledem k tomu, že článek 77 aktu o umělé inteligenci stanoví klíčovou úlohu vnitrostátních veřejných orgánů nebo subjektů při dohledu nad dodržováním povinností podle práva EU na ochranu základních práv, včetně práva na nediskriminaci, nebo při jejich prosazování;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1a.</w:t>
            </w:r>
            <w:r>
              <w:tab/>
            </w:r>
            <w:r>
              <w:rPr>
                <w:b/>
                <w:i/>
              </w:rPr>
              <w:t>zdůrazňuje, že rychlé zavádění pokročilých systémů umělé inteligence nesmí vytvářet právně šedé zóny ani oslabovat prosazování stávající legislativy; zdůrazňuje, že technologické inovace nikdy nemohou být na úkor právního státu, veřejné bezpečnosti nebo demokratické odpovědnosti; vyzývá k tomu, aby struktury EU pro řízení umělé inteligence zahrnovaly mechanismy, které umožní vést strukturované konzultace s evropskými inovátory, a zdůrazňuje, že podpora inovací v oblasti umělé inteligence má zásadní význam nejen pro posílení konkurenceschopnosti Unie, ale také pro zachování její bezpečnosti, technologické suverenity a strategické autonomie; vyzývá Komisi, aby zajistila, že akt o AI bude prováděn systematickým a transparentním způsobem;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znovu potvrzuje, že přístup EU k umělé inteligenci musí být plně v souladu s hodnotami stanovenými v článku 2 SEU, včetně demokracie, právního státu a základních práv, a že nasazení umělé inteligence v rámci institucí musí zůstat </w:t>
            </w:r>
            <w:r>
              <w:rPr>
                <w:b/>
                <w:i/>
              </w:rPr>
              <w:t>zaměřeno na člověka;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znovu potvrzuje, že přístup EU k umělé inteligenci musí být plně v souladu s hodnotami stanovenými v článku 2 SEU, včetně demokracie, právního státu a základních práv, a že nasazení umělé inteligence </w:t>
            </w:r>
            <w:r>
              <w:rPr>
                <w:b/>
                <w:i/>
              </w:rPr>
              <w:t xml:space="preserve">a její používání </w:t>
            </w:r>
            <w:r>
              <w:t xml:space="preserve">v rámci institucí musí zůstat </w:t>
            </w:r>
            <w:r>
              <w:rPr>
                <w:b/>
                <w:i/>
              </w:rPr>
              <w:t>pod úplným lidským dohledem, což znamená, že skutečnou kontrolu každého nástroje AI při jeho používání musí vykonávat fyzická osoba, a to v zájmu posílení důvěry občanů v demokratické instituce a veřejnou správu;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vyzývá ke strukturovanému </w:t>
            </w:r>
            <w:r>
              <w:rPr>
                <w:b/>
                <w:i/>
              </w:rPr>
              <w:t>a</w:t>
            </w:r>
            <w:r>
              <w:t xml:space="preserve"> pravidelnému interinstitucionálnímu dialogu mezi Parlamentem, Komisí a Radou o institucionálních dopadech umělé inteligence;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vyzývá ke strukturovanému</w:t>
            </w:r>
            <w:r>
              <w:rPr>
                <w:b/>
                <w:i/>
              </w:rPr>
              <w:t>,</w:t>
            </w:r>
            <w:r>
              <w:t xml:space="preserve"> pravidelnému </w:t>
            </w:r>
            <w:r>
              <w:rPr>
                <w:b/>
                <w:i/>
              </w:rPr>
              <w:t>a transparentnímu</w:t>
            </w:r>
            <w:r>
              <w:t xml:space="preserve"> interinstitucionálnímu dialogu mezi Parlamentem, Komisí a Radou o institucionálních dopadech umělé inteligence</w:t>
            </w:r>
            <w:r>
              <w:rPr>
                <w:b/>
                <w:i/>
              </w:rPr>
              <w:t>, včetně pravidelných výměn informací o provádění právních předpisů EU v oblasti umělé inteligence, správní koordinaci a o dopadu systémů umělé inteligence na soudržnost vnitřního trhu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vyzdvihuje význam </w:t>
            </w:r>
            <w:r>
              <w:rPr>
                <w:b/>
                <w:i/>
              </w:rPr>
              <w:t>parlamentní</w:t>
            </w:r>
            <w:r>
              <w:t xml:space="preserve"> účasti na celosvětových diskusích o řízení umělé inteligence</w:t>
            </w:r>
            <w:r>
              <w:rPr>
                <w:b/>
                <w:i/>
              </w:rPr>
              <w:t xml:space="preserve"> a</w:t>
            </w:r>
            <w:r>
              <w:t xml:space="preserve"> proto</w:t>
            </w:r>
            <w:r>
              <w:rPr>
                <w:b/>
                <w:i/>
              </w:rPr>
              <w:t xml:space="preserve"> jednoznačně</w:t>
            </w:r>
            <w:r>
              <w:t xml:space="preserve"> podporuje zapojení Parlamentu do mnohostranných fór, jako je každoroční summit OSN „AI for Good“; uznává, že globální angažovaností s jasně vytyčeným souborem hodnot a etických zásad Parlament upevňuje svou demokratickou roli a důvěryhodnost, přičemž plně respektuje pravomoci Komise v této oblasti i zásadu loajální spolupráce, jak stanoví čl. 13 odst. 2 SEU;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vyzdvihuje význam </w:t>
            </w:r>
            <w:r>
              <w:rPr>
                <w:b/>
                <w:i/>
              </w:rPr>
              <w:t>široké</w:t>
            </w:r>
            <w:r>
              <w:t xml:space="preserve"> účasti</w:t>
            </w:r>
            <w:r>
              <w:rPr>
                <w:b/>
                <w:i/>
              </w:rPr>
              <w:t xml:space="preserve"> evropských zástupců</w:t>
            </w:r>
            <w:r>
              <w:t xml:space="preserve"> na celosvětových diskusích o řízení umělé inteligence</w:t>
            </w:r>
            <w:r>
              <w:rPr>
                <w:b/>
                <w:i/>
              </w:rPr>
              <w:t xml:space="preserve">; </w:t>
            </w:r>
            <w:r>
              <w:t>proto podporuje zapojení Parlamentu do mnohostranných fór, jako je každoroční summit OSN „AI for Good“; uznává, že globální angažovaností s jasně vytyčeným souborem hodnot a etických zásad Parlament upevňuje svou demokratickou roli a důvěryhodnost, přičemž plně respektuje pravomoci Komise v této oblasti i zásadu loajální spolupráce, jak stanoví čl. 13 odst. 2 SEU;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zdůrazňuje, že v době velké geopolitické konkurence je účast Parlamentu na mezinárodních fórech nezbytná; upozorňuje, že postupy a technologie umělé inteligence sdílené navenek musí být v souladu se </w:t>
            </w:r>
            <w:r>
              <w:rPr>
                <w:b/>
                <w:i/>
              </w:rPr>
              <w:t xml:space="preserve">závazky Parlamentu v oblasti </w:t>
            </w:r>
            <w:r>
              <w:t xml:space="preserve">transparentnosti, udržitelnosti, ochrany osobních údajů a demokratického dohledu; dále vyzdvihuje, že je důležité zabývat se systémovými riziky spojenými s umělou inteligencí, včetně </w:t>
            </w:r>
            <w:r>
              <w:rPr>
                <w:b/>
                <w:i/>
              </w:rPr>
              <w:t>šíření</w:t>
            </w:r>
            <w:r>
              <w:t xml:space="preserve"> tzv. halucinací, které</w:t>
            </w:r>
            <w:r>
              <w:rPr>
                <w:b/>
                <w:i/>
              </w:rPr>
              <w:t xml:space="preserve"> mohou znehodnotit</w:t>
            </w:r>
            <w:r>
              <w:t xml:space="preserve"> přesnost a spolehlivost </w:t>
            </w:r>
            <w:r>
              <w:rPr>
                <w:b/>
                <w:i/>
              </w:rPr>
              <w:t>informací</w:t>
            </w:r>
            <w:r>
              <w:t>, a také potenciálním socioekonomickým dopadem umělé inteligence, zejména pokud jde o propouštění pracovníků, a nikoli pouze prosazovat technologickou excelenci;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zdůrazňuje, že v době velké geopolitické konkurence je účast Parlamentu na mezinárodních fórech nezbytná; upozorňuje, že postupy a technologie umělé inteligence sdílené navenek musí </w:t>
            </w:r>
            <w:r>
              <w:rPr>
                <w:b/>
                <w:i/>
              </w:rPr>
              <w:t xml:space="preserve">podporovat inovace a konkurenceschopnost a </w:t>
            </w:r>
            <w:r>
              <w:t xml:space="preserve">být v souladu s </w:t>
            </w:r>
            <w:r>
              <w:rPr>
                <w:b/>
                <w:i/>
              </w:rPr>
              <w:t>přísnými standardy týkajícími se</w:t>
            </w:r>
            <w:r>
              <w:t xml:space="preserve"> transparentnosti, udržitelnosti, </w:t>
            </w:r>
            <w:r>
              <w:rPr>
                <w:b/>
                <w:i/>
              </w:rPr>
              <w:t xml:space="preserve">soukromí a </w:t>
            </w:r>
            <w:r>
              <w:t xml:space="preserve">ochrany osobních údajů a </w:t>
            </w:r>
            <w:r>
              <w:rPr>
                <w:b/>
                <w:i/>
              </w:rPr>
              <w:t xml:space="preserve">kybernetické bezpečnosti, jakož i </w:t>
            </w:r>
            <w:r>
              <w:t xml:space="preserve">demokratického dohledu; dále vyzdvihuje, že je důležité </w:t>
            </w:r>
            <w:r>
              <w:rPr>
                <w:b/>
                <w:i/>
              </w:rPr>
              <w:t xml:space="preserve">podporovat důvěryhodnou umělou inteligenci zaměřenou na člověka a současně </w:t>
            </w:r>
            <w:r>
              <w:t xml:space="preserve">se zabývat systémovými riziky spojenými s umělou inteligencí, včetně tzv. halucinací </w:t>
            </w:r>
            <w:r>
              <w:rPr>
                <w:b/>
                <w:i/>
              </w:rPr>
              <w:t>a rizik</w:t>
            </w:r>
            <w:r>
              <w:t xml:space="preserve"> </w:t>
            </w:r>
            <w:r>
              <w:rPr>
                <w:b/>
                <w:i/>
              </w:rPr>
              <w:t>spojených s otravou AI nebo manipulací s velkými jazykovými modely</w:t>
            </w:r>
            <w:r>
              <w:t xml:space="preserve">, které znehodnocují přesnost a spolehlivost </w:t>
            </w:r>
            <w:r>
              <w:rPr>
                <w:b/>
                <w:i/>
              </w:rPr>
              <w:t>jejích výstupů</w:t>
            </w:r>
            <w:r>
              <w:t>, a také potenciálním socioekonomickým dopadem umělé inteligence, zejména pokud jde o propouštění pracovníků, a nikoli pouze prosazovat technologickou excelenci;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7a.</w:t>
            </w:r>
            <w:r>
              <w:tab/>
            </w:r>
            <w:r>
              <w:rPr>
                <w:b/>
                <w:i/>
              </w:rPr>
              <w:t>s znepokojením upozorňuje na rostoucí závislost na mimoevropských systémech hraniční umělé inteligence, chybějící koordinovaný přístup k těmto systémům pro hodnocení bezpečnosti a z toho vyplývající nedostatek schopností v oblasti kybernetické obrany založené na umělé inteligenci, což vyvolává obavy ze strategických závislostí a asymetrického přístupu ke kritické infrastruktuře umělé inteligence; varuje, že podle bezpečnostních úředníků jsou pokročilé modely hraniční umělé inteligence schopny dynamicky přizpůsobovat své chování, což znamená, že je lze využít k automatickému odhalování a zneužívání zranitelností, a mohly by výrazně snížit překážky bránící sofistikovaným kybernetickým útokům, umožnit rychlé rozšiřování nepřátelských operací a zásadně měnit rozsah a rychlost kybernetických rizik; vyzývá k posílení dohledu a zajištění důkladné připravenosti, mimo jiné k provádění pravidelných zátěžových testů a cvičení založených na scénářích, aby bylo možné čelit kybernetickým útokům využívajícím umělou inteligenci a řešit strategické závislosti na mimoevropské infrastruktuře, cloudových službách a základních modelech zdůrazňuje, že EU musí při vývoji a zavádění pokročilých systémů umělé inteligence prosazovat komplexní program technologické suverenity;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zdůrazňuje, že umělá inteligence</w:t>
            </w:r>
            <w:r>
              <w:rPr>
                <w:b/>
                <w:i/>
              </w:rPr>
              <w:t xml:space="preserve"> představuje vzhledem ke svému rozsahu, rychlosti a přeshraničnímu dopadu systémovou globální výzvu a že stejně jako v případě dřívějších transformačních technologií, včetně jaderné technologie v polovině 20. století, odpovědné řízení vyžaduje včasné vyjednání a prosazení zvláštní mezinárodní úmluvy nebo smlouvy o umělé inteligenci na celosvětové úrovni;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zdůrazňuje, že umělá inteligence</w:t>
            </w:r>
            <w:r>
              <w:rPr>
                <w:b/>
                <w:i/>
              </w:rPr>
              <w:t xml:space="preserve"> vytváří potenciál, pokud jde o výraznou podporu hospodářského růstu, zvýšení produktivity a transformaci různých odvětví automatizací úkolů a zlepšení procesů rozhodování; zdůrazňuje však, že vzhledem ke svému rozsahu, rychlosti zavádění a přeshraničnímu dopadu představuje také </w:t>
            </w:r>
            <w:r>
              <w:rPr>
                <w:b/>
                <w:i/>
              </w:rPr>
              <w:t xml:space="preserve">transformační globální technologii s rozsáhlými důsledky, </w:t>
            </w:r>
            <w:r>
              <w:t>což</w:t>
            </w:r>
            <w:r>
              <w:t xml:space="preserve"> </w:t>
            </w:r>
            <w:r>
              <w:rPr>
                <w:b/>
                <w:i/>
              </w:rPr>
              <w:t>vyžaduje odpovědné řízení;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bere na vědomí Rámcovou úmluvu Rady Evropy o umělé inteligenci;</w:t>
            </w:r>
            <w:r>
              <w:t xml:space="preserve"> domnívá se, že vzhledem ke globální systémové povaze technologií umělé inteligence by se mělo </w:t>
            </w:r>
            <w:r>
              <w:rPr>
                <w:b/>
                <w:i/>
              </w:rPr>
              <w:t>dále</w:t>
            </w:r>
            <w:r>
              <w:t xml:space="preserve"> uvažovat o </w:t>
            </w:r>
            <w:r>
              <w:rPr>
                <w:b/>
                <w:i/>
              </w:rPr>
              <w:t>vytvoření globálního mnohostranného rámce nebo úmluvy zaměřené na</w:t>
            </w:r>
            <w:r>
              <w:t xml:space="preserve"> prevenci systémových rizik a </w:t>
            </w:r>
            <w:r>
              <w:rPr>
                <w:b/>
                <w:i/>
              </w:rPr>
              <w:t>zajištění</w:t>
            </w:r>
            <w:r>
              <w:t xml:space="preserve"> demokratické odpovědnosti na celosvětové úrovni;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připomíná Rámcovou úmluvu Rady Evropy o AI, která stanoví globální základ pro řízení umělé inteligence; zdůrazňuje, že akt o AI a další příslušné právní předpisy EU již stanoví vyšší a podrobnější úroveň ochrany a harmonizace v rámci vnitřního trhu;</w:t>
            </w:r>
            <w:r>
              <w:rPr>
                <w:b/>
                <w:i/>
              </w:rPr>
              <w:t xml:space="preserve"> vyzývá země na celém světě, aby se k rámcové úmluvě připojily a podporovaly celosvětový rozvoj důvěryhodné umělé inteligence zaměřené na člověka;</w:t>
            </w:r>
            <w:r>
              <w:t xml:space="preserve"> domnívá se, že vzhledem ke globální systémové povaze technologií umělé inteligence by se mělo </w:t>
            </w:r>
            <w:r>
              <w:rPr>
                <w:b/>
                <w:i/>
              </w:rPr>
              <w:t>pravidelně</w:t>
            </w:r>
            <w:r>
              <w:t xml:space="preserve"> uvažovat o </w:t>
            </w:r>
            <w:r>
              <w:rPr>
                <w:b/>
                <w:i/>
              </w:rPr>
              <w:t>podpoře mezinárodní spolupráce a účinném řízení umožňujícím inovace, přičemž je třeba také zajistit dodržování platných právních rámců,</w:t>
            </w:r>
            <w:r>
              <w:t xml:space="preserve"> prevenci systémových rizik a </w:t>
            </w:r>
            <w:r>
              <w:rPr>
                <w:b/>
                <w:i/>
              </w:rPr>
              <w:t>posílení</w:t>
            </w:r>
            <w:r>
              <w:t xml:space="preserve"> demokratické odpovědnosti na celosvětové úrovni;</w:t>
            </w:r>
            <w:r>
              <w:rPr>
                <w:b/>
                <w:i/>
              </w:rPr>
              <w:t xml:space="preserve"> zastává názor, že účast EU na mezinárodních úmluvách by měla napomáhat prosazování její vize umělé inteligence, jejího regulačního přístupu a její konkurenceschopnosti na globální úrovni;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připomíná, že v souladu s články 10, 13 a 14 SEU Parlament vykonává demokratickou kontrolu nad fungováním EU a jejích orgánů; zdůrazňuje, že rostoucí využívání systémů umělé inteligence ve veřejné správě a orgánech EU vyžaduje posílení analytické kapacity Parlamentu, aby byla zajištěna transparentnost, demokratická odpovědnost a účinný dohled v souladu se Smlouvami;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v souladu s články 10, 13 a 14 SEU Parlament vykonává demokratickou kontrolu nad fungováním EU a jejích orgánů; zdůrazňuje, že rostoucí využívání systémů umělé inteligence ve veřejné správě a orgánech EU vyžaduje posílení analytické kapacity Parlamentu </w:t>
            </w:r>
            <w:r>
              <w:rPr>
                <w:b/>
                <w:i/>
              </w:rPr>
              <w:t>a gramotnosti v oblasti umělé inteligence</w:t>
            </w:r>
            <w:r>
              <w:t>, aby byla zajištěna transparentnost, demokratická odpovědnost a účinný dohled v souladu se Smlouvami;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rPr>
                <w:b/>
                <w:i/>
              </w:rPr>
              <w:t>vyzývá ke zřízení Střediska pro sledování AI Evropského parlamentu jako stálé analytické struktury v rámci administrativy Parlamentu, která by fungovala</w:t>
            </w:r>
            <w:r>
              <w:t xml:space="preserve"> jako služba pro všechny parlamentní výbory a podporovala je v otázkách souvisejících s umělou inteligencí, jejím řízením, institucionální rovnováhou a demokratickým dohledem; </w:t>
            </w:r>
            <w:r>
              <w:rPr>
                <w:b/>
                <w:i/>
              </w:rPr>
              <w:t>podtrhuje, že vytvoření takové kapacity by mohlo být organizováno v rámci administrativních struktur Parlamentu rozpočtově neutrálním způsobem, pokud by se vycházelo ze stávajících odborných znalostí a služeb;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rPr>
                <w:b/>
                <w:i/>
              </w:rPr>
              <w:t>doporučuje posílit vnitřní analytické a řídící kapacity Parlamentu</w:t>
            </w:r>
            <w:r>
              <w:rPr>
                <w:b/>
                <w:i/>
              </w:rPr>
              <w:t xml:space="preserve"> v rámci jeho administrativy,</w:t>
            </w:r>
            <w:r>
              <w:rPr>
                <w:b/>
                <w:i/>
              </w:rPr>
              <w:t xml:space="preserve"> které konkrétně souvisejí s umělou inteligencí, a zřídit zvláštní administrativní oddělení; zdůrazňuje, že oddělení by mělo využívat stávajících odborných znalostí a služeb, včetně znalostí a služeb poskytovaných EPRS a STOA, a doplňovat je, a proto by mělo být </w:t>
            </w:r>
            <w:r>
              <w:rPr>
                <w:b/>
                <w:i/>
              </w:rPr>
              <w:t>organizováno rozpočtově neutrálním způsobem, přičemž by mělo fungovat</w:t>
            </w:r>
            <w:r>
              <w:t xml:space="preserve"> jako služba pro všechny parlamentní výbory a podporovat je v otázkách souvisejících s umělou inteligencí, jejím řízením, institucionální rovnováhou a demokratickým dohledem</w:t>
            </w:r>
            <w:r>
              <w:rPr>
                <w:b/>
                <w:i/>
              </w:rPr>
              <w:t>, a rovněž zvyšovat gramotnost v oblasti umělé inteligence a technických odborných znalostí</w:t>
            </w:r>
            <w:r>
              <w:t xml:space="preserve">; </w:t>
            </w:r>
            <w:r>
              <w:rPr>
                <w:b/>
                <w:i/>
              </w:rPr>
              <w:t xml:space="preserve">dále zdůrazňuje, že oddělení </w:t>
            </w:r>
            <w:r>
              <w:rPr>
                <w:b/>
                <w:i/>
              </w:rPr>
              <w:t>by mělo mít</w:t>
            </w:r>
            <w:r>
              <w:t xml:space="preserve"> </w:t>
            </w:r>
            <w:r>
              <w:rPr>
                <w:b/>
                <w:i/>
              </w:rPr>
              <w:t>jasnou analytickou a řídící strukturu, která by určovala jeho priority a zajišťovala horizontální budování kapacit</w:t>
            </w:r>
            <w:r>
              <w:t xml:space="preserve"> </w:t>
            </w:r>
            <w:r>
              <w:rPr>
                <w:b/>
                <w:i/>
              </w:rPr>
              <w:t>a význam napříč výbory; navrhuje, aby se toto oddělení nazývalo Středisko pro sledování AI Evropského parlamentu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11a.</w:t>
            </w:r>
            <w:r>
              <w:tab/>
            </w:r>
            <w:r>
              <w:rPr>
                <w:b/>
                <w:i/>
              </w:rPr>
              <w:t>připomíná, že dosavadní analytická práce prováděná v rámci Parlamentu, včetně činnosti pracovní skupiny pro akt o AI vytvořené pro účely monitorování a kontroly provádění a prosazování aktu o AI, přispívá k odhalení meziodvětvových nedostatků, překryvů a nesrovnalostí v širším právním rámci EU pro umělou inteligenci, jakož i monitorování nového vývoje a výzev v oblasti umělé inteligence;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(Přesunuto z bodu 15.)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zdůrazňuje, že posílení vnitřních analytických a řídících kapacit Evropského parlamentu by mohlo dále přispět ke sledování institucionálního řízení umělé inteligence, odpovědnosti a vysvětlitelnosti a sledování dopadů systémů umělé inteligence zavedených v rámci orgánu a rovněž by mohlo přispět k dosažení odpovídající úrovně gramotnosti jeho zaměstnanců v oblasti umělé inteligence a podpořit následné kroky Parlamentu v návaznosti na příslušné závěry Rady;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(Přesunuto z bod.u 16)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zdůrazňuje, že stále větší nasazení systémů umělé inteligence ve veřejné správě, včetně orgánů EU, vyvolává zásadní otázky týkající se transparentnosti, odpovědnosti a náležitého administrativního postupu; poukazuje na to, že Parlament by si měl zachovat dostatečnou vnitřní analytickou kapacitu, aby tento vývoj mohl nezávisle posuzovat, a zabezpečit si tak své institucionální výsady a kontrolní funkce a budovat si v této oblasti vlastní institucionální paměť;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zdůrazňuje, že stále větší nasazení systémů umělé inteligence ve veřejné správě, včetně orgánů EU, </w:t>
            </w:r>
            <w:r>
              <w:rPr>
                <w:b/>
                <w:i/>
              </w:rPr>
              <w:t xml:space="preserve">zvyšuje účinnost interních procesů, ale také </w:t>
            </w:r>
            <w:r>
              <w:t>vyvolává zásadní otázky týkající se transparentnosti, odpovědnosti</w:t>
            </w:r>
            <w:r>
              <w:rPr>
                <w:b/>
                <w:i/>
              </w:rPr>
              <w:t>, bezpečnosti systémů</w:t>
            </w:r>
            <w:r>
              <w:t xml:space="preserve"> a náležitého administrativního postupu; poukazuje na to, že Parlament by si měl zachovat dostatečnou vnitřní analytickou kapacitu, aby tento vývoj </w:t>
            </w:r>
            <w:r>
              <w:rPr>
                <w:b/>
                <w:i/>
              </w:rPr>
              <w:t xml:space="preserve">a související vývoj </w:t>
            </w:r>
            <w:r>
              <w:t>mohl nezávisle posuzovat, a zabezpečit si tak své institucionální výsady a kontrolní funkce a budovat si v této oblasti vlastní institucionální paměť</w:t>
            </w:r>
            <w:r>
              <w:rPr>
                <w:b/>
                <w:i/>
              </w:rPr>
              <w:t>, s využitím stávajících parlamentních služeb a odborných znalostí, a měl by si zachovat plnou kontrolu nad svou kybernetickou bezpečností a bezpečností všech infrastruktur a systémů; zdůrazňuje, že toto úsilí by mělo být doplněno programy důkladné odborné přípravy zaměřené na gramotnost v oblasti umělé inteligence; dále vyzývá k pravidelnému posuzování dopadu zavádění umělé inteligence na základní práva a soukromí;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12a.</w:t>
            </w:r>
            <w:r>
              <w:tab/>
            </w:r>
            <w:r>
              <w:rPr>
                <w:b/>
                <w:i/>
              </w:rPr>
              <w:t>zdůrazňuje potenciál umělé inteligence pro posílení kontrolních a dohledových kapacit Parlamentu usnadněním přístupu k příslušným informacím, zlepšením analýzy složitého legislativního a regulačního vývoje a podporou monitorování provádění a prosazování práva EU; zdůrazňuje, že odpovědné využívání umělé inteligence by mohlo přispět ke snížení informační asymetrie, posílení legislativní soudržnosti a zlepšení kvality, účinnosti a předvídatelnosti rozhodovacích procesů EU při plném respektování demokratické odpovědnosti, transparentnosti a smysluplného lidského dohledu;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vyzývá k využívání nástrojů umělé inteligence na podporu monitorování a provádění již přijatých právních předpisů EU,</w:t>
            </w:r>
            <w:r>
              <w:rPr>
                <w:b/>
                <w:i/>
              </w:rPr>
              <w:t xml:space="preserve"> zejména prostřednictvím identifikace</w:t>
            </w:r>
            <w:r>
              <w:t xml:space="preserve"> vnitrostátních a regionálních právních aktů, které vyžadují změnu, a odhalování potenciálních nesrovnalostí, překryvů nebo rizik roztříštěnosti právní úpravy, čímž by se zvýšila právní soudržnost na různých úrovních správy, </w:t>
            </w:r>
            <w:r>
              <w:rPr>
                <w:b/>
                <w:i/>
              </w:rPr>
              <w:t>odstranily nedostatky</w:t>
            </w:r>
            <w:r>
              <w:t xml:space="preserve"> v provádění v členských státech a zlepšila účinnost a předvídatelnost práva EU; v této souvislosti vyzdvihuje význam</w:t>
            </w:r>
            <w:r>
              <w:rPr>
                <w:b/>
                <w:i/>
              </w:rPr>
              <w:t xml:space="preserve"> přístupu zaměřeného na člověka</w:t>
            </w:r>
            <w:r>
              <w:t xml:space="preserve"> při zavádění těchto nástrojů;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vyzývá k využívání nástrojů umělé inteligence na podporu monitorování a provádění již přijatých právních předpisů EU,</w:t>
            </w:r>
            <w:r>
              <w:rPr>
                <w:b/>
                <w:i/>
              </w:rPr>
              <w:t xml:space="preserve"> které napomohou identifikaci</w:t>
            </w:r>
            <w:r>
              <w:t xml:space="preserve"> vnitrostátních a regionálních právních aktů, které vyžadují změnu, a odhalování potenciálních nesrovnalostí, překryvů nebo rizik roztříštěnosti právní úpravy, čímž by se zvýšila právní soudržnost </w:t>
            </w:r>
            <w:r>
              <w:rPr>
                <w:b/>
                <w:i/>
              </w:rPr>
              <w:t xml:space="preserve">a snížily náklady </w:t>
            </w:r>
            <w:r>
              <w:t xml:space="preserve">na různých úrovních správy, </w:t>
            </w:r>
            <w:r>
              <w:rPr>
                <w:b/>
                <w:i/>
              </w:rPr>
              <w:t>a napomohou identifikaci nedostatků</w:t>
            </w:r>
            <w:r>
              <w:t xml:space="preserve"> v provádění v členských státech a zlepšila účinnost a předvídatelnost práva EU; </w:t>
            </w:r>
            <w:r>
              <w:rPr>
                <w:b/>
                <w:i/>
              </w:rPr>
              <w:t xml:space="preserve">zdůrazňuje, že nástroje umělé inteligence mohou také podpořit tvorbu politik založenou na důkazech, úsilí o zjednodušení a hodnocení právních předpisů EU ex post, mimo jiné snížením nepřiměřené administrativní zátěže, která má dopad na občany, podniky a orgány veřejné správy; </w:t>
            </w:r>
            <w:r>
              <w:t xml:space="preserve">v této souvislosti vyzdvihuje význam </w:t>
            </w:r>
            <w:r>
              <w:rPr>
                <w:b/>
                <w:i/>
              </w:rPr>
              <w:t>důrazného lidského dohledu</w:t>
            </w:r>
            <w:r>
              <w:t xml:space="preserve"> při zavádění těchto nástrojů;</w:t>
            </w:r>
            <w:r>
              <w:rPr>
                <w:b/>
                <w:i/>
              </w:rPr>
              <w:t xml:space="preserve"> zdůrazňuje, že systémy umělé inteligence nesmí nikdy nahradit politickou odpovědnost ani demokratickou odpovědnost lidí;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13a.</w:t>
            </w:r>
            <w:r>
              <w:tab/>
            </w:r>
            <w:r>
              <w:rPr>
                <w:b/>
                <w:i/>
              </w:rPr>
              <w:t>vyzývá Komisi a členské státy, aby zajistily jednotné, přiměřené a soudržné provádění rámce EU pro umělou inteligenci způsobem, který podporuje inovace a konkurenceschopnost a současně jsou v plném rozsahu dodržována základní práva, jakož i práva duševního vlastnictví a pravidla v oblasti autorského práva a který zabrání zbytečné administrativní zátěži, překrývání oznamovacích povinností a vnitrostátním opatřením „gold-platingu“, která by mohla tříštit vnitřní trh a bránit rozšiřování důvěryhodných evropských řešení v oblasti umělé inteligence;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vyzývá k analýze překryvů, mezer a nesrovnalostí mezi četnými legislativními a politickými nástroji souvisejícími s umělou inteligencí a jejich prováděním, aby se snížila roztříštěnost a zajistilo soudržné uplatňování napříč odvětvovými oblastmi, včetně soudržného institucionálního provádění;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vyzývá k analýze překryvů, mezer a nesrovnalostí mezi četnými legislativními a politickými nástroji souvisejícími s umělou inteligencí a jejich prováděním, aby se snížila roztříštěnost a </w:t>
            </w:r>
            <w:r>
              <w:rPr>
                <w:b/>
                <w:i/>
              </w:rPr>
              <w:t>zamezilo nadměrné zátěži, a současně</w:t>
            </w:r>
            <w:r>
              <w:t xml:space="preserve"> zajistilo soudržné uplatňování napříč odvětvovými oblastmi, včetně soudržného institucionálního provádění;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15.</w:t>
            </w:r>
            <w:r>
              <w:tab/>
            </w:r>
            <w:r>
              <w:rPr>
                <w:b/>
                <w:i/>
              </w:rPr>
              <w:t>zdůrazňuje, že analytická práce prováděná v rámci Parlamentu, včetně navrhovaného Střediska pro sledování AI Evropského parlamentu, by mohla přispět k odhalení meziodvětvových nedostatků, překryvů a nesrovnalostí v širším právním rámci EU pro umělou inteligenci;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(Přesunuto do bodu 11a.)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16.</w:t>
            </w:r>
            <w:r>
              <w:tab/>
            </w:r>
            <w:r>
              <w:rPr>
                <w:b/>
                <w:i/>
              </w:rPr>
              <w:t>zdůrazňuje, že Středisko pro sledování AI Evropského parlamentu by mohlo přispět ke sledování institucionálního řízení umělé inteligence, odpovědnosti a vysvětlitelnosti a sledování dopadů systémů umělé inteligence zavedených v rámci orgánu a mohlo by podpořit následné kroky Parlamentu v návaznosti na příslušné závěry Rady;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(Přesunuto do bodu 11b.)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17.</w:t>
            </w:r>
            <w:r>
              <w:tab/>
            </w:r>
            <w:r>
              <w:rPr>
                <w:b/>
                <w:i/>
              </w:rPr>
              <w:t>vyzývá předsedu Evropské rady pro umělou inteligenci, aby po jejím zřízení přizval na schůze rady Středisko pro sledování AI Evropského parlamentu, a zajistil tak parlamentní kontrolu a interinstitucionální soudržnost politiky EU v oblasti umělé inteligence;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zdůrazňuje, že posílená spolupráce v oblasti řízení umělé inteligence mezi Parlamentem, vnitrostátními parlamenty a příslušnými vnitrostátními orgány v souladu s článkem 70 aktu o </w:t>
            </w:r>
            <w:r>
              <w:rPr>
                <w:b/>
                <w:i/>
              </w:rPr>
              <w:t>umělé inteligenci</w:t>
            </w:r>
            <w:r>
              <w:t>, je nezbytná pro výměnu osvědčených postupů, zlepšení legislativní soudržnosti a podporu parlamentní kontroly nad zaváděním umělé inteligence v celé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zdůrazňuje, že posílená spolupráce v oblasti řízení umělé inteligence mezi </w:t>
            </w:r>
            <w:r>
              <w:rPr>
                <w:b/>
                <w:i/>
              </w:rPr>
              <w:t>Evropským parlamentem</w:t>
            </w:r>
            <w:r>
              <w:t xml:space="preserve"> vnitrostátními parlamenty a příslušnými vnitrostátními orgány</w:t>
            </w:r>
            <w:r>
              <w:rPr>
                <w:b/>
                <w:i/>
              </w:rPr>
              <w:t>, navázaná</w:t>
            </w:r>
            <w:r>
              <w:t xml:space="preserve"> v souladu s článkem 70 aktu o </w:t>
            </w:r>
            <w:r>
              <w:rPr>
                <w:b/>
                <w:i/>
              </w:rPr>
              <w:t>AI,</w:t>
            </w:r>
            <w:r>
              <w:t xml:space="preserve"> je nezbytná pro výměnu osvědčených postupů, zlepšení legislativní soudržnosti</w:t>
            </w:r>
            <w:r>
              <w:rPr>
                <w:b/>
                <w:i/>
              </w:rPr>
              <w:t>, podporu identifikace a odstranění překrývání a zbytečné byrokracie,</w:t>
            </w:r>
            <w:r>
              <w:t xml:space="preserve"> a podporu parlamentní kontroly nad zaváděním umělé inteligence v celé EU;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vyzývá k systematickému parlamentnímu hodnocení rizik spojených s umělou inteligencí pro demokratické procesy, včetně integrity voleb, </w:t>
            </w:r>
            <w:r>
              <w:rPr>
                <w:b/>
                <w:i/>
              </w:rPr>
              <w:t>a k tomu, aby Středisko pro sledování AI Evropského parlamentu podporovalo monitorování voleb a evropských politických stran,</w:t>
            </w:r>
            <w:r>
              <w:t xml:space="preserve"> vzhledem k tomu, že </w:t>
            </w:r>
            <w:r>
              <w:rPr>
                <w:b/>
                <w:i/>
              </w:rPr>
              <w:t>umělá inteligence</w:t>
            </w:r>
            <w:r>
              <w:t xml:space="preserve"> stále více </w:t>
            </w:r>
            <w:r>
              <w:rPr>
                <w:b/>
                <w:i/>
              </w:rPr>
              <w:t>ovlivňuje</w:t>
            </w:r>
            <w:r>
              <w:t xml:space="preserve"> politickou komunikaci, volební procesy, veřejný diskurz a rozhodován;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vyzývá k systematickému parlamentnímu hodnocení rizik spojených s umělou inteligencí pro demokratické procesy, včetně integrity voleb, </w:t>
            </w:r>
            <w:r>
              <w:rPr>
                <w:b/>
                <w:i/>
              </w:rPr>
              <w:t xml:space="preserve">základních svobod a práva na soukromí, </w:t>
            </w:r>
            <w:r>
              <w:rPr>
                <w:b/>
                <w:i/>
              </w:rPr>
              <w:t xml:space="preserve">a k parlamentní podpoře analýzy příslušného vývoje v oblasti umělé inteligence, jenž ovlivňuje demokratické procesy, včetně používání umělé inteligence v politické komunikaci a veřejné diskusi, </w:t>
            </w:r>
            <w:r>
              <w:t>vzhledem k tomu, že</w:t>
            </w:r>
            <w:r>
              <w:rPr>
                <w:b/>
                <w:i/>
              </w:rPr>
              <w:t xml:space="preserve"> aplikace využívající umělou inteligenci</w:t>
            </w:r>
            <w:r>
              <w:t xml:space="preserve"> stále více </w:t>
            </w:r>
            <w:r>
              <w:rPr>
                <w:b/>
                <w:i/>
              </w:rPr>
              <w:t>formují</w:t>
            </w:r>
            <w:r>
              <w:t xml:space="preserve"> politickou komunikaci, volební procesy, veřejný diskurz a rozhodování</w:t>
            </w:r>
            <w:r>
              <w:rPr>
                <w:b/>
                <w:i/>
              </w:rPr>
              <w:t>, a to i prostřednictvím deepfakes, syntetických sdělovacích prostředků a koordinovaných dezinformačních kampaní; zdůrazňuje v této souvislosti, že je nutné prosazovat povinnosti týkající se transparentnosti stanovené v aktu o umělé inteligenci, pokud jde o obsah generovaný umělou inteligencí; uvědomuje si, že umělá inteligence může rovněž posílit demokratickou účast, zlepšit přístup k informacím a posílit tvorbu politik založenou na důkazech, přičemž zdůrazňuje, že je třeba zajistit, aby její využívání zůstalo transparentní, odpovědné a v souladu s právem EU;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poukazuje na to, že rychlý vývoj v oblasti správy věcí veřejných v EU, zejména v reakci na digitální transformaci, umělou inteligenci a stále složitější regulační rámce, průběžně prověřuje adekvátnost stávajících ustanovení Smlouvy upravujících pravomoci orgánů, demokratickou odpovědnost a parlamentní kontrolu;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poukazuje na to, že rychlý vývoj v oblasti správy věcí veřejných v EU, zejména v reakci na digitální transformaci, umělou inteligenci a stále složitější regulační rámce, průběžně prověřuje adekvátnost stávajících ustanovení Smlouvy upravujících pravomoci orgánů, demokratickou odpovědnost a parlamentní kontrolu</w:t>
            </w:r>
            <w:r>
              <w:rPr>
                <w:b/>
                <w:i/>
              </w:rPr>
              <w:t>, a současně také upozorňuje, že je třeba zajistit transparentnost a snížit složitost právní úpravy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21a.</w:t>
            </w:r>
            <w:r>
              <w:tab/>
            </w:r>
            <w:r>
              <w:rPr>
                <w:b/>
                <w:i/>
              </w:rPr>
              <w:t>zdůrazňuje, že v krátkodobém až střednědobém horizontu se rychlý pokrok ve vývoji umělé inteligence odráží na regulační úrovni v nově přijatém aktu o AI, který dosud není plně použitelný a jehož dopad se teprve plně projeví; zdůrazňuje, že nejnovějším pokrokem v oblasti umělé inteligence se zabývá také souhrnný balíček pro digitální oblast týkající se umělé inteligence, který je reakcí na potřebu zjednodušit a vyjasnit některá ustanovení aktu o AI prostřednictvím řady cílených opatření k zajištění jeho včasného, hladkého a přiměřeného provádění; zdůrazňuje skutečnost, že souhrnný balíček pro digitální oblast týkající se umělé inteligence odráží nutnost přizpůsobit se rychlému tempu vývoje umělé inteligence a zajistit, aby právní rámec EU podporoval účinné a konkurenční prostředí pro organizace působící v EU; připomíná samostatný návrh souhrnného balíčku pro digitální oblast, který dále objasňuje, jak mohou být osobní údaje použity pro trénování a vývoj umělé inteligence; v této souvislosti zdůrazňuje, že je nutné provádět a prosazovat akt o AI i zbývající část digitálního právního rámce EU a v případě potřeby jej aktualizovat s ohledem na technologický vývoj, přičemž je třeba se vyvarovat zbytečné administrativní zátěže, překrývání oznamovacích povinností a vnitrostátních opatření „gold-platingu“, která by mohla tříštit vnitřní trh a bránit rozšiřování důvěryhodných evropských řešení v oblasti umělé inteligence; zdůrazňuje, že v této souvislosti je třeba uplatňovat transparentní přístup;</w:t>
            </w:r>
          </w:p>
        </w:tc>
      </w:tr>
    </w:tbl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p>
      <w:pPr>
        <w:sectPr>
          <w:footnotePr>
            <w:numRestart w:val="eachSect"/>
          </w:footnotePr>
          <w:type w:val="nextPage"/>
          <w:pgSz w:w="11909" w:h="16834"/>
          <w:pgMar w:top="1134" w:right="1417" w:bottom="1417" w:left="1417" w:header="1134" w:footer="567"/>
          <w:cols w:space="720"/>
        </w:sectPr>
      </w:pPr>
    </w:p>
    <w:p>
      <w:pPr>
        <w:pStyle w:val="PageHeadingNotTOC"/>
      </w:pPr>
      <w:r>
        <w:t>PŘÍLOHA: ZVEŘEJŇOVÁNÍ PODNĚTŮ</w:t>
      </w:r>
    </w:p>
    <w:p>
      <w:pPr>
        <w:pStyle w:val="Normal12a"/>
      </w:pPr>
      <w:r>
        <w:rPr>
          <w:rStyle w:val="HideTWBExt"/>
        </w:rPr>
        <w:t>&lt;FootprintIntro&gt;</w:t>
      </w:r>
      <w:r>
        <w:rPr>
          <w:rStyle w:val="HideTWBExt"/>
        </w:rPr>
        <w:t>&lt;/FootprintIntro&gt;</w:t>
      </w:r>
    </w:p>
    <w:p>
      <w:pPr>
        <w:pStyle w:val="Normal12a"/>
      </w:pPr>
      <w:r>
        <w:t>Zpravodaj v souladu s článkem 8 přílohy I jednacího řádu prohlašuje, že do své zprávy zahrnul podněty k záležitostem týkajícím se předmětu spisu, které při vypracovávání návrhu zprávy obdržel od zástupců zájmových skupin spadajících do oblasti působnosti interinstitucionální dohody o povinném rejstříku transparentnosti</w:t>
      </w:r>
      <w:r>
        <w:rPr>
          <w:rStyle w:val="FootnoteReference"/>
        </w:rPr>
        <w:footnoteReference w:customMarkFollows="1" w:id="2"/>
        <w:t xml:space="preserve">1</w:t>
      </w:r>
      <w:r>
        <w:t xml:space="preserve"> nebo představitelů orgánů třetích zemí, včetně jejich diplomatických misí a velvyslanectví: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9080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pPr>
              <w:jc w:val="center"/>
            </w:pPr>
            <w:r>
              <w:rPr>
                <w:b/>
              </w:rPr>
              <w:t>1. Zástupci zájmových skupin spadající do oblasti působnosti interinstitucionální dohody o povinném rejstříku transparentnosti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Pour Demain Europe TI 172933491707-16</w:t>
            </w:r>
          </w:p>
        </w:tc>
      </w:tr>
    </w:tbl>
    <w:p/>
    <w:p>
      <w:pPr>
        <w:pStyle w:val="Normal12a"/>
      </w:pPr>
      <w:r>
        <w:t>Výše uvedený seznam je sestaven na výhradní odpovědnost zpravodaje.</w:t>
      </w:r>
    </w:p>
    <w:p>
      <w:pPr>
        <w:pStyle w:val="Normal12a"/>
      </w:pPr>
      <w:r>
        <w:t>Pokud jsou na seznamu uvedena jména, funkce, případně jména i funkce fyzických osob, zpravodaj prohlašuje, že příslušné fyzické osoby byly seznámeny s prohlášením Evropského parlamentu o ochraně osobních údajů č. 484 (</w:t>
      </w:r>
      <w:hyperlink r:id="rId9" w:tgtFrame="https://www.europarl.europa.eu/data-protect/index.do" w:history="1">
        <w:r>
          <w:rPr>
            <w:rStyle w:val="Hyperlink"/>
          </w:rPr>
          <w:t>https://www.europarl.europa.eu/data-protect/index.do</w:t>
        </w:r>
      </w:hyperlink>
      <w:r>
        <w:t>), které stanoví podmínky platné pro zpracování jejich osobních údajů a práva související s tímto zpracováním.</w:t>
      </w:r>
    </w:p>
    <w:p>
      <w:pPr>
        <w:sectPr>
          <w:footnotePr>
            <w:numRestart w:val="eachSect"/>
          </w:footnotePr>
          <w:type w:val="nextPage"/>
          <w:pgSz w:w="11909" w:h="16834"/>
          <w:pgMar w:top="1134" w:right="1417" w:bottom="1417" w:left="1417" w:header="1134" w:footer="567"/>
          <w:cols w:space="720"/>
        </w:sectPr>
      </w:pPr>
    </w:p>
    <w:p>
      <w:pPr>
        <w:pStyle w:val="PageHeadingNotTOC"/>
      </w:pPr>
      <w:r>
        <w:t>INFORMACE O PŘIJETÍ VÝBOREM POSKYTUJÍCÍM STANOVISKO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3600"/>
        <w:gridCol w:w="6400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c>
          <w:tcPr>
            <w:tcW w:w="3600" w:type="dxa"/>
          </w:tcPr>
          <w:p>
            <w:pPr>
              <w:pStyle w:val="ProcedureTableBold"/>
            </w:pPr>
            <w:r>
              <w:t>Datum přijetí</w:t>
            </w:r>
          </w:p>
        </w:tc>
        <w:tc>
          <w:tcPr>
            <w:tcW w:w="6400" w:type="dxa"/>
            <w:tcBorders>
              <w:left w:val="dotted" w:sz="4" w:space="0" w:color="auto"/>
            </w:tcBorders>
          </w:tcPr>
          <w:p>
            <w:pPr>
              <w:pStyle w:val="ProcedureTable"/>
            </w:pPr>
            <w:r>
              <w:t>24.6.2026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3600" w:type="dxa"/>
          </w:tcPr>
          <w:p>
            <w:pPr>
              <w:pStyle w:val="ProcedureTableBold"/>
            </w:pPr>
            <w:r>
              <w:t>Výsledek konečného hlasování</w:t>
            </w:r>
          </w:p>
        </w:tc>
        <w:tc>
          <w:tcPr>
            <w:tcW w:w="6400" w:type="dxa"/>
            <w:tcBorders>
              <w:left w:val="dotted" w:sz="4" w:space="0" w:color="auto"/>
            </w:tcBorders>
          </w:tcPr>
          <w:p>
            <w:r>
              <w:t>+</w:t>
            </w:r>
            <w:r>
              <w:tab/>
            </w:r>
            <w:r>
              <w:t>:</w:t>
            </w:r>
            <w:r>
              <w:tab/>
            </w:r>
            <w:r>
              <w:t>66</w:t>
            </w:r>
          </w:p>
          <w:p>
            <w:r>
              <w:t>-</w:t>
            </w:r>
            <w:r>
              <w:tab/>
            </w:r>
            <w:r>
              <w:t>:</w:t>
            </w:r>
            <w:r>
              <w:tab/>
            </w:r>
            <w:r>
              <w:t>0</w:t>
            </w:r>
          </w:p>
          <w:p>
            <w:r>
              <w:t>0</w:t>
            </w:r>
            <w:r>
              <w:tab/>
            </w:r>
            <w:r>
              <w:t>:</w:t>
            </w:r>
            <w:r>
              <w:tab/>
            </w:r>
            <w:r>
              <w:t>4</w:t>
            </w:r>
          </w:p>
        </w:tc>
      </w:tr>
    </w:tbl>
    <w:p>
      <w:pPr>
        <w:sectPr>
          <w:type w:val="nextPage"/>
          <w:pgSz w:w="11909" w:h="16834"/>
          <w:pgMar w:top="1134" w:right="1417" w:bottom="1417" w:left="1417" w:header="1134" w:footer="567"/>
          <w:cols w:space="720"/>
        </w:sectPr>
      </w:pPr>
    </w:p>
    <w:p>
      <w:pPr>
        <w:pStyle w:val="PageHeadingNotTOC"/>
      </w:pPr>
      <w:r>
        <w:t>JMENOVITÉ KONEČNÉ HLASOVÁNÍ</w:t>
        <w:br/>
        <w:t>VE VÝBORU POSKYTUJÍCÍM STANOVISKO</w:t>
      </w:r>
    </w:p>
    <w:tbl>
      <w:tblPr>
        <w:tblW w:w="0" w:type="auto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140" w:type="dxa"/>
          <w:bottom w:w="54" w:type="dxa"/>
          <w:right w:w="140" w:type="dxa"/>
        </w:tblCellMar>
      </w:tblPr>
      <w:tblGrid>
        <w:gridCol w:w="1600"/>
        <w:gridCol w:w="7600"/>
      </w:tblGrid>
      <w:tr>
        <w:tblPrEx>
          <w:tblW w:w="0" w:type="auto"/>
          <w:tblBorders>
            <w:top w:val="double" w:sz="8" w:space="0" w:color="000000"/>
            <w:left w:val="double" w:sz="8" w:space="0" w:color="000000"/>
            <w:bottom w:val="double" w:sz="8" w:space="0" w:color="000000"/>
            <w:right w:val="double" w:sz="8" w:space="0" w:color="000000"/>
            <w:insideH w:val="single" w:sz="4" w:space="0" w:color="auto"/>
            <w:insideV w:val="single" w:sz="4" w:space="0" w:color="auto"/>
          </w:tblBorders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  <w:shd w:val="clear" w:color="auto" w:fill="C0C0C0"/>
          </w:tcPr>
          <w:p>
            <w:pPr>
              <w:pStyle w:val="NormalBold"/>
            </w:pPr>
            <w:r>
              <w:t>66</w:t>
            </w:r>
          </w:p>
        </w:tc>
        <w:tc>
          <w:tcPr>
            <w:tcW w:w="7600" w:type="dxa"/>
            <w:shd w:val="clear" w:color="auto" w:fill="C0C0C0"/>
          </w:tcPr>
          <w:p>
            <w:pPr>
              <w:pStyle w:val="Arial14CentreBold"/>
            </w:pPr>
            <w:r>
              <w:t>+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ECR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Alessandro Ciriani, Geadis Geadi, Paolo Inselvini, Assita Kanko, Georgiana Teodorescu, Maciej Wasik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NI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Erik Kalinák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PPE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Georgios Aftias, Krzysztof Brejza, Caterina Chinnici, Paulo Cunha, Lena Düpont, Loucas Fourlas, Ondřej Kolár, Marie-Sophie Lanig, Jeroen Lenaers, Verena Mertens, Ana Miguel Pedro, Emil Radev, Karlo Ressler, Bartlomiej Sienkiewicz, Tomas Tobé, Loránt Vincze, Isabel Wiseler-Lima, Javier Zarzalejos, Tomás Zdechovský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PfE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Jaroslav Bzoch, Mélanie Disdier, Marieke Ehlers, Catherine Griset, András László, Fabrice Leggeri, António Tânger Corrêa, Tom Vandendriessche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Renew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Malik Azmani, Veronika Cifrová Ostrihonová, Raquel García Hermida-Van Der Walle, Fabienne Keller, Moritz Körner, Michael McNamara, Marjan Sarec, Hilde Vautmans, Lucia Yar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S&amp;D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Vytenis Povilas Andriukaitis, Francisco Assis, Katarina Barley, Hannes Heide, Alicia Homs Ginel, Evin Incir, Murielle Laurent, Ana Catarina Mendes, Birgit Sippel, Krzysztof Smiszek, Cecilia Strada, Kristian Vigenin, Alessandro Zan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The Left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Giuseppe Antoci, Pernando Barrena Arza, Gaetano Pedulla, Ilaria Salis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Verts/ALE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Jaume Asens Llodrà, Saskia Bricmont, Mélissa Camara, Markéta Gregorová, Leoluca Orlando, Tineke Strik</w:t>
            </w:r>
          </w:p>
        </w:tc>
      </w:tr>
    </w:tbl>
    <w:p/>
    <w:tbl>
      <w:tblPr>
        <w:tblW w:w="0" w:type="auto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140" w:type="dxa"/>
          <w:bottom w:w="54" w:type="dxa"/>
          <w:right w:w="140" w:type="dxa"/>
        </w:tblCellMar>
      </w:tblPr>
      <w:tblGrid>
        <w:gridCol w:w="1600"/>
        <w:gridCol w:w="7600"/>
      </w:tblGrid>
      <w:tr>
        <w:tblPrEx>
          <w:tblW w:w="0" w:type="auto"/>
          <w:tblBorders>
            <w:top w:val="double" w:sz="8" w:space="0" w:color="000000"/>
            <w:left w:val="double" w:sz="8" w:space="0" w:color="000000"/>
            <w:bottom w:val="double" w:sz="8" w:space="0" w:color="000000"/>
            <w:right w:val="double" w:sz="8" w:space="0" w:color="000000"/>
            <w:insideH w:val="single" w:sz="4" w:space="0" w:color="auto"/>
            <w:insideV w:val="single" w:sz="4" w:space="0" w:color="auto"/>
          </w:tblBorders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  <w:shd w:val="clear" w:color="auto" w:fill="C0C0C0"/>
          </w:tcPr>
          <w:p>
            <w:pPr>
              <w:pStyle w:val="NormalBold"/>
            </w:pPr>
            <w:r>
              <w:t>0</w:t>
            </w:r>
          </w:p>
        </w:tc>
        <w:tc>
          <w:tcPr>
            <w:tcW w:w="7600" w:type="dxa"/>
            <w:shd w:val="clear" w:color="auto" w:fill="C0C0C0"/>
          </w:tcPr>
          <w:p>
            <w:pPr>
              <w:pStyle w:val="Arial14CentreBold"/>
            </w:pPr>
            <w:r>
              <w:t>-</w:t>
            </w:r>
          </w:p>
        </w:tc>
      </w:tr>
    </w:tbl>
    <w:p/>
    <w:tbl>
      <w:tblPr>
        <w:tblW w:w="0" w:type="auto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140" w:type="dxa"/>
          <w:bottom w:w="54" w:type="dxa"/>
          <w:right w:w="140" w:type="dxa"/>
        </w:tblCellMar>
      </w:tblPr>
      <w:tblGrid>
        <w:gridCol w:w="1600"/>
        <w:gridCol w:w="7600"/>
      </w:tblGrid>
      <w:tr>
        <w:tblPrEx>
          <w:tblW w:w="0" w:type="auto"/>
          <w:tblBorders>
            <w:top w:val="double" w:sz="8" w:space="0" w:color="000000"/>
            <w:left w:val="double" w:sz="8" w:space="0" w:color="000000"/>
            <w:bottom w:val="double" w:sz="8" w:space="0" w:color="000000"/>
            <w:right w:val="double" w:sz="8" w:space="0" w:color="000000"/>
            <w:insideH w:val="single" w:sz="4" w:space="0" w:color="auto"/>
            <w:insideV w:val="single" w:sz="4" w:space="0" w:color="auto"/>
          </w:tblBorders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  <w:shd w:val="clear" w:color="auto" w:fill="C0C0C0"/>
          </w:tcPr>
          <w:p>
            <w:pPr>
              <w:pStyle w:val="NormalBold"/>
            </w:pPr>
            <w:r>
              <w:t>4</w:t>
            </w:r>
          </w:p>
        </w:tc>
        <w:tc>
          <w:tcPr>
            <w:tcW w:w="7600" w:type="dxa"/>
            <w:shd w:val="clear" w:color="auto" w:fill="C0C0C0"/>
          </w:tcPr>
          <w:p>
            <w:pPr>
              <w:pStyle w:val="Arial14CentreBold"/>
            </w:pPr>
            <w:r>
              <w:t>0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ESN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Alexander Sell, Milan Uhrík, Roberto Vannacci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PfE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Jorge Buxadé Villalba</w:t>
            </w:r>
          </w:p>
        </w:tc>
      </w:tr>
    </w:tbl>
    <w:p/>
    <w:p>
      <w:r>
        <w:t>Význam zkratek:</w:t>
      </w:r>
    </w:p>
    <w:p>
      <w:pPr>
        <w:pStyle w:val="NormalTab"/>
      </w:pPr>
      <w:r>
        <w:t>+</w:t>
      </w:r>
      <w:r>
        <w:t xml:space="preserve">:  </w:t>
      </w:r>
      <w:r>
        <w:t>pro</w:t>
      </w:r>
    </w:p>
    <w:p>
      <w:pPr>
        <w:pStyle w:val="NormalTab"/>
      </w:pPr>
      <w:r>
        <w:t>-</w:t>
      </w:r>
      <w:r>
        <w:t xml:space="preserve">:  </w:t>
      </w:r>
      <w:r>
        <w:t>proti</w:t>
      </w:r>
    </w:p>
    <w:p>
      <w:pPr>
        <w:pStyle w:val="NormalTab"/>
      </w:pPr>
      <w:r>
        <w:t>0</w:t>
      </w:r>
      <w:r>
        <w:t xml:space="preserve">:  </w:t>
      </w:r>
      <w:r>
        <w:t>zdrželi se</w:t>
      </w:r>
    </w:p>
    <w:sectPr>
      <w:type w:val="nextPage"/>
      <w:pgSz w:w="11909" w:h="16834"/>
      <w:pgMar w:top="1134" w:right="1417" w:bottom="1417" w:left="1417" w:header="1134" w:footer="56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787.655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v02-00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28</w:t>
    </w:r>
    <w:r>
      <w:fldChar w:fldCharType="end"/>
    </w:r>
    <w:r>
      <w:tab/>
    </w:r>
    <w:r>
      <w:rPr>
        <w:rStyle w:val="HideTWBExt"/>
      </w:rPr>
      <w:t>&lt;PathFdR&gt;</w:t>
    </w:r>
    <w:r>
      <w:t>AD\1346087CS.docx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AD\1346087CS.docx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28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787.655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v02-00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AD\1346087CS.docx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787.655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v02-00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rStyle w:val="FootnoteReference"/>
        </w:rPr>
        <w:t>1</w:t>
      </w:r>
      <w:r>
        <w:t xml:space="preserve"> </w:t>
      </w:r>
      <w:r>
        <w:t xml:space="preserve"> </w:t>
      </w:r>
      <w:r>
        <w:t xml:space="preserve">Interinstitucionální dohoda z května 2021 mezi Evropským parlamentem, Radou Evropské unie a Evropskou komisí o povinném rejstříku transparentnosti (Úř. věst. L 207, 11.6.2021, s. 1, ELI: </w:t>
      </w:r>
      <w:hyperlink r:id="rId1" w:tgtFrame="http://data.europa.eu/eli/agree_interinstit/2021/611/oj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5\fbidi \froman\fcharset238\fprq2 Times New Roman CE;}{\f336\fbidi \froman\fcharset204\fprq2 Times New Roman Cyr;}{\f338\fbidi \froman\fcharset161\fprq2 Times New Roman Greek;}_x000d__x000a_{\f339\fbidi \froman\fcharset162\fprq2 Times New Roman Tur;}{\f340\fbidi \froman\fcharset177\fprq2 Times New Roman (Hebrew);}{\f341\fbidi \froman\fcharset178\fprq2 Times New Roman (Arabic);}{\f342\fbidi \froman\fcharset186\fprq2 Times New Roman Baltic;}_x000d__x000a_{\f343\fbidi \froman\fcharset163\fprq2 Times New Roman (Vietnamese);}{\f345\fbidi \fswiss\fcharset238\fprq2 Arial CE;}{\f346\fbidi \fswiss\fcharset204\fprq2 Arial Cyr;}{\f348\fbidi \fswiss\fcharset161\fprq2 Arial Greek;}_x000d__x000a_{\f349\fbidi \fswiss\fcharset162\fprq2 Arial Tur;}{\f350\fbidi \fswiss\fcharset177\fprq2 Arial (Hebrew);}{\f351\fbidi \fswiss\fcharset178\fprq2 Arial (Arabic);}{\f352\fbidi \fswiss\fcharset186\fprq2 Arial Baltic;}_x000d__x000a_{\f353\fbidi \fswiss\fcharset163\fprq2 Arial (Vietnamese);}{\f675\fbidi \froman\fcharset238\fprq2 Cambria Math CE;}{\f676\fbidi \froman\fcharset204\fprq2 Cambria Math Cyr;}{\f678\fbidi \froman\fcharset161\fprq2 Cambria Math Greek;}_x000d__x000a_{\f679\fbidi \froman\fcharset162\fprq2 Cambria Math Tur;}{\f682\fbidi \froman\fcharset186\fprq2 Cambria Math Baltic;}{\f683\fbidi \froman\fcharset163\fprq2 Cambria Math (Vietnamese);}_x000d__x000a_{\f717\fbidi \fswiss\fcharset0\fprq2 Yu Gothic Light Western{\*\falt \'9f\'e0\'83\'53\'83\'56\'83\'62\'83\'4e Light};}{\f715\fbidi \fswiss\fcharset238\fprq2 Yu Gothic Light CE{\*\falt \'9f\'e0\'83\'53\'83\'56\'83\'62\'83\'4e Light};}_x000d__x000a_{\f716\fbidi \fswiss\fcharset204\fprq2 Yu Gothic Light Cyr{\*\falt \'9f\'e0\'83\'53\'83\'56\'83\'62\'83\'4e Light};}{\f718\fbidi \fswiss\fcharset161\fprq2 Yu Gothic Light Greek{\*\falt \'9f\'e0\'83\'53\'83\'56\'83\'62\'83\'4e Light};}_x000d__x000a_{\f719\fbidi \fswiss\fcharset162\fprq2 Yu Gothic Light Tur{\*\falt \'9f\'e0\'83\'53\'83\'56\'83\'62\'83\'4e Light};}{\f722\fbidi \fswiss\fcharset186\fprq2 Yu Gothic Light Baltic{\*\falt \'9f\'e0\'83\'53\'83\'56\'83\'62\'83\'4e Light};}_x000d__x000a_{\f1967\fbidi \fswiss\fcharset0\fprq2 @Yu Gothic Light Western;}{\f1965\fbidi \fswiss\fcharset238\fprq2 @Yu Gothic Light CE;}{\f1966\fbidi \fswiss\fcharset204\fprq2 @Yu Gothic Light Cyr;}{\f1968\fbidi \fswiss\fcharset161\fprq2 @Yu Gothic Light Greek;}_x000d__x000a_{\f1969\fbidi \fswiss\fcharset162\fprq2 @Yu Gothic Light Tur;}{\f1972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242834 HideTWBExt;}{_x000d__x000a_\s18\ql \li0\ri0\nowidctlpar\wrapdefault\aspalpha\aspnum\faauto\adjustright\rin0\lin0\itap0 \rtlch\fcs1 \af0\afs20\alang1025 \ltrch\fcs0 \b\fs24\lang2057\langfe2057\cgrid\langnp2057\langfenp2057 \sbasedon0 \snext18 \spriority0 \styrsid2242834 NormalBold;}_x000d__x000a_{\s19\qr \li0\ri0\sb240\sa240\nowidctlpar\wrapdefault\aspalpha\aspnum\faauto\adjustright\rin0\lin0\itap0 \rtlch\fcs1 \af0\afs20\alang1025 \ltrch\fcs0 \fs24\lang2057\langfe2057\cgrid\langnp2057\langfenp2057 \sbasedon0 \snext19 \spriority0 \styrsid2242834 _x000d__x000a_AmOrLang;}{\s20\ql \li0\ri0\sa120\nowidctlpar\wrapdefault\aspalpha\aspnum\faauto\adjustright\rin0\lin0\itap0 \rtlch\fcs1 \af0\afs20\alang1025 \ltrch\fcs0 \fs24\lang2057\langfe2057\cgrid\langnp2057\langfenp2057 _x000d__x000a_\sbasedon0 \snext20 \spriority0 \styrsid2242834 Normal6a;}{\s21\qc \li0\ri0\sa240\nowidctlpar\wrapdefault\aspalpha\aspnum\faauto\adjustright\rin0\lin0\itap0 \rtlch\fcs1 \af0\afs20\alang1025 \ltrch\fcs0 _x000d__x000a_\i\fs24\lang2057\langfe2057\cgrid\langnp2057\langfenp2057 \sbasedon0 \snext21 \spriority0 \styrsid2242834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2242834 AmNumberTabs;}{\s23\ql \li0\ri0\sb240\nowidctlpar\wrapdefault\aspalpha\aspnum\faauto\adjustright\rin0\lin0\itap0 \rtlch\fcs1 _x000d__x000a_\af0\afs20\alang1025 \ltrch\fcs0 \b\fs24\lang2057\langfe2057\cgrid\langnp2057\langfenp2057 \sbasedon0 \snext23 \spriority0 \styrsid2242834 NormalBold12b;}}{\*\rsidtbl \rsid24658\rsid223860\rsid735077\rsid1718133\rsid2242834\rsid2892074\rsid3565327_x000d__x000a_\rsid4666813\rsid6641733\rsid7823322\rsid9582763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nmonkuniene}{\operator MONKUNIENE Neringa}{\creatim\yr2024\mo5\dy23\hr11\min2}{\revtim\yr2024\mo5\dy23\hr11\min2}{\version1}{\edmins0}{\nofpages1}_x000d__x000a_{\nofwords120}{\nofchars69}{\nofcharsws188}{\vern109}}{\*\xmlnstbl {\xmlns1 http://schemas.microsoft.com/office/word/2003/wordml}}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224283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58276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82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82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8276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2242834 \rtlch\fcs1 _x000d__x000a_\af0\afs20\alang1025 \ltrch\fcs0 \b\fs24\lang2057\langfe2057\cgrid\langnp2057\langfenp2057 {\rtlch\fcs1 \af0 \ltrch\fcs0 \cs17\b0\v\fs20\cf9\lang1024\langfe1024\loch\af1\hich\af1\dbch\af31501\noproof\langnp1036\insrsid2242834\charrsid4291528 _x000d__x000a_{\*\bkmkstart restart}\hich\af1\dbch\af31501\loch\f1 &lt;Amend&gt;}{\rtlch\fcs1 \af0 \ltrch\fcs0 \lang1036\langfe2057\langnp1036\insrsid2242834\charrsid4291528 [ZAMENDMENT]\tab \tab }{\rtlch\fcs1 \af0 \ltrch\fcs0 _x000d__x000a_\cs17\b0\v\fs20\cf9\lang1024\langfe1024\loch\af1\hich\af1\dbch\af31501\noproof\langnp1036\insrsid2242834\charrsid4291528 \hich\af1\dbch\af31501\loch\f1 &lt;NumAm&gt;}{\rtlch\fcs1 \af0 \ltrch\fcs0 \lang1036\langfe2057\langnp1036\insrsid2242834\charrsid4291528 _x000d__x000a_[ZNRAM]}{\rtlch\fcs1 \af0 \ltrch\fcs0 \cs17\b0\v\fs20\cf9\lang1024\langfe1024\loch\af1\hich\af1\dbch\af31501\noproof\langnp1036\insrsid2242834\charrsid4291528 \hich\af1\dbch\af31501\loch\f1 &lt;/NumAm&gt;}{\rtlch\fcs1 \af0 \ltrch\fcs0 _x000d__x000a_\lang1036\langfe2057\langnp1036\insrsid2242834\charrsid4291528 _x000d__x000a_\par }\pard\plain \ltrpar\s23\ql \li0\ri0\sb240\keepn\nowidctlpar\wrapdefault\aspalpha\aspnum\faauto\adjustright\rin0\lin0\itap0\pararsid2242834 \rtlch\fcs1 \af0\afs20\alang1025 \ltrch\fcs0 \b\fs24\lang2057\langfe2057\cgrid\langnp2057\langfenp2057 {_x000d__x000a_\rtlch\fcs1 \af0 \ltrch\fcs0 \cs17\b0\v\fs20\cf9\lang1024\langfe1024\loch\af1\hich\af1\dbch\af31501\noproof\langnp1036\insrsid2242834\charrsid4291528 \hich\af1\dbch\af31501\loch\f1 &lt;DocAmend&gt;}{\rtlch\fcs1 \af0 \ltrch\fcs0 _x000d__x000a_\lang1036\langfe2057\langnp1036\insrsid2242834\charrsid4291528 [}{\rtlch\fcs1 \af0 \ltrch\fcs0 \lang1036\langfe2057\langnp1036\insrsid2242834\charrsid3548259 ZPROPOSAL}{\rtlch\fcs1 \af0 \ltrch\fcs0 _x000d__x000a_\lang1036\langfe2057\langnp1036\insrsid2242834\charrsid4291528 ]}{\rtlch\fcs1 \af0 \ltrch\fcs0 \cs17\b0\v\fs20\cf9\lang1024\langfe1024\loch\af1\hich\af1\dbch\af31501\noproof\langnp1036\insrsid2242834\charrsid4291528 \hich\af1\dbch\af31501\loch\f1 _x000d__x000a_&lt;/DocAmend&gt;}{\rtlch\fcs1 \af0 \ltrch\fcs0 \lang1036\langfe2057\langnp1036\insrsid2242834\charrsid4291528 _x000d__x000a_\par }\pard\plain \ltrpar\s18\ql \li0\ri0\nowidctlpar\wrapdefault\aspalpha\aspnum\faauto\adjustright\rin0\lin0\itap0\pararsid2242834 \rtlch\fcs1 \af0\afs20\alang1025 \ltrch\fcs0 \b\fs24\lang2057\langfe2057\cgrid\langnp2057\langfenp2057 {\rtlch\fcs1 \af0 _x000d__x000a_\ltrch\fcs0 \cs17\b0\v\fs20\cf9\lang1024\langfe1024\loch\af1\hich\af1\dbch\af31501\noproof\langnp1036\insrsid2242834\charrsid4291528 \hich\af1\dbch\af31501\loch\f1 &lt;Article&gt;}{\rtlch\fcs1 \af0 \ltrch\fcs0 _x000d__x000a_\lang1036\langfe2057\langnp1036\insrsid2242834\charrsid4291528 [ZAMPART]}{\rtlch\fcs1 \af0 \ltrch\fcs0 \cs17\b0\v\fs20\cf9\lang1024\langfe1024\loch\af1\hich\af1\dbch\af31501\noproof\langnp1036\insrsid2242834\charrsid4291528 \hich\af1\dbch\af31501\loch\f1 _x000d__x000a_&lt;/Article&gt;}{\rtlch\fcs1 \af0 \ltrch\fcs0 \lang1036\langfe2057\langnp1036\insrsid2242834\charrsid4291528 _x000d__x000a_\par \ltrrow}\trowd \irow0\irowband0\ltrrow\ts11\trqc\trgaph340\trleft0\trftsWidth3\trwWidth9752\trftsWidthB3\trpaddl340\trpaddr340\trpaddfl3\trpaddft3\trpaddfb3\trpaddfr3\tblrsid9505846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9505846 \rtlch\fcs1 \af0\afs20\alang1025 \ltrch\fcs0 _x000d__x000a_\fs24\lang2057\langfe2057\cgrid\langnp2057\langfenp2057 {\rtlch\fcs1 \af0 \ltrch\fcs0 \lang1036\langfe2057\langnp1036\insrsid2242834\charrsid4291528 \cell }\pard\plain \ltrpar_x000d__x000a_\ql \li0\ri0\widctlpar\intbl\wrapdefault\aspalpha\aspnum\faauto\adjustright\rin0\lin0 \rtlch\fcs1 \af0\afs20\alang1025 \ltrch\fcs0 \fs24\lang2057\langfe2057\cgrid\langnp2057\langfenp2057 {\rtlch\fcs1 \af0 \ltrch\fcs0 \insrsid2242834\charrsid4291528 _x000d__x000a_\trowd \irow0\irowband0\ltrrow\ts11\trqc\trgaph340\trleft0\trftsWidth3\trwWidth9752\trftsWidthB3\trpaddl340\trpaddr340\trpaddfl3\trpaddft3\trpaddfb3\trpaddfr3\tblrsid9505846\tblind0\tblindtype3 \clvertalt\clbrdrt\brdrtbl \clbrdrl\brdrtbl \clbrdrb\brdrtbl _x000d__x000a_\clbrdrr\brdrtbl \cltxlrtb\clftsWidth3\clwWidth9752\clshdrawnil \cellx9752\row \ltrrow}\trowd \irow1\irowband1\ltrrow_x000d__x000a_\ts11\trqc\trgaph340\trleft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1\qc \li0\ri0\sa240\keepn\nowidctlpar\intbl\wrapdefault\aspalpha\aspnum\faauto\adjustright\rin0\lin0\pararsid9505846 \rtlch\fcs1 \af0\afs20\alang1025 \ltrch\fcs0 \i\fs24\lang2057\langfe2057\cgrid\langnp2057\langfenp2057 {\rtlch\fcs1 \af0 \ltrch\fcs0 _x000d__x000a_\insrsid2242834\charrsid6708014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2242834\charrsid6708014 \trowd \irow1\irowband1\ltrrow_x000d__x000a_\ts11\trqc\trgaph340\trleft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9505846 \rtlch\fcs1 \af0\afs20\alang1025 \ltrch\fcs0 \fs24\lang2057\langfe2057\cgrid\langnp2057\langfenp2057 {\rtlch\fcs1 \af0 \ltrch\fcs0 _x000d__x000a_\insrsid2242834\charrsid6708014 [ZTEXTL]\cell [ZTEXTR]}{\rtlch\fcs1 \af0\afs24 \ltrch\fcs0 \insrsid2242834\charrsid6708014 \cell }\pard\plain \ltrpar\ql \li0\ri0\widctlpar\intbl\wrapdefault\aspalpha\aspnum\faauto\adjustright\rin0\lin0 \rtlch\fcs1 _x000d__x000a_\af0\afs20\alang1025 \ltrch\fcs0 \fs24\lang2057\langfe2057\cgrid\langnp2057\langfenp2057 {\rtlch\fcs1 \af0 \ltrch\fcs0 \insrsid2242834\charrsid6708014 \trowd \irow2\irowband2\lastrow \ltrrow_x000d__x000a_\ts11\trqc\trgaph340\trleft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2242834 \rtlch\fcs1 \af0\afs20\alang1025 \ltrch\fcs0 \fs24\lang2057\langfe2057\cgrid\langnp2057\langfenp2057 {\rtlch\fcs1 \af0 \ltrch\fcs0 _x000d__x000a_\insrsid2242834\charrsid6708014 Or. }{\rtlch\fcs1 \af0 \ltrch\fcs0 \cs17\v\fs20\cf9\lang1024\langfe1024\loch\af1\hich\af1\dbch\af31501\noproof\insrsid2242834\charrsid6708014 \hich\af1\dbch\af31501\loch\f1 &lt;Original&gt;}{\rtlch\fcs1 \af0 \ltrch\fcs0 _x000d__x000a_\insrsid2242834\charrsid6708014 [ZORLANG]}{\rtlch\fcs1 \af0 \ltrch\fcs0 \cs17\v\fs20\cf9\lang1024\langfe1024\loch\af1\hich\af1\dbch\af31501\noproof\insrsid2242834\charrsid6708014 \hich\af1\dbch\af31501\loch\f1 &lt;/Original&gt;}{\rtlch\fcs1 \af0 \ltrch\fcs0 _x000d__x000a_\insrsid2242834\charrsid6708014 _x000d__x000a_\par }\pard\plain \ltrpar\ql \li0\ri0\widctlpar\wrapdefault\aspalpha\aspnum\faauto\adjustright\rin0\lin0\itap0\pararsid2242834 \rtlch\fcs1 \af0\afs20\alang1025 \ltrch\fcs0 \fs24\lang2057\langfe2057\cgrid\langnp2057\langfenp2057 {\rtlch\fcs1 \af0 \ltrch\fcs0 _x000d__x000a_\cs17\v\fs20\cf9\lang1024\langfe1024\loch\af1\hich\af1\dbch\af31501\noproof\insrsid2242834\charrsid6708014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PageHeadingNotTOC">
    <w:name w:val="PageHeadingNotTOC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customStyle="1" w:styleId="Normal24a">
    <w:name w:val="Normal24a"/>
    <w:basedOn w:val="Normal"/>
    <w:pPr>
      <w:widowControl/>
      <w:spacing w:after="480"/>
    </w:p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Arial14CentreBold">
    <w:name w:val="Arial14CentreBold"/>
    <w:basedOn w:val="Normal"/>
    <w:pPr>
      <w:widowControl w:val="0"/>
      <w:spacing w:after="0" w:line="240" w:lineRule="auto"/>
      <w:jc w:val="center"/>
    </w:pPr>
    <w:rPr>
      <w:rFonts w:ascii="Arial" w:eastAsia="Arial" w:hAnsi="Arial" w:cs="Arial"/>
      <w:b/>
      <w:sz w:val="28"/>
    </w:rPr>
  </w:style>
  <w:style w:type="paragraph" w:customStyle="1" w:styleId="ProcedureTable">
    <w:name w:val="ProcedureTable"/>
    <w:basedOn w:val="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ProcedureTableBold">
    <w:name w:val="ProcedureTableBold"/>
    <w:basedOn w:val="Normal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</w:rPr>
  </w:style>
  <w:style w:type="paragraph" w:customStyle="1" w:styleId="NormalTab">
    <w:name w:val="NormalTab"/>
    <w:basedOn w:val="Normal"/>
    <w:pPr>
      <w:widowControl w:val="0"/>
      <w:tabs>
        <w:tab w:val="center" w:pos="284"/>
        <w:tab w:val="left" w:pos="424"/>
      </w:tabs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">
    <w:name w:val="NormalHanging"/>
    <w:basedOn w:val="Normal"/>
    <w:pPr>
      <w:widowControl w:val="0"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paragraph" w:customStyle="1" w:styleId="AMNumberTabs0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 w:after="0" w:line="240" w:lineRule="auto"/>
    </w:pPr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NormalCenter">
    <w:name w:val="NormalCenter"/>
    <w:basedOn w:val="Normal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www.europarl.europa.eu/data-protect/index.do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28</Pages>
  <Words>5768</Words>
  <Characters>36055</Characters>
  <Application>Microsoft Office Word</Application>
  <DocSecurity>0</DocSecurity>
  <Lines>1</Lines>
  <Paragraphs>377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1346087</vt:lpwstr>
  </property>
  <property fmtid="{D5CDD505-2E9C-101B-9397-08002B2CF9AE}" pid="4" name="&lt;Model&gt;">
    <vt:lpwstr>PA_NonLeg</vt:lpwstr>
  </property>
  <property fmtid="{D5CDD505-2E9C-101B-9397-08002B2CF9AE}" pid="5" name="&lt;Type&gt;">
    <vt:lpwstr>AD</vt:lpwstr>
  </property>
  <property fmtid="{D5CDD505-2E9C-101B-9397-08002B2CF9AE}" pid="6" name="dmxml.render.id">
    <vt:lpwstr>564507</vt:lpwstr>
  </property>
  <property fmtid="{D5CDD505-2E9C-101B-9397-08002B2CF9AE}" pid="7" name="dmxml.render.traceId">
    <vt:lpwstr>6a4e24cbd9d368f883587fc5e0bbb819</vt:lpwstr>
  </property>
  <property fmtid="{D5CDD505-2E9C-101B-9397-08002B2CF9AE}" pid="8" name="FooterPath">
    <vt:lpwstr>AD\1346087CS.doc</vt:lpwstr>
  </property>
  <property fmtid="{D5CDD505-2E9C-101B-9397-08002B2CF9AE}" pid="9" name="PE Number">
    <vt:lpwstr>787.655</vt:lpwstr>
  </property>
  <property fmtid="{D5CDD505-2E9C-101B-9397-08002B2CF9AE}" pid="10" name="UID">
    <vt:lpwstr>eu.europa.europarl-DIN1-2026-0000179774_01.07-cs-01.00_text-xml</vt:lpwstr>
  </property>
</Properties>
</file>