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Udvalget om Borgernes Rettigheder og Retlige og Indre Anliggender</w:t>
      </w:r>
      <w:r>
        <w:rPr>
          <w:rStyle w:val="HideTWBExt"/>
        </w:rPr>
        <w:t>&lt;/Commission&gt;</w:t>
      </w:r>
    </w:p>
    <w:p>
      <w:pPr>
        <w:pStyle w:val="LineBottom"/>
      </w:pPr>
      <w:r>
        <w:t xml:space="preserve"> </w:t>
      </w:r>
    </w:p>
    <w:p>
      <w:pPr>
        <w:pStyle w:val="CoverReference"/>
      </w:pPr>
      <w:r>
        <w:rPr>
          <w:rStyle w:val="HideTWBExt"/>
        </w:rPr>
        <w:t>&lt;RefProc&gt;</w:t>
      </w:r>
      <w:r>
        <w:t>2025/2118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{24/06/2026}</w:t>
      </w:r>
      <w:r>
        <w:t>24.6.2026</w:t>
      </w:r>
      <w:r>
        <w:rPr>
          <w:rStyle w:val="HideTWBExt"/>
        </w:rPr>
        <w:t>&lt;/Date&gt;</w:t>
      </w:r>
    </w:p>
    <w:p>
      <w:pPr>
        <w:pStyle w:val="CoverDocType24a"/>
      </w:pPr>
      <w:r>
        <w:rPr>
          <w:rStyle w:val="HideTWBExt"/>
        </w:rPr>
        <w:t>&lt;TitreType&gt;</w:t>
      </w:r>
      <w:r>
        <w:t>UDTALELSE</w:t>
      </w:r>
      <w:r>
        <w:rPr>
          <w:rStyle w:val="HideTWBExt"/>
        </w:rPr>
        <w:t>&lt;/TitreType&gt;</w:t>
      </w:r>
    </w:p>
    <w:p>
      <w:pPr>
        <w:pStyle w:val="CoverNormal24a"/>
      </w:pPr>
      <w:r>
        <w:rPr>
          <w:rStyle w:val="HideTWBExt"/>
        </w:rPr>
        <w:t>&lt;CommissionResp&gt;</w:t>
      </w:r>
      <w:r>
        <w:t>til Udvalget om Borgernes Rettigheder og Retlige og Indre Anliggender</w:t>
      </w:r>
      <w:r>
        <w:rPr>
          <w:rStyle w:val="HideTWBExt"/>
        </w:rPr>
        <w:t>&lt;/CommissionResp&gt;</w:t>
      </w:r>
    </w:p>
    <w:p>
      <w:pPr>
        <w:pStyle w:val="CoverNormal24a"/>
      </w:pPr>
      <w:r>
        <w:rPr>
          <w:rStyle w:val="HideTWBExt"/>
        </w:rPr>
        <w:t>&lt;CommissionInt&gt;</w:t>
      </w:r>
      <w:r>
        <w:t>til Udvalget om Konstitutionelle Anliggender</w:t>
      </w:r>
      <w:r>
        <w:rPr>
          <w:rStyle w:val="HideTWBExt"/>
        </w:rPr>
        <w:t>&lt;/CommissionInt&gt;</w:t>
      </w:r>
    </w:p>
    <w:p>
      <w:pPr>
        <w:pStyle w:val="CoverNormal"/>
      </w:pPr>
      <w:r>
        <w:rPr>
          <w:rStyle w:val="HideTWBExt"/>
        </w:rPr>
        <w:t>&lt;Titre&gt;</w:t>
      </w:r>
      <w:r>
        <w:t>om institutionelle aspekter af kunstig intelligens i forbindelse med den europæiske integration</w:t>
      </w:r>
      <w:r>
        <w:rPr>
          <w:rStyle w:val="HideTWBExt"/>
        </w:rPr>
        <w:t>&lt;/Titre&gt;</w:t>
      </w:r>
    </w:p>
    <w:p>
      <w:pPr>
        <w:pStyle w:val="CoverNormal24a"/>
      </w:pPr>
      <w:r>
        <w:rPr>
          <w:rStyle w:val="HideTWBExt"/>
        </w:rPr>
        <w:t>&lt;DocRef&gt;</w:t>
      </w:r>
      <w:r>
        <w:t>(2025/2118(INI))</w:t>
      </w:r>
      <w:r>
        <w:rPr>
          <w:rStyle w:val="HideTWBExt"/>
        </w:rPr>
        <w:t>&lt;/DocRef&gt;</w:t>
      </w:r>
    </w:p>
    <w:p>
      <w:pPr>
        <w:pStyle w:val="CoverNormal24a"/>
      </w:pPr>
      <w:r>
        <w:t xml:space="preserve">Ordfører for udtalelse: </w:t>
      </w:r>
      <w:r>
        <w:rPr>
          <w:rStyle w:val="HideTWBExt"/>
        </w:rPr>
        <w:t>&lt;Depute&gt;</w:t>
      </w:r>
      <w:r>
        <w:t>Lukas Mandl</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ÆNDRINGSFORSLAG</w:t>
      </w:r>
    </w:p>
    <w:p>
      <w:pPr>
        <w:pStyle w:val="Normal12a"/>
      </w:pPr>
      <w:r>
        <w:t>Udvalget om Borgernes Rettigheder og Retlige og Indre Anliggender</w:t>
      </w:r>
      <w:r>
        <w:t xml:space="preserve"> forelægger </w:t>
      </w:r>
      <w:r>
        <w:t>Udvalget om Konstitutionelle Anliggender</w:t>
      </w:r>
      <w:r>
        <w:t>, som er kompetent udvalg, følgende</w:t>
      </w:r>
      <w:r>
        <w:t>:</w:t>
      </w:r>
    </w:p>
    <w:p>
      <w:pPr>
        <w:pStyle w:val="AmNumberTabs"/>
      </w:pP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der henviser til traktaten om Den Europæiske Unions funktionsmåde (TEUF), særlig artikel 16, 114, 173, 179, 180 og 181,</w:t>
            </w:r>
          </w:p>
        </w:tc>
        <w:tc>
          <w:tcPr>
            <w:tcW w:w="4876" w:type="dxa"/>
            <w:tcBorders>
              <w:top w:val="nil"/>
              <w:left w:val="nil"/>
              <w:bottom w:val="nil"/>
              <w:right w:val="nil"/>
            </w:tcBorders>
          </w:tcPr>
          <w:p>
            <w:pPr>
              <w:pStyle w:val="Normal6a"/>
            </w:pPr>
            <w:r>
              <w:t>–</w:t>
            </w:r>
            <w:r>
              <w:tab/>
            </w:r>
            <w:r>
              <w:t xml:space="preserve">der henviser til traktaten om Den Europæiske Unions funktionsmåde (TEUF), særlig artikel 16, </w:t>
            </w:r>
            <w:r>
              <w:rPr>
                <w:b/>
                <w:i/>
              </w:rPr>
              <w:t>26,</w:t>
            </w:r>
            <w:r>
              <w:t xml:space="preserve"> 114, 173, 179, 180 og 181,</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der henviser til Europarådets rammekonvention om kunstig intelligens og menneskerettigheder, demokrati og retsstatsprincippet, der blev undertegnet den 5. september 2024,</w:t>
            </w:r>
          </w:p>
        </w:tc>
        <w:tc>
          <w:tcPr>
            <w:tcW w:w="4876" w:type="dxa"/>
            <w:tcBorders>
              <w:top w:val="nil"/>
              <w:left w:val="nil"/>
              <w:bottom w:val="nil"/>
              <w:right w:val="nil"/>
            </w:tcBorders>
          </w:tcPr>
          <w:p>
            <w:pPr>
              <w:pStyle w:val="Normal6a"/>
            </w:pPr>
            <w:r>
              <w:t>–</w:t>
            </w:r>
            <w:r>
              <w:tab/>
            </w:r>
            <w:r>
              <w:t xml:space="preserve">der henviser til Europarådets rammekonvention om kunstig intelligens og menneskerettigheder, demokrati og retsstatsprincippet, der blev undertegnet den 5. september 2024 </w:t>
            </w:r>
            <w:r>
              <w:rPr>
                <w:b/>
                <w:i/>
              </w:rPr>
              <w:t>(Europarådets rammekonvention om kunstig intelligens)</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w:t>
            </w:r>
            <w:r>
              <w:rPr>
                <w:vertAlign w:val="superscript"/>
              </w:rPr>
              <w:t>1</w:t>
            </w:r>
            <w:r>
              <w:t xml:space="preserve"> (forordningen om kunstig intelligens),</w:t>
            </w:r>
          </w:p>
        </w:tc>
        <w:tc>
          <w:tcPr>
            <w:tcW w:w="4876" w:type="dxa"/>
            <w:tcBorders>
              <w:top w:val="nil"/>
              <w:left w:val="nil"/>
              <w:bottom w:val="nil"/>
              <w:right w:val="nil"/>
            </w:tcBorders>
          </w:tcPr>
          <w:p>
            <w:pPr>
              <w:pStyle w:val="Normal6a"/>
            </w:pPr>
            <w:r>
              <w:rPr>
                <w:i/>
              </w:rPr>
              <w:t>(Vedrører ikke den danske tekst)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EUT L, 2024/1689, 12.7.2024, ELI: http://data.europa.eu/eli/reg/2024/1689/oj.</w:t>
            </w:r>
          </w:p>
        </w:tc>
        <w:tc>
          <w:tcPr>
            <w:tcW w:w="4876" w:type="dxa"/>
            <w:tcBorders>
              <w:top w:val="nil"/>
              <w:left w:val="nil"/>
              <w:bottom w:val="nil"/>
              <w:right w:val="nil"/>
            </w:tcBorders>
          </w:tcPr>
          <w:p/>
        </w:tc>
      </w:tr>
    </w:tbl>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5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der henviser til Kommissionens forslag af 19. november 2025 til Europa-Parlamentets og Rådets forordning om ændring af forordning (EU) 2024/1689 og (EU) 2018/1139 for så vidt angår forenkling af gennemførelsen af harmoniserede regler om kunstig intelligens (digital omnibus om kunstig intelligens)(</w:t>
            </w:r>
            <w:r>
              <w:rPr>
                <w:b/>
                <w:i/>
              </w:rPr>
              <w:t>COM(2025)0836</w:t>
            </w:r>
            <w:r>
              <w:rPr>
                <w:b/>
                <w:i/>
              </w:rP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der henviser til Kommissionens forslag af 19. november 2025 til Europa-Parlamentets og Rådets forordning om ændring af forordning (EU) 2016/679, (EU) 2018/1724, (EU) 2018/1725, (EU) 2023/2854 og direktiv 2002/58/EF, (EU) 2022/2555 og (EU) 2022/2557 for så vidt angår forenkling af det digitale regelsæt og om ophævelse af forordning (EU) 2018/1807, (EU) 2019/1150, (EU) 2022/868 og direktiv (EU) 2019/1024 (den digitale omnibus) (</w:t>
            </w:r>
            <w:r>
              <w:rPr>
                <w:b/>
                <w:i/>
              </w:rPr>
              <w:t>COM(2025)0837</w:t>
            </w:r>
            <w:r>
              <w:rPr>
                <w:b/>
                <w:i/>
              </w:rP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artikel 2 i TEU </w:t>
            </w:r>
            <w:r>
              <w:rPr>
                <w:b/>
                <w:i/>
              </w:rPr>
              <w:t>omhandler EU's forfatningsmæssige identitet</w:t>
            </w:r>
            <w:r>
              <w:t xml:space="preserve"> og </w:t>
            </w:r>
            <w:r>
              <w:rPr>
                <w:b/>
                <w:i/>
              </w:rPr>
              <w:t>derfor legitimerer</w:t>
            </w:r>
            <w:r>
              <w:t xml:space="preserve"> Parlamentets kontrol med kunstig intelligens (AI)</w:t>
            </w:r>
            <w:r>
              <w:rPr>
                <w:b/>
                <w:i/>
              </w:rPr>
              <w:t>, hvor udbredelsen heraf kan påvirke</w:t>
            </w:r>
            <w:r>
              <w:t xml:space="preserve"> kerneværdier;</w:t>
            </w:r>
          </w:p>
        </w:tc>
        <w:tc>
          <w:tcPr>
            <w:tcW w:w="4876" w:type="dxa"/>
            <w:tcBorders>
              <w:top w:val="nil"/>
              <w:left w:val="nil"/>
              <w:bottom w:val="nil"/>
              <w:right w:val="nil"/>
            </w:tcBorders>
          </w:tcPr>
          <w:p>
            <w:pPr>
              <w:pStyle w:val="Normal6a"/>
            </w:pPr>
            <w:r>
              <w:t>A.</w:t>
            </w:r>
            <w:r>
              <w:tab/>
            </w:r>
            <w:r>
              <w:t xml:space="preserve">der henviser til, at artikel 2 i TEU </w:t>
            </w:r>
            <w:r>
              <w:rPr>
                <w:b/>
                <w:i/>
              </w:rPr>
              <w:t>fastsætter de grundlæggende fælles værdier, som Unionen er baseret på,</w:t>
            </w:r>
            <w:r>
              <w:t xml:space="preserve"> og </w:t>
            </w:r>
            <w:r>
              <w:rPr>
                <w:b/>
                <w:i/>
              </w:rPr>
              <w:t>udgør en vigtig forfatningsmæssig ramme for</w:t>
            </w:r>
            <w:r>
              <w:t xml:space="preserve"> Parlamentets kontrol med kunstig intelligens (AI) </w:t>
            </w:r>
            <w:r>
              <w:rPr>
                <w:b/>
                <w:i/>
              </w:rPr>
              <w:t>baseret på disse</w:t>
            </w:r>
            <w:r>
              <w:t xml:space="preserve"> kerneværdier;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AA.</w:t>
            </w:r>
            <w:r>
              <w:tab/>
            </w:r>
            <w:r>
              <w:rPr>
                <w:b/>
                <w:i/>
              </w:rPr>
              <w:t>der henviser til, at traktaterne og Den Europæiske Unions charter om grundlæggende rettigheder danner grundlag for beskyttelsen af de grundlæggende rettigheder i EU; der henviser til, at disse principper udgør en vigtig vejledende ramme for EU's politikudformning, herunder inden for kunstig intelligens;</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der henviser til, at i henhold til artikel 10, 11 og 14 i TEU har Parlamentet et særligt ansvar for at sikre demokratisk ansvarlighed, gennemsigtighed og effektiv kontrol af teknologiske udviklinger, der kan påvirke EU-institutionernes virke; der henviser til, at en sikker, etisk og lovlig udvikling og udbredelse af kunstig intelligens kræver solide forvaltningsrammer, der er baseret på EU-traktaterne;</w:t>
            </w:r>
          </w:p>
        </w:tc>
        <w:tc>
          <w:tcPr>
            <w:tcW w:w="4876" w:type="dxa"/>
            <w:tcBorders>
              <w:top w:val="nil"/>
              <w:left w:val="nil"/>
              <w:bottom w:val="nil"/>
              <w:right w:val="nil"/>
            </w:tcBorders>
          </w:tcPr>
          <w:p>
            <w:pPr>
              <w:pStyle w:val="Normal6a"/>
            </w:pPr>
            <w:r>
              <w:t>B.</w:t>
            </w:r>
            <w:r>
              <w:tab/>
            </w:r>
            <w:r>
              <w:t xml:space="preserve">der henviser til, at i henhold til artikel 10, 11 og 14 i TEU har Parlamentet et særligt ansvar for at sikre demokratisk ansvarlighed, gennemsigtighed og effektiv kontrol af teknologiske udviklinger, der kan påvirke EU-institutionernes virke; der henviser til, at en sikker, etisk og lovlig udvikling og udbredelse af kunstig intelligens kræver solide forvaltningsrammer, der er baseret på </w:t>
            </w:r>
            <w:r>
              <w:rPr>
                <w:b/>
                <w:i/>
              </w:rPr>
              <w:t>EU-lovgivning,</w:t>
            </w:r>
            <w:r>
              <w:t xml:space="preserve"> EU-traktaterne </w:t>
            </w:r>
            <w:r>
              <w:rPr>
                <w:b/>
                <w:i/>
              </w:rPr>
              <w:t>og internationale konventioner</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BA.</w:t>
            </w:r>
            <w:r>
              <w:tab/>
            </w:r>
            <w:r>
              <w:rPr>
                <w:b/>
                <w:i/>
              </w:rPr>
              <w:t>der henviser til, at EU's institutionelle tilgang til kunstig intelligens skal sikre, at de lovgivningsmæssige rammer fortsat er forholdsmæssige og ikke skaber unødvendige administrative byrder; der henviser til, at EU's AI-forvaltningsstrukturer aktivt bør fremme innovationsvenlige miljøer, der hjælper EU's innovatorer med at konkurrere globalt, samtidig med at de grundlæggende rettigheder opretholdes; understreger, at en sådan tilgang til kunstig intelligens er af afgørende betydning ikke blot for EU's konkurrenceevne, men også for dets sikkerhed, teknologiske suverænitet og strategiske autonomi;</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henviser til, at forordningen om kunstig intelligens indfører verdens første omfattende lovgivningsmæssige ramme for kunstig intelligens; der henviser til, at kunstig intelligens skrider frem i et hidtil uset tempo og ændrer den økonomiske aktivitet, den offentlige forvaltning og de samfundsmæssige interaktioner;</w:t>
            </w:r>
          </w:p>
        </w:tc>
        <w:tc>
          <w:tcPr>
            <w:tcW w:w="4876" w:type="dxa"/>
            <w:tcBorders>
              <w:top w:val="nil"/>
              <w:left w:val="nil"/>
              <w:bottom w:val="nil"/>
              <w:right w:val="nil"/>
            </w:tcBorders>
          </w:tcPr>
          <w:p>
            <w:pPr>
              <w:pStyle w:val="Normal6a"/>
            </w:pPr>
            <w:r>
              <w:t>C.</w:t>
            </w:r>
            <w:r>
              <w:tab/>
            </w:r>
            <w:r>
              <w:t xml:space="preserve">der henviser til, at forordningen om kunstig intelligens </w:t>
            </w:r>
            <w:r>
              <w:rPr>
                <w:b/>
                <w:i/>
              </w:rPr>
              <w:t>(AI-forordningen)</w:t>
            </w:r>
            <w:r>
              <w:t xml:space="preserve"> indfører verdens første omfattende lovgivningsmæssige ramme for kunstig intelligens</w:t>
            </w:r>
            <w:r>
              <w:rPr>
                <w:b/>
                <w:i/>
              </w:rPr>
              <w:t>;</w:t>
            </w:r>
            <w:r>
              <w:rPr>
                <w:b/>
                <w:i/>
              </w:rPr>
              <w:t xml:space="preserve"> </w:t>
            </w:r>
            <w:r>
              <w:rPr>
                <w:b/>
                <w:i/>
              </w:rPr>
              <w:t>der henviser til, at den består af et robust regelsæt for levering og udbredelse af kunstig intelligens på det indre marked, idet den støtter innovation og fremmer udbredelsen af menneskecentreret og pålidelig kunstig intelligens og sætter en høj standard på globalt plan</w:t>
            </w:r>
            <w:r>
              <w:t>; der henviser til, at kunstig intelligens skrider frem i et hidtil uset tempo og ændrer den økonomiske aktivitet, den offentlige forvaltning og de samfundsmæssige interaktioner;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C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CA.</w:t>
            </w:r>
            <w:r>
              <w:tab/>
            </w:r>
            <w:r>
              <w:rPr>
                <w:b/>
                <w:i/>
              </w:rPr>
              <w:t>der henviser til, at den digitale omnibus om kunstig intelligens indfører målrettede forenklingsforanstaltninger for at sikre en rettidig, gnidningsløs og forholdsmæssig gennemførelse af visse bestemmelser i AI-forordningen; der henviser til, at det særskilte forslag til den digitale omnibus yderligere omhandler behovet for at præcisere, hvordan personoplysninger kan anvendes til AI-træning og ‑udvikling; der henviser til, at begge forslag afspejler behovet for at tilpasse EU's retlige ramme med henblik på hurtige fremskridt inden for kunstig intelligens i EU og globalt;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CB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CB.</w:t>
            </w:r>
            <w:r>
              <w:tab/>
            </w:r>
            <w:r>
              <w:rPr>
                <w:b/>
                <w:i/>
              </w:rPr>
              <w:t xml:space="preserve">der henviser til, at Europarådets rammekonvention om kunstig intelligens indeholder regler, der skal sikre, at AI-systemer overholder strenge etiske standarder i hele deres livscyklus, fremmer gennemsigtighed, mulighed for revision og effektivt tilsyn og styrker garantierne for at beskytte de grundlæggende rettigheder, demokratiet og retsstatsprincippet; der henviser til, at rammekonventionen, som er åben for tiltrædelse af ikkeeuropæiske lande, fremmer en global basislinje for AI-forvaltning, der fokuserer på beskyttelse af rettigheder; der henviser til, at de principper og forpligtelser, der er fastsat i rammekonventionen, på EU-plan allerede er gennemført ved en sammenhængende lovgivning, der fastsætter et højere og mere detaljeret beskyttelsesniveau, herunder navnlig AI-forordningen; </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CC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CC.</w:t>
            </w:r>
            <w:r>
              <w:tab/>
            </w:r>
            <w:r>
              <w:rPr>
                <w:b/>
                <w:i/>
              </w:rPr>
              <w:t>der henviser til, at fremme af pålidelig og menneskecentreret kunstig intelligens er afgørende for at styrke EU's konkurrenceevne, innovationskapacitet, teknologiske suverænitet og strategiske autonomi i et stadig mere konkurrencepræget globalt miljø;</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der henviser til, at Parlamentet som EU's repræsentative demokratiske institution har en legitim rolle med hensyn til at bidrage til sådanne globale drøftelser i overensstemmelse med artikel 10, 11 og 13 i TEU og et ansvar for at sikre demokratisk ansvarlighed og institutionel sammenhæng i EU's eksterne engagement;</w:t>
            </w:r>
          </w:p>
        </w:tc>
        <w:tc>
          <w:tcPr>
            <w:tcW w:w="4876" w:type="dxa"/>
            <w:tcBorders>
              <w:top w:val="nil"/>
              <w:left w:val="nil"/>
              <w:bottom w:val="nil"/>
              <w:right w:val="nil"/>
            </w:tcBorders>
          </w:tcPr>
          <w:p>
            <w:pPr>
              <w:pStyle w:val="Normal6a"/>
            </w:pPr>
            <w:r>
              <w:t>E.</w:t>
            </w:r>
            <w:r>
              <w:tab/>
            </w:r>
            <w:r>
              <w:t xml:space="preserve">der henviser til, at Parlamentet som EU's </w:t>
            </w:r>
            <w:r>
              <w:rPr>
                <w:b/>
                <w:i/>
              </w:rPr>
              <w:t>direkte valgte</w:t>
            </w:r>
            <w:r>
              <w:t xml:space="preserve"> repræsentative demokratiske institution har en legitim rolle med hensyn til at bidrage til sådanne globale drøftelser i overensstemmelse med artikel 10, 11 og 13 i TEU og et ansvar for at sikre demokratisk ansvarlighed og institutionel sammenhæng i EU's eksterne engagement</w:t>
            </w:r>
            <w:r>
              <w:rPr>
                <w:b/>
                <w:i/>
              </w:rPr>
              <w:t>, samtidig med at de europæiske teknologivirksomheders evne til at udvikle og anvende kunstig intelligens sikres, innovation, konkurrenceevne og Europas teknologiske lederskab fremmes, og de grundlæggende rettigheder og retsordenen beskyttes</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der henviser til, at overvågning af den globale AI-udvikling på EU-plan i tæt samarbejde med Kommissionens AI-kontor, Det Europæiske Udvalg for Kunstig Intelligens (AI-udvalget) og de nationale kompetente myndigheder, overvågning af udviklingen i medlemsstaterne</w:t>
            </w:r>
            <w:r>
              <w:rPr>
                <w:b/>
                <w:i/>
              </w:rPr>
              <w:t>,</w:t>
            </w:r>
            <w:r>
              <w:t xml:space="preserve"> opretholdelse af regelmæssige udvekslinger </w:t>
            </w:r>
            <w:r>
              <w:rPr>
                <w:b/>
                <w:i/>
              </w:rPr>
              <w:t>med</w:t>
            </w:r>
            <w:r>
              <w:t xml:space="preserve"> de nationale parlamenter og kortlægning af potentielle tværsektorielle overlapninger og mangler i EU's retlige ramme for kunstig intelligens vil være af allerstørste betydning; der henviser til, at Europa-Parlamentets foreslåede AI-observatorium bør spille en central rolle i denne henseende;</w:t>
            </w:r>
          </w:p>
        </w:tc>
        <w:tc>
          <w:tcPr>
            <w:tcW w:w="4876" w:type="dxa"/>
            <w:tcBorders>
              <w:top w:val="nil"/>
              <w:left w:val="nil"/>
              <w:bottom w:val="nil"/>
              <w:right w:val="nil"/>
            </w:tcBorders>
          </w:tcPr>
          <w:p>
            <w:pPr>
              <w:pStyle w:val="Normal6a"/>
            </w:pPr>
            <w:r>
              <w:t>H.</w:t>
            </w:r>
            <w:r>
              <w:tab/>
            </w:r>
            <w:r>
              <w:t xml:space="preserve">der henviser til, at overvågning af den globale AI-udvikling på EU-plan </w:t>
            </w:r>
            <w:r>
              <w:rPr>
                <w:b/>
                <w:i/>
              </w:rPr>
              <w:t>og i medlemsstaterne</w:t>
            </w:r>
            <w:r>
              <w:t xml:space="preserve"> i tæt samarbejde med Kommissionens AI-kontor, Det Europæiske Udvalg for Kunstig Intelligens (AI-udvalget) og de nationale kompetente myndigheder, overvågning af udviklingen i medlemsstaterne </w:t>
            </w:r>
            <w:r>
              <w:rPr>
                <w:b/>
                <w:i/>
              </w:rPr>
              <w:t>og</w:t>
            </w:r>
            <w:r>
              <w:t xml:space="preserve"> opretholdelse af regelmæssige udvekslinger </w:t>
            </w:r>
            <w:r>
              <w:rPr>
                <w:b/>
                <w:i/>
              </w:rPr>
              <w:t>mellem Europa-Parlamentet og</w:t>
            </w:r>
            <w:r>
              <w:t xml:space="preserve"> de nationale parlamenter og kortlægning af potentielle tværsektorielle overlapninger og mangler i EU's retlige ramme for kunstig intelligens </w:t>
            </w:r>
            <w:r>
              <w:rPr>
                <w:b/>
                <w:i/>
              </w:rPr>
              <w:t>med henblik på at forbedre sammenhængen, retssikkerheden og innovationsvenlig gennemførelse i hele EU</w:t>
            </w:r>
            <w:r>
              <w:t xml:space="preserve"> vil være af allerstørste betydning; der henviser til,</w:t>
            </w:r>
            <w:r>
              <w:rPr>
                <w:b/>
                <w:i/>
              </w:rPr>
              <w:t xml:space="preserve"> at Parlamentets bestræbelser på at styrke sin interne analytiske og forvaltningsmæssige kapacitet i forbindelse med kunstig intelligens, herunder ved at oprette en særlig administrativ enhed, kan bygge på arbejdet i arbejdsgruppen om AI-forordningen og yderligere</w:t>
            </w:r>
            <w:r>
              <w:t xml:space="preserve"> spille en central rolle i </w:t>
            </w:r>
            <w:r>
              <w:rPr>
                <w:b/>
                <w:i/>
              </w:rPr>
              <w:t xml:space="preserve">Parlamentets institutionelle AI-forvaltning med hensyn til ansvarlighed og forklarligheden af konsekvenserne af de AI-systemer, der anvendes i institutionen; </w:t>
            </w:r>
            <w:r>
              <w:rPr>
                <w:b/>
                <w:i/>
              </w:rPr>
              <w:t>der henviser til, at dette også kan bidrage til at opnå et passende niveau af AI-færdigheder blandt Parlamentets personale; der henviser til, at denne administrative enhed også bør bygge på erfaringerne fra Panelet for Fremtidens Videnskab og Teknologi (STOA), der blev oprettet som et permanent organ i 1988, og som har kunstig intelligens som en af sine primære tematiske prioritet, samt Europa-Parlamentets Forskningstjeneste (EPRS);</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H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HA.</w:t>
            </w:r>
            <w:r>
              <w:tab/>
            </w:r>
            <w:r>
              <w:rPr>
                <w:b/>
                <w:i/>
              </w:rPr>
              <w:t>der henviser til, at Parlamentets Udvalg om det Indre Marked og Forbrugerbeskyttelse (IMCO) sammen med Udvalget om Borgernes Rettigheder og Retlige og Indre Anliggender (LIBE) har nedsat en fælles IMCO-LIBE-arbejdsgruppe om gennemførelsen og håndhævelsen af AI-forordningen (arbejdsgruppen om AI-forordningen), der fungerer som en platform for udveksling med Kommissionen, navnlig dens AI-kontor, og andre relevante interessenter om status for gennemførelsen af AI-forordningen og for bredere overvågning af AI-udviklingen;</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der henviser til, at Europa-Parlamentets foreslåede AI-observatorium vil kunne betragtes som et EU-organ, der kan indbydes til møderne i AI-udvalget i overensstemmelse med artikel 65, stk. 2, i forordningen om kunstig intelligens;</w:t>
            </w:r>
          </w:p>
        </w:tc>
        <w:tc>
          <w:tcPr>
            <w:tcW w:w="4876" w:type="dxa"/>
            <w:tcBorders>
              <w:top w:val="nil"/>
              <w:left w:val="nil"/>
              <w:bottom w:val="nil"/>
              <w:right w:val="nil"/>
            </w:tcBorders>
          </w:tcPr>
          <w:p>
            <w:pPr>
              <w:pStyle w:val="Normal6a"/>
            </w:pPr>
            <w:r>
              <w:rPr>
                <w:b/>
                <w:i/>
              </w:rPr>
              <w:t>udgår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der henviser til, at kunstig intelligens kan støtte parlamentarisk kontrol med gennemførelsen og anvendelsen af EU-retten ved at mindske informationsasymmetrier og afbøde Parlamentets tilbagevendende vanskeligheder med at få adgang til de relevante data samt ved at bidrage til at forbedre EU's lovgivningsprocesser;</w:t>
            </w:r>
          </w:p>
        </w:tc>
        <w:tc>
          <w:tcPr>
            <w:tcW w:w="4876" w:type="dxa"/>
            <w:tcBorders>
              <w:top w:val="nil"/>
              <w:left w:val="nil"/>
              <w:bottom w:val="nil"/>
              <w:right w:val="nil"/>
            </w:tcBorders>
          </w:tcPr>
          <w:p>
            <w:pPr>
              <w:pStyle w:val="Normal6a"/>
            </w:pPr>
            <w:r>
              <w:t>J.</w:t>
            </w:r>
            <w:r>
              <w:tab/>
            </w:r>
            <w:r>
              <w:t xml:space="preserve">der henviser til, at kunstig intelligens </w:t>
            </w:r>
            <w:r>
              <w:rPr>
                <w:b/>
                <w:i/>
              </w:rPr>
              <w:t>under effektivt menneskeligt tilsyn</w:t>
            </w:r>
            <w:r>
              <w:t xml:space="preserve"> kan støtte parlamentarisk kontrol med gennemførelsen og anvendelsen af EU-retten ved at mindske informationsasymmetrier og afbøde Parlamentets tilbagevendende vanskeligheder med at få adgang til de relevante data samt ved at bidrage til at forbedre EU's lovgivningsprocesser</w:t>
            </w:r>
            <w:r>
              <w:rPr>
                <w:b/>
                <w:i/>
              </w:rPr>
              <w:t>, herunder ved at strømline den og gøre den mere effektiv og lydhør</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J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JA.</w:t>
            </w:r>
            <w:r>
              <w:tab/>
            </w:r>
            <w:r>
              <w:rPr>
                <w:b/>
                <w:i/>
              </w:rPr>
              <w:t>der henviser til, at ansvarlig brug af AI-systemer kan forbedre kvaliteten, tilgængeligheden og effektiviteten af lovgivningsmæssige og administrative processer ved at støtte evidensbaseret politikudformning, lette analysen af komplekse lovgivningsmæssige rammer og forbedre adgangen til oplysninger, der er relevante for demokratisk kontrol;</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der henviser til, at den hurtige udvikling af AI-teknologier kræver løbende analytisk kapacitet med henblik på at vurdere deres institutionelle, demokratiske og retlige konsekvenser for EU's funktionsmåde; der henviser til, at Parlamentet derfor bør styrke sin interne ekspertise og overvågningskapacitet på dette område;</w:t>
            </w:r>
          </w:p>
        </w:tc>
        <w:tc>
          <w:tcPr>
            <w:tcW w:w="4876" w:type="dxa"/>
            <w:tcBorders>
              <w:top w:val="nil"/>
              <w:left w:val="nil"/>
              <w:bottom w:val="nil"/>
              <w:right w:val="nil"/>
            </w:tcBorders>
          </w:tcPr>
          <w:p>
            <w:pPr>
              <w:pStyle w:val="Normal6a"/>
            </w:pPr>
            <w:r>
              <w:t>K.</w:t>
            </w:r>
            <w:r>
              <w:tab/>
            </w:r>
            <w:r>
              <w:t xml:space="preserve">der henviser til, at den hurtige udvikling af AI-teknologier kræver løbende analytisk kapacitet med henblik på at vurdere deres institutionelle, demokratiske og retlige konsekvenser for EU's funktionsmåde; der henviser til, at Parlamentet derfor bør styrke sin interne ekspertise og overvågningskapacitet på dette område </w:t>
            </w:r>
            <w:r>
              <w:rPr>
                <w:b/>
                <w:i/>
              </w:rPr>
              <w:t>– herunder gennem grundig uddannelse i AI-færdigheder – og støtte en informeret, effektiv og ansvarlig anvendelse af AI-teknologier</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K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KA.</w:t>
            </w:r>
            <w:r>
              <w:tab/>
            </w:r>
            <w:r>
              <w:rPr>
                <w:b/>
                <w:i/>
              </w:rPr>
              <w:t>der henviser til, at forskelle i de nationale fortolkninger og gennemførelse af EU's AI-relaterede lovgivning risikerer at skabe uensartet lovgivning, der skaber retsusikkerhed og hindringer for grænseoverskridende udbredelse af kunstig intelligens på det indre marked, navnlig for SMV'er og nystartede virksomheder, der opererer på tværs af flere medlemsstater; der henviser til, at kunstig intelligens under passende menneskeligt tilsyn kan styrke Parlamentets kapacitet til effektiv og evidensbaseret kontrol af gennemførelsen og anvendelsen af EU-retten ved at mindske informationsasymmetrier, forbedre analysen af relevant information og bidrage til at afhjælpe tilbagevendende vanskeligheder med at få adgang til de data, der er nødvendige for demokratisk kontrol;</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der henviser til, at den hurtige udbredelse af AI-teknologier grundlæggende ændrer valgkampagner og politisk kommunikation; der henviser til, at sådanne teknologier kan gribe ind i valgprocessernes integritet og undergrave tilliden til demokratiske institutioner, herunder i forbindelse med valg til Europa-Parlamentet;</w:t>
            </w:r>
          </w:p>
        </w:tc>
        <w:tc>
          <w:tcPr>
            <w:tcW w:w="4876" w:type="dxa"/>
            <w:tcBorders>
              <w:top w:val="nil"/>
              <w:left w:val="nil"/>
              <w:bottom w:val="nil"/>
              <w:right w:val="nil"/>
            </w:tcBorders>
          </w:tcPr>
          <w:p>
            <w:pPr>
              <w:pStyle w:val="Normal6a"/>
            </w:pPr>
            <w:r>
              <w:t>L.</w:t>
            </w:r>
            <w:r>
              <w:tab/>
            </w:r>
            <w:r>
              <w:t xml:space="preserve">der henviser til, at den hurtige udbredelse af AI-teknologier grundlæggende ændrer valgkampagner og politisk kommunikation </w:t>
            </w:r>
            <w:r>
              <w:rPr>
                <w:b/>
                <w:i/>
              </w:rPr>
              <w:t>ofte til meget lave omkostninger</w:t>
            </w:r>
            <w:r>
              <w:t>; der henviser til, at sådanne teknologier kan gribe ind i valgprocessernes integritet og undergrave tilliden til demokratiske institutioner</w:t>
            </w:r>
            <w:r>
              <w:rPr>
                <w:b/>
                <w:i/>
              </w:rPr>
              <w:t>, navnlig når de udnyttes af fjendtlige aktører</w:t>
            </w:r>
            <w:r>
              <w:t>, herunder i forbindelse med valg til Europa-Parlamentet;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M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MA.</w:t>
            </w:r>
            <w:r>
              <w:tab/>
            </w:r>
            <w:r>
              <w:rPr>
                <w:b/>
                <w:i/>
              </w:rPr>
              <w:t>der henviser til, at artikel 77 i forordningen om kunstig intelligens giver nationale offentlige myndigheder eller organer en central rolle med hensyn til at føre tilsyn med eller håndhæve overholdelsen af forpligtelser i henhold til EU-retten om beskyttelse af de grundlæggende rettigheder, herunder retten til beskyttelse mod forskelsbehandling;</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1a.</w:t>
            </w:r>
            <w:r>
              <w:tab/>
            </w:r>
            <w:r>
              <w:rPr>
                <w:b/>
                <w:i/>
              </w:rPr>
              <w:t>understreger, at den hurtige udbredelse af avancerede AI-systemer ikke må skabe juridiske gråzoner eller svække håndhævelsen af eksisterende lovgivning; understreger, at teknologisk innovation aldrig må ske på bekostning af retsstatsprincippet, den offentlige sikkerhed eller demokratisk ansvarlighed; opfordrer til, at EU's AI-forvaltningsstrukturer omfatter mekanismer, der muliggør en struktureret høring af europæiske innovatorer, og understreger, at fremme af AI-innovation er af afgørende betydning ikke blot for at styrke EU's konkurrenceevne, men også for at beskytte Unionens sikkerhed, teknologiske suverænitet og strategiske autonomi; opfordrer Kommissionen til at sikre, at AI-forordningen gennemføres på en systematisk og gennemsigtig måde;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bekræfter på ny, at EU's tilgang til kunstig intelligens skal være i fuld overensstemmelse med de værdier, der er fastsat i artikel 2 i TEU, herunder demokrati, retsstatsprincippet og grundlæggende rettigheder, og at udbredelsen af kunstig intelligens inden for institutionerne fortsat skal </w:t>
            </w:r>
            <w:r>
              <w:rPr>
                <w:b/>
                <w:i/>
              </w:rPr>
              <w:t>være menneskecentreret</w:t>
            </w:r>
            <w:r>
              <w:t>;</w:t>
            </w:r>
          </w:p>
        </w:tc>
        <w:tc>
          <w:tcPr>
            <w:tcW w:w="4876" w:type="dxa"/>
            <w:tcBorders>
              <w:top w:val="nil"/>
              <w:left w:val="nil"/>
              <w:bottom w:val="nil"/>
              <w:right w:val="nil"/>
            </w:tcBorders>
          </w:tcPr>
          <w:p>
            <w:pPr>
              <w:pStyle w:val="Normal6a"/>
            </w:pPr>
            <w:r>
              <w:t>2.</w:t>
            </w:r>
            <w:r>
              <w:tab/>
            </w:r>
            <w:r>
              <w:t xml:space="preserve">bekræfter på ny, at EU's tilgang til kunstig intelligens skal være i fuld overensstemmelse med de værdier, der er fastsat i artikel 2 i TEU, herunder demokrati, retsstatsprincippet og grundlæggende rettigheder, og at udbredelsen </w:t>
            </w:r>
            <w:r>
              <w:rPr>
                <w:b/>
                <w:i/>
              </w:rPr>
              <w:t>og anvendelsen</w:t>
            </w:r>
            <w:r>
              <w:t xml:space="preserve"> af kunstig intelligens inden for institutionerne fortsat skal </w:t>
            </w:r>
            <w:r>
              <w:rPr>
                <w:b/>
                <w:i/>
              </w:rPr>
              <w:t>forblive under fuldt menneskeligt tilsyn, hvilket betyder, at en fysisk person skal føre effektivt tilsyn med ethvert AI-værktøj, mens det er i brug, hvilket bidrager til at styrke borgernes tillid til demokratiske institutioner og den offentlige forvaltning</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opfordrer til en struktureret </w:t>
            </w:r>
            <w:r>
              <w:rPr>
                <w:b/>
                <w:i/>
              </w:rPr>
              <w:t>og</w:t>
            </w:r>
            <w:r>
              <w:t xml:space="preserve"> regelmæssig interinstitutionel dialog mellem Parlamentet, Kommissionen og Rådet om de institutionelle konsekvenser af kunstig intelligens;</w:t>
            </w:r>
          </w:p>
        </w:tc>
        <w:tc>
          <w:tcPr>
            <w:tcW w:w="4876" w:type="dxa"/>
            <w:tcBorders>
              <w:top w:val="nil"/>
              <w:left w:val="nil"/>
              <w:bottom w:val="nil"/>
              <w:right w:val="nil"/>
            </w:tcBorders>
          </w:tcPr>
          <w:p>
            <w:pPr>
              <w:pStyle w:val="Normal6a"/>
            </w:pPr>
            <w:r>
              <w:t>4.</w:t>
            </w:r>
            <w:r>
              <w:tab/>
            </w:r>
            <w:r>
              <w:t>opfordrer til en struktureret</w:t>
            </w:r>
            <w:r>
              <w:rPr>
                <w:b/>
                <w:i/>
              </w:rPr>
              <w:t>,</w:t>
            </w:r>
            <w:r>
              <w:t xml:space="preserve"> regelmæssig og </w:t>
            </w:r>
            <w:r>
              <w:rPr>
                <w:b/>
                <w:i/>
              </w:rPr>
              <w:t>gennemsigtig</w:t>
            </w:r>
            <w:r>
              <w:t xml:space="preserve"> interinstitutionel dialog mellem Parlamentet, Kommissionen og Rådet om de institutionelle konsekvenser af kunstig intelligens</w:t>
            </w:r>
            <w:r>
              <w:rPr>
                <w:b/>
                <w:i/>
              </w:rPr>
              <w:t>, herunder regelmæssige udvekslinger om gennemførelsen af EU's AI-lovgivning, administrativ koordinering og AI-systemernes indvirkning på sammenhængen på det indre marked</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understreger betydningen af </w:t>
            </w:r>
            <w:r>
              <w:rPr>
                <w:b/>
                <w:i/>
              </w:rPr>
              <w:t>parlamentarisk</w:t>
            </w:r>
            <w:r>
              <w:t xml:space="preserve"> deltagelse i globale drøftelser om AI-forvaltning </w:t>
            </w:r>
            <w:r>
              <w:rPr>
                <w:b/>
                <w:i/>
              </w:rPr>
              <w:t>og</w:t>
            </w:r>
            <w:r>
              <w:t xml:space="preserve"> støtter derfor </w:t>
            </w:r>
            <w:r>
              <w:rPr>
                <w:b/>
                <w:i/>
              </w:rPr>
              <w:t>kraftigt</w:t>
            </w:r>
            <w:r>
              <w:t xml:space="preserve"> Parlamentets engagement i multilaterale fora såsom FN's årlige topmøde "AI for Good"; anerkender, at Parlamentet ved at engagere sig globalt med et klart sæt værdier og etiske principper styrker sin demokratiske rolle og troværdighed, samtidig med at det fuldt ud respekterer Kommissionens kompetencer på området og i overensstemmelse med princippet om loyalt samarbejde som fastsat i artikel 13, stk. 2, i TEU;</w:t>
            </w:r>
          </w:p>
        </w:tc>
        <w:tc>
          <w:tcPr>
            <w:tcW w:w="4876" w:type="dxa"/>
            <w:tcBorders>
              <w:top w:val="nil"/>
              <w:left w:val="nil"/>
              <w:bottom w:val="nil"/>
              <w:right w:val="nil"/>
            </w:tcBorders>
          </w:tcPr>
          <w:p>
            <w:pPr>
              <w:pStyle w:val="Normal6a"/>
            </w:pPr>
            <w:r>
              <w:t>6.</w:t>
            </w:r>
            <w:r>
              <w:tab/>
            </w:r>
            <w:r>
              <w:t xml:space="preserve">understreger betydningen af </w:t>
            </w:r>
            <w:r>
              <w:rPr>
                <w:b/>
                <w:i/>
              </w:rPr>
              <w:t>en bred</w:t>
            </w:r>
            <w:r>
              <w:t xml:space="preserve"> deltagelse </w:t>
            </w:r>
            <w:r>
              <w:rPr>
                <w:b/>
                <w:i/>
              </w:rPr>
              <w:t>af europæiske repræsentanter</w:t>
            </w:r>
            <w:r>
              <w:t xml:space="preserve"> i globale drøftelser om AI-forvaltning</w:t>
            </w:r>
            <w:r>
              <w:rPr>
                <w:b/>
                <w:i/>
              </w:rPr>
              <w:t>;</w:t>
            </w:r>
            <w:r>
              <w:rPr>
                <w:b/>
                <w:i/>
              </w:rPr>
              <w:t xml:space="preserve"> </w:t>
            </w:r>
            <w:r>
              <w:t>støtter derfor Parlamentets engagement i multilaterale fora såsom FN's årlige topmøde "AI for Good"; anerkender, at Parlamentet ved at engagere sig globalt med et klart sæt værdier og etiske principper styrker sin demokratiske rolle og troværdighed, samtidig med at det fuldt ud respekterer Kommissionens kompetencer på området og i overensstemmelse med princippet om loyalt samarbejde som fastsat i artikel 13, stk. 2, i TEU;</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understreger, at Parlamentets deltagelse i internationale fora er afgørende i en tid med stærk geopolitisk konkurrence; understreger, at AI-praksis og -teknologier, der deles eksternt, skal overholde </w:t>
            </w:r>
            <w:r>
              <w:rPr>
                <w:b/>
                <w:i/>
              </w:rPr>
              <w:t>Parlamentets forpligtelser til</w:t>
            </w:r>
            <w:r>
              <w:t xml:space="preserve"> gennemsigtighed, bæredygtighed, </w:t>
            </w:r>
            <w:r>
              <w:rPr>
                <w:b/>
                <w:i/>
              </w:rPr>
              <w:t>databeskyttelse</w:t>
            </w:r>
            <w:r>
              <w:t xml:space="preserve"> og demokratisk tilsyn; understreger endvidere betydningen af at imødegå systemiske risici i forbindelse med kunstig intelligens, herunder </w:t>
            </w:r>
            <w:r>
              <w:rPr>
                <w:b/>
                <w:i/>
              </w:rPr>
              <w:t>udbredelsen</w:t>
            </w:r>
            <w:r>
              <w:t xml:space="preserve"> af </w:t>
            </w:r>
            <w:r>
              <w:rPr>
                <w:b/>
                <w:i/>
              </w:rPr>
              <w:t>såkaldte hallucinationer</w:t>
            </w:r>
            <w:r>
              <w:t xml:space="preserve">, som kan underminere </w:t>
            </w:r>
            <w:r>
              <w:rPr>
                <w:b/>
                <w:i/>
              </w:rPr>
              <w:t>oplysningernes</w:t>
            </w:r>
            <w:r>
              <w:t xml:space="preserve"> nøjagtighed og pålidelighed samt de potentielle socioøkonomiske virkninger af kunstig intelligens, navnlig med hensyn til flytning af arbejdspladser, i stedet for blot at fremme teknologisk ekspertise;</w:t>
            </w:r>
          </w:p>
        </w:tc>
        <w:tc>
          <w:tcPr>
            <w:tcW w:w="4876" w:type="dxa"/>
            <w:tcBorders>
              <w:top w:val="nil"/>
              <w:left w:val="nil"/>
              <w:bottom w:val="nil"/>
              <w:right w:val="nil"/>
            </w:tcBorders>
          </w:tcPr>
          <w:p>
            <w:pPr>
              <w:pStyle w:val="Normal6a"/>
            </w:pPr>
            <w:r>
              <w:t>7.</w:t>
            </w:r>
            <w:r>
              <w:tab/>
            </w:r>
            <w:r>
              <w:t xml:space="preserve">understreger, at Parlamentets deltagelse i internationale fora er afgørende i en tid med stærk geopolitisk konkurrence; understreger, at AI-praksis og -teknologier, der deles eksternt, skal </w:t>
            </w:r>
            <w:r>
              <w:rPr>
                <w:b/>
                <w:i/>
              </w:rPr>
              <w:t>støtte innovation og konkurrenceevne og</w:t>
            </w:r>
            <w:r>
              <w:t xml:space="preserve"> overholde </w:t>
            </w:r>
            <w:r>
              <w:rPr>
                <w:b/>
                <w:i/>
              </w:rPr>
              <w:t>stærke standarder for</w:t>
            </w:r>
            <w:r>
              <w:t xml:space="preserve"> gennemsigtighed, bæredygtighed, </w:t>
            </w:r>
            <w:r>
              <w:rPr>
                <w:b/>
                <w:i/>
              </w:rPr>
              <w:t>privatlivets fred</w:t>
            </w:r>
            <w:r>
              <w:t xml:space="preserve"> og </w:t>
            </w:r>
            <w:r>
              <w:rPr>
                <w:b/>
                <w:i/>
              </w:rPr>
              <w:t>beskyttelse af personoplysninger og cybersikkerhed samt</w:t>
            </w:r>
            <w:r>
              <w:t xml:space="preserve"> demokratisk tilsyn; understreger endvidere betydningen af at </w:t>
            </w:r>
            <w:r>
              <w:rPr>
                <w:b/>
                <w:i/>
              </w:rPr>
              <w:t>fremme pålidelig og menneskecentreret kunstig intelligens og samtidig</w:t>
            </w:r>
            <w:r>
              <w:t xml:space="preserve"> imødegå </w:t>
            </w:r>
            <w:r>
              <w:rPr>
                <w:b/>
                <w:i/>
              </w:rPr>
              <w:t>de</w:t>
            </w:r>
            <w:r>
              <w:t xml:space="preserve"> systemiske risici i forbindelse med kunstig intelligens, herunder </w:t>
            </w:r>
            <w:r>
              <w:rPr>
                <w:b/>
                <w:i/>
              </w:rPr>
              <w:t>såkaldte hallucinationer og risici for AI-forgiftning eller grooming</w:t>
            </w:r>
            <w:r>
              <w:t xml:space="preserve"> af </w:t>
            </w:r>
            <w:r>
              <w:rPr>
                <w:b/>
                <w:i/>
              </w:rPr>
              <w:t>store sprogmodeller</w:t>
            </w:r>
            <w:r>
              <w:t xml:space="preserve">, som kan underminere </w:t>
            </w:r>
            <w:r>
              <w:rPr>
                <w:b/>
                <w:i/>
              </w:rPr>
              <w:t>outputtets</w:t>
            </w:r>
            <w:r>
              <w:t xml:space="preserve"> nøjagtighed og pålidelighed samt de potentielle socioøkonomiske virkninger af kunstig intelligens, navnlig med hensyn til flytning af arbejdspladser, i stedet for blot at fremme teknologisk ekspertise;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7a.</w:t>
            </w:r>
            <w:r>
              <w:tab/>
            </w:r>
            <w:r>
              <w:rPr>
                <w:b/>
                <w:i/>
              </w:rPr>
              <w:t>bemærker med bekymring den stigende afhængighed af ikkeeuropæiske avancerede AI-systemer, manglen på koordineret adgang til sådanne systemer med henblik på sikkerhedsevaluering og den deraf følgende kapacitetsmangel inden for AI-drevet cyberforsvar, hvilket giver anledning til bekymring over strategisk afhængighed og asymmetrisk adgang til kritisk AI-infrastruktur; advarer om, at avancerede banebrydende AI-modeller ifølge sikkerhedsmedarbejdere dynamisk kan tilpasse deres adfærd, hvilket vil sige, at de kan anvendes til automatiseret opdagelse og udnyttelse af sårbarheder, hvilket i væsentlig grad mindsker hindringerne for sofistikerede cyberangreb, muliggør hurtig opskalering af ondsindede operationer og grundlæggende ændrer omfanget og hastigheden af cyberrisici; opfordrer til stærkere tilsyn og robust beredskab, herunder regelmæssige stresstest og scenariebaserede øvelser, for at imødegå AI-baserede cyberangreb og afhjælpe strategisk afhængighed af ikkeeuropæiske infrastrukturer, cloudtjenester og grundmodeller; understreger, at EU skal forfølge en omfattende dagsorden for teknologisk suverænitet i forbindelse med udviklingen og udbredelsen af avancerede AI-systemer;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understreger, at kunstig intelligens </w:t>
            </w:r>
            <w:r>
              <w:rPr>
                <w:b/>
                <w:i/>
              </w:rPr>
              <w:t>i kraft af sin størrelse, hastighed og grænseoverskridende virkning udgør en systemisk global udfordring, og at ansvarlig forvaltning ligesom med tidligere transformative teknologier, herunder nuklear teknologi</w:t>
            </w:r>
            <w:r>
              <w:t xml:space="preserve"> i </w:t>
            </w:r>
            <w:r>
              <w:rPr>
                <w:b/>
                <w:i/>
              </w:rPr>
              <w:t>midten</w:t>
            </w:r>
            <w:r>
              <w:t xml:space="preserve"> af </w:t>
            </w:r>
            <w:r>
              <w:rPr>
                <w:b/>
                <w:i/>
              </w:rPr>
              <w:t>det 20. århundrede</w:t>
            </w:r>
            <w:r>
              <w:t xml:space="preserve">, </w:t>
            </w:r>
            <w:r>
              <w:rPr>
                <w:b/>
                <w:i/>
              </w:rPr>
              <w:t>kræver rettidig forhandling og etablering af</w:t>
            </w:r>
            <w:r>
              <w:t xml:space="preserve"> en </w:t>
            </w:r>
            <w:r>
              <w:rPr>
                <w:b/>
                <w:i/>
              </w:rPr>
              <w:t>særlig international konvention eller traktat om kunstig intelligens på globalt plan</w:t>
            </w:r>
            <w:r>
              <w:t>;</w:t>
            </w:r>
          </w:p>
        </w:tc>
        <w:tc>
          <w:tcPr>
            <w:tcW w:w="4876" w:type="dxa"/>
            <w:tcBorders>
              <w:top w:val="nil"/>
              <w:left w:val="nil"/>
              <w:bottom w:val="nil"/>
              <w:right w:val="nil"/>
            </w:tcBorders>
          </w:tcPr>
          <w:p>
            <w:pPr>
              <w:pStyle w:val="Normal6a"/>
            </w:pPr>
            <w:r>
              <w:t>8.</w:t>
            </w:r>
            <w:r>
              <w:tab/>
            </w:r>
            <w:r>
              <w:t xml:space="preserve">understreger, at kunstig intelligens </w:t>
            </w:r>
            <w:r>
              <w:rPr>
                <w:b/>
                <w:i/>
              </w:rPr>
              <w:t>skaber potentiale til i væsentlig grad at fremme økonomisk vækst, øge produktiviteten og omdanne forskellige industrier ved at automatisere opgaver og forbedre beslutningstagningen;</w:t>
            </w:r>
            <w:r>
              <w:rPr>
                <w:b/>
                <w:i/>
              </w:rPr>
              <w:t xml:space="preserve"> </w:t>
            </w:r>
            <w:r>
              <w:rPr>
                <w:b/>
                <w:i/>
              </w:rPr>
              <w:t>understreger imidlertid, at den</w:t>
            </w:r>
            <w:r>
              <w:t xml:space="preserve"> i </w:t>
            </w:r>
            <w:r>
              <w:rPr>
                <w:b/>
                <w:i/>
              </w:rPr>
              <w:t>kraft</w:t>
            </w:r>
            <w:r>
              <w:t xml:space="preserve"> af </w:t>
            </w:r>
            <w:r>
              <w:rPr>
                <w:b/>
                <w:i/>
              </w:rPr>
              <w:t>sin størrelse</w:t>
            </w:r>
            <w:r>
              <w:t xml:space="preserve">, </w:t>
            </w:r>
            <w:r>
              <w:rPr>
                <w:b/>
                <w:i/>
              </w:rPr>
              <w:t>udbredelseshastighed og grænseoverskridende virkning også udgør</w:t>
            </w:r>
            <w:r>
              <w:t xml:space="preserve"> en </w:t>
            </w:r>
            <w:r>
              <w:rPr>
                <w:b/>
                <w:i/>
              </w:rPr>
              <w:t>transformativ global teknologi med vidtrækkende konsekvenser, der kræver en ansvarlig forvaltning</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noterer sig</w:t>
            </w:r>
            <w:r>
              <w:t xml:space="preserve"> Europarådets rammekonvention om kunstig intelligens; mener, at der i betragtning af AI-teknologiernes globale systemiske karakter bør foretages </w:t>
            </w:r>
            <w:r>
              <w:rPr>
                <w:b/>
                <w:i/>
              </w:rPr>
              <w:t>yderligere</w:t>
            </w:r>
            <w:r>
              <w:t xml:space="preserve"> overvejelser om </w:t>
            </w:r>
            <w:r>
              <w:rPr>
                <w:b/>
                <w:i/>
              </w:rPr>
              <w:t>etablering af en global multilateral ramme eller konvention</w:t>
            </w:r>
            <w:r>
              <w:t xml:space="preserve">, der </w:t>
            </w:r>
            <w:r>
              <w:rPr>
                <w:b/>
                <w:i/>
              </w:rPr>
              <w:t>har til formål at forebygge</w:t>
            </w:r>
            <w:r>
              <w:t xml:space="preserve"> systemiske risici og </w:t>
            </w:r>
            <w:r>
              <w:rPr>
                <w:b/>
                <w:i/>
              </w:rPr>
              <w:t>sikre demokratisk</w:t>
            </w:r>
            <w:r>
              <w:t xml:space="preserve"> ansvarlighed på globalt plan;</w:t>
            </w:r>
          </w:p>
        </w:tc>
        <w:tc>
          <w:tcPr>
            <w:tcW w:w="4876" w:type="dxa"/>
            <w:tcBorders>
              <w:top w:val="nil"/>
              <w:left w:val="nil"/>
              <w:bottom w:val="nil"/>
              <w:right w:val="nil"/>
            </w:tcBorders>
          </w:tcPr>
          <w:p>
            <w:pPr>
              <w:pStyle w:val="Normal6a"/>
            </w:pPr>
            <w:r>
              <w:t>9.</w:t>
            </w:r>
            <w:r>
              <w:tab/>
            </w:r>
            <w:r>
              <w:rPr>
                <w:b/>
                <w:i/>
              </w:rPr>
              <w:t xml:space="preserve">minder om Europarådets rammekonvention om kunstig intelligens, der fastlægger en global basislinje for AI-forvaltning; </w:t>
            </w:r>
            <w:r>
              <w:rPr>
                <w:b/>
                <w:i/>
              </w:rPr>
              <w:t>fremhæver, at AI-forordningen og anden relevant EU-lovgivning allerede fastsætter et højere, mere detaljeret niveau af beskyttelse og harmonisering på det indre marked;</w:t>
            </w:r>
            <w:r>
              <w:rPr>
                <w:b/>
                <w:i/>
              </w:rPr>
              <w:t xml:space="preserve"> </w:t>
            </w:r>
            <w:r>
              <w:rPr>
                <w:b/>
                <w:i/>
              </w:rPr>
              <w:t>opfordrer lande over hele verden til at tiltræde rammekonventionen og fremme den globale udvikling af menneskecentreret og pålidelig kunstig intelligens</w:t>
            </w:r>
            <w:r>
              <w:t xml:space="preserve">; mener, at der i betragtning af AI-teknologiernes globale systemiske karakter </w:t>
            </w:r>
            <w:r>
              <w:rPr>
                <w:b/>
                <w:i/>
              </w:rPr>
              <w:t>regelmæssigt</w:t>
            </w:r>
            <w:r>
              <w:t xml:space="preserve"> bør foretages overvejelser om </w:t>
            </w:r>
            <w:r>
              <w:rPr>
                <w:b/>
                <w:i/>
              </w:rPr>
              <w:t>at fremme internationalt samarbejde og effektiv innovationsfremmende forvaltning</w:t>
            </w:r>
            <w:r>
              <w:t xml:space="preserve">, </w:t>
            </w:r>
            <w:r>
              <w:rPr>
                <w:b/>
                <w:i/>
              </w:rPr>
              <w:t>samtidig med at</w:t>
            </w:r>
            <w:r>
              <w:t xml:space="preserve"> der </w:t>
            </w:r>
            <w:r>
              <w:rPr>
                <w:b/>
                <w:i/>
              </w:rPr>
              <w:t>sikres respekt for de eksisterende retlige rammer,</w:t>
            </w:r>
            <w:r>
              <w:t xml:space="preserve"> systemiske risici </w:t>
            </w:r>
            <w:r>
              <w:rPr>
                <w:b/>
                <w:i/>
              </w:rPr>
              <w:t>forebygges,</w:t>
            </w:r>
            <w:r>
              <w:t xml:space="preserve"> og </w:t>
            </w:r>
            <w:r>
              <w:rPr>
                <w:b/>
                <w:i/>
              </w:rPr>
              <w:t>den demokratiske</w:t>
            </w:r>
            <w:r>
              <w:t xml:space="preserve"> ansvarlighed </w:t>
            </w:r>
            <w:r>
              <w:rPr>
                <w:b/>
                <w:i/>
              </w:rPr>
              <w:t>styrkes på globalt plan;</w:t>
            </w:r>
            <w:r>
              <w:rPr>
                <w:b/>
                <w:i/>
              </w:rPr>
              <w:t xml:space="preserve"> er af den opfattelse, at EU's deltagelse i internationale konventioner bør tjene til at fremme dets vision for kunstig intelligens, dets reguleringsmæssige tilgang og dets konkurrenceevne på globalt plan;</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minder om, at Parlamentet i overensstemmelse med artikel 10, 13 og 14 i TEU udøver demokratisk kontrol med EU's og dets institutioners funktion; understreger, at den stigende udbredelse af AI-systemer inden for offentlige forvaltninger og EU-institutioner kræver, at Parlamentets analytiske kapacitet styrkes for at sikre gennemsigtighed, demokratisk ansvarlighed og effektivt tilsyn i overensstemmelse med traktaterne;</w:t>
            </w:r>
          </w:p>
        </w:tc>
        <w:tc>
          <w:tcPr>
            <w:tcW w:w="4876" w:type="dxa"/>
            <w:tcBorders>
              <w:top w:val="nil"/>
              <w:left w:val="nil"/>
              <w:bottom w:val="nil"/>
              <w:right w:val="nil"/>
            </w:tcBorders>
          </w:tcPr>
          <w:p>
            <w:pPr>
              <w:pStyle w:val="Normal6a"/>
            </w:pPr>
            <w:r>
              <w:t>10.</w:t>
            </w:r>
            <w:r>
              <w:tab/>
            </w:r>
            <w:r>
              <w:t xml:space="preserve">minder om, at Parlamentet i overensstemmelse med artikel 10, 13 og 14 i TEU udøver demokratisk kontrol med EU's og dets institutioners funktion; understreger, at den stigende udbredelse af AI-systemer inden for offentlige forvaltninger og EU-institutioner kræver, at Parlamentets analytiske kapacitet </w:t>
            </w:r>
            <w:r>
              <w:rPr>
                <w:b/>
                <w:i/>
              </w:rPr>
              <w:t>og AI-færdigheder</w:t>
            </w:r>
            <w:r>
              <w:t xml:space="preserve"> styrkes for at sikre gennemsigtighed, demokratisk ansvarlighed og effektivt tilsyn i overensstemmelse med traktaterne;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opfordrer til, at der oprettes et AI-observatorium</w:t>
            </w:r>
            <w:r>
              <w:t xml:space="preserve"> i </w:t>
            </w:r>
            <w:r>
              <w:rPr>
                <w:b/>
                <w:i/>
              </w:rPr>
              <w:t>Europa-Parlamentet som</w:t>
            </w:r>
            <w:r>
              <w:t xml:space="preserve"> en </w:t>
            </w:r>
            <w:r>
              <w:rPr>
                <w:b/>
                <w:i/>
              </w:rPr>
              <w:t>permanent analytisk struktur i Parlamentets administration</w:t>
            </w:r>
            <w:r>
              <w:t xml:space="preserve">, der </w:t>
            </w:r>
            <w:r>
              <w:rPr>
                <w:b/>
                <w:i/>
              </w:rPr>
              <w:t>fungerer</w:t>
            </w:r>
            <w:r>
              <w:t xml:space="preserve"> som en tjeneste på tværs af parlamentariske udvalg for at støtte dem i spørgsmål vedrørende kunstig intelligens, dens forvaltning, institutionelle balance og demokratiske tilsyn; </w:t>
            </w:r>
            <w:r>
              <w:rPr>
                <w:b/>
                <w:i/>
              </w:rPr>
              <w:t>understreger</w:t>
            </w:r>
            <w:r>
              <w:t xml:space="preserve">, at </w:t>
            </w:r>
            <w:r>
              <w:rPr>
                <w:b/>
                <w:i/>
              </w:rPr>
              <w:t>oprettelsen af</w:t>
            </w:r>
            <w:r>
              <w:t xml:space="preserve"> en </w:t>
            </w:r>
            <w:r>
              <w:rPr>
                <w:b/>
                <w:i/>
              </w:rPr>
              <w:t>sådan kapacitet kan organiseres inden for Parlamentets administrative strukturer på en budgetneutral måde</w:t>
            </w:r>
            <w:r>
              <w:t xml:space="preserve"> på </w:t>
            </w:r>
            <w:r>
              <w:rPr>
                <w:b/>
                <w:i/>
              </w:rPr>
              <w:t>grundlag</w:t>
            </w:r>
            <w:r>
              <w:t xml:space="preserve"> af </w:t>
            </w:r>
            <w:r>
              <w:rPr>
                <w:b/>
                <w:i/>
              </w:rPr>
              <w:t>eksisterende ekspertise og tjenester</w:t>
            </w:r>
            <w:r>
              <w:t>;</w:t>
            </w:r>
          </w:p>
        </w:tc>
        <w:tc>
          <w:tcPr>
            <w:tcW w:w="4876" w:type="dxa"/>
            <w:tcBorders>
              <w:top w:val="nil"/>
              <w:left w:val="nil"/>
              <w:bottom w:val="nil"/>
              <w:right w:val="nil"/>
            </w:tcBorders>
          </w:tcPr>
          <w:p>
            <w:pPr>
              <w:pStyle w:val="Normal6a"/>
            </w:pPr>
            <w:r>
              <w:t>11.</w:t>
            </w:r>
            <w:r>
              <w:tab/>
            </w:r>
            <w:r>
              <w:rPr>
                <w:b/>
                <w:i/>
              </w:rPr>
              <w:t>Anbefaler at styrke Parlamentets interne analyse- og forvaltningskapacitet inden for dets administration, navnlig</w:t>
            </w:r>
            <w:r>
              <w:t xml:space="preserve"> i </w:t>
            </w:r>
            <w:r>
              <w:rPr>
                <w:b/>
                <w:i/>
              </w:rPr>
              <w:t>forbindelse med kunstig intelligens, med</w:t>
            </w:r>
            <w:r>
              <w:t xml:space="preserve"> en </w:t>
            </w:r>
            <w:r>
              <w:rPr>
                <w:b/>
                <w:i/>
              </w:rPr>
              <w:t>særlig administrativ enhed;</w:t>
            </w:r>
            <w:r>
              <w:rPr>
                <w:b/>
                <w:i/>
              </w:rPr>
              <w:t xml:space="preserve"> </w:t>
            </w:r>
            <w:r>
              <w:rPr>
                <w:b/>
                <w:i/>
              </w:rPr>
              <w:t>understreger, at enheden bør bygge på og supplere eksisterende ekspertise og tjenester, herunder dem</w:t>
            </w:r>
            <w:r>
              <w:t xml:space="preserve">, der </w:t>
            </w:r>
            <w:r>
              <w:rPr>
                <w:b/>
                <w:i/>
              </w:rPr>
              <w:t>leveres af EPRS og STOA, så den kan organiseres på en budgetneutral måde, og at den bør fungere</w:t>
            </w:r>
            <w:r>
              <w:t xml:space="preserve"> som en tjeneste på tværs af parlamentariske udvalg for at støtte dem i spørgsmål vedrørende kunstig intelligens, dens forvaltning, institutionelle balance og demokratiske tilsyn </w:t>
            </w:r>
            <w:r>
              <w:rPr>
                <w:b/>
                <w:i/>
              </w:rPr>
              <w:t>samt styrke AI-færdigheder og teknisk ekspertise</w:t>
            </w:r>
            <w:r>
              <w:t xml:space="preserve">; </w:t>
            </w:r>
            <w:r>
              <w:rPr>
                <w:b/>
                <w:i/>
              </w:rPr>
              <w:t>fremhæver endvidere</w:t>
            </w:r>
            <w:r>
              <w:t xml:space="preserve">, at </w:t>
            </w:r>
            <w:r>
              <w:rPr>
                <w:b/>
                <w:i/>
              </w:rPr>
              <w:t>enheden bør have</w:t>
            </w:r>
            <w:r>
              <w:t xml:space="preserve"> en </w:t>
            </w:r>
            <w:r>
              <w:rPr>
                <w:b/>
                <w:i/>
              </w:rPr>
              <w:t>klar analytisk og forvaltningsmæssig struktur til at styre sine prioriteter og sikre horisontal kapacitetsopbygning og relevans</w:t>
            </w:r>
            <w:r>
              <w:t xml:space="preserve"> på </w:t>
            </w:r>
            <w:r>
              <w:rPr>
                <w:b/>
                <w:i/>
              </w:rPr>
              <w:t>tværs</w:t>
            </w:r>
            <w:r>
              <w:t xml:space="preserve"> af </w:t>
            </w:r>
            <w:r>
              <w:rPr>
                <w:b/>
                <w:i/>
              </w:rPr>
              <w:t>udvalgene;</w:t>
            </w:r>
            <w:r>
              <w:rPr>
                <w:b/>
                <w:i/>
              </w:rPr>
              <w:t xml:space="preserve"> </w:t>
            </w:r>
            <w:r>
              <w:rPr>
                <w:b/>
                <w:i/>
              </w:rPr>
              <w:t>foreslår, at enheden kunne kaldes Europa-Parlamentets AI-observatorium</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11a.</w:t>
            </w:r>
            <w:r>
              <w:tab/>
            </w:r>
            <w:r>
              <w:rPr>
                <w:b/>
                <w:i/>
              </w:rPr>
              <w:t>minder om det eksisterende analytiske arbejde, der udføres i Parlamentet, herunder af arbejdsgruppen om AI-forordningen, der er nedsat med henblik på at overvåge og kontrollere gennemførelsen og håndhævelsen af AI-forordningen, bidrage til at identificere tværsektorielle mangler, overlapninger og uoverensstemmelser i EU's bredere retlige ramme for kunstig intelligens samt overvåge ny AI-relateret udvikling og nye AI-relaterede udfordringer;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(Flyttet fra punkt 15)</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understreger, at en styrkelse af Parlamentets interne analyse- og forvaltningskapacitet yderligere kan bidrage til at overvåge den institutionelle AI-forvaltning, -ansvarlighed og ‑forklarlighed og konsekvenserne af de AI-systemer, der anvendes i institutionen, samt bidrage til at opnå et tilstrækkeligt niveau af AI-færdigheder blandt personalet og kan støtte Parlamentets opfølgning på de relevante rådskonklusioner;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(Flyttet fra punkt 16)</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understreger, at den stigende udbredelse af AI-systemer inden for offentlige forvaltninger, herunder EU-institutionerne, rejser vigtige spørgsmål vedrørende gennemsigtighed, ansvarlighed og en retfærdig administrativ procedure; understreger, at Parlamentet bør opretholde tilstrækkelig intern analytisk kapacitet til uafhængigt at vurdere en sådan udvikling for at beskytte sine institutionelle beføjelser og tilsynsfunktioner og opbygge sin egen institutionelle hukommelse på dette område;</w:t>
            </w:r>
          </w:p>
        </w:tc>
        <w:tc>
          <w:tcPr>
            <w:tcW w:w="4876" w:type="dxa"/>
            <w:tcBorders>
              <w:top w:val="nil"/>
              <w:left w:val="nil"/>
              <w:bottom w:val="nil"/>
              <w:right w:val="nil"/>
            </w:tcBorders>
          </w:tcPr>
          <w:p>
            <w:pPr>
              <w:pStyle w:val="Normal6a"/>
            </w:pPr>
            <w:r>
              <w:t>12.</w:t>
            </w:r>
            <w:r>
              <w:tab/>
            </w:r>
            <w:r>
              <w:t xml:space="preserve">understreger, at den stigende udbredelse af AI-systemer inden for offentlige forvaltninger, herunder EU-institutionerne, </w:t>
            </w:r>
            <w:r>
              <w:rPr>
                <w:b/>
                <w:i/>
              </w:rPr>
              <w:t>øger effektiviteten af interne processer, men også</w:t>
            </w:r>
            <w:r>
              <w:t xml:space="preserve"> rejser vigtige spørgsmål vedrørende gennemsigtighed, ansvarlighed</w:t>
            </w:r>
            <w:r>
              <w:rPr>
                <w:b/>
                <w:i/>
              </w:rPr>
              <w:t>, systemernes sikkerhed</w:t>
            </w:r>
            <w:r>
              <w:t xml:space="preserve"> og en retfærdig administrativ procedure; understreger, at Parlamentet bør opretholde tilstrækkelig intern analytisk kapacitet til uafhængigt at vurdere en sådan </w:t>
            </w:r>
            <w:r>
              <w:rPr>
                <w:b/>
                <w:i/>
              </w:rPr>
              <w:t>udbredelse og dermed forbundet</w:t>
            </w:r>
            <w:r>
              <w:t xml:space="preserve"> udvikling for at beskytte sine institutionelle beføjelser og tilsynsfunktioner og opbygge sin egen institutionelle hukommelse på dette område </w:t>
            </w:r>
            <w:r>
              <w:rPr>
                <w:b/>
                <w:i/>
              </w:rPr>
              <w:t>, med brug af eksisterende parlamentariske tjenester og ekspertise, hvor det er muligt, samt for at bevare fuld kontrol over sin cybersikkerhed og sikkerheden i alle infrastrukturer og systemer;</w:t>
            </w:r>
            <w:r>
              <w:rPr>
                <w:b/>
                <w:i/>
              </w:rPr>
              <w:t xml:space="preserve"> understreger, at denne indsats bør suppleres med grundige uddannelsesprogrammer i AI-færdigheder; </w:t>
            </w:r>
            <w:r>
              <w:rPr>
                <w:b/>
                <w:i/>
              </w:rPr>
              <w:t>opfordrer endvidere til regelmæssige vurderinger af indvirkningen af udbredelsen af kunstig intelligens på grundlæggende rettigheder og privatlivets fred</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12a.</w:t>
            </w:r>
            <w:r>
              <w:tab/>
            </w:r>
            <w:r>
              <w:rPr>
                <w:b/>
                <w:i/>
              </w:rPr>
              <w:t>fremhæver potentialet ved kunstig intelligens til at styrke Parlamentets kontrol- og tilsynskapacitet ved at lette adgangen til relevante oplysninger, forbedre analysen af kompleks lovgivningsmæssig og reguleringsmæssig udvikling og støtte overvågningen af gennemførelsen og håndhævelsen af EU-retten; understreger, at ansvarlig brug af kunstig intelligens kan bidrage til at mindske informationsasymmetrier, øge den lovgivningsmæssige sammenhæng og forbedre kvaliteten, effektiviteten og forudsigeligheden af EU's beslutningsprocesser, samtidig med at den demokratiske ansvarlighed, gennemsigtighed og meningsfuld menneskelig kontrol respekteres fuldt ud;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t xml:space="preserve">opfordrer til, at der anvendes AI-værktøjer til at støtte overvågningen og gennemførelsen af allerede vedtaget EU-lovgivning, </w:t>
            </w:r>
            <w:r>
              <w:rPr>
                <w:b/>
                <w:i/>
              </w:rPr>
              <w:t>navnlig</w:t>
            </w:r>
            <w:r>
              <w:t xml:space="preserve"> ved at finde frem til nationale og regionale retsakter, der kræver ændringer, og ved at opdage potentielle uoverensstemmelser, overlapninger eller risici for retlig fragmentering og dermed styrke den retlige sammenhæng på tværs af forvaltningsniveauer, </w:t>
            </w:r>
            <w:r>
              <w:rPr>
                <w:b/>
                <w:i/>
              </w:rPr>
              <w:t>afhjælpe</w:t>
            </w:r>
            <w:r>
              <w:t xml:space="preserve"> mangler i gennemførelsen i medlemsstaterne og forbedre effektiviteten og forudsigeligheden af EU-retten; understreger i den forbindelse betydningen af en menneskecentreret tilgang, når sådanne værktøjer anvendes;</w:t>
            </w:r>
          </w:p>
        </w:tc>
        <w:tc>
          <w:tcPr>
            <w:tcW w:w="4876" w:type="dxa"/>
            <w:tcBorders>
              <w:top w:val="nil"/>
              <w:left w:val="nil"/>
              <w:bottom w:val="nil"/>
              <w:right w:val="nil"/>
            </w:tcBorders>
          </w:tcPr>
          <w:p>
            <w:pPr>
              <w:pStyle w:val="Normal6a"/>
            </w:pPr>
            <w:r>
              <w:t>13.</w:t>
            </w:r>
            <w:r>
              <w:tab/>
            </w:r>
            <w:r>
              <w:t>opfordrer til, at der anvendes AI-værktøjer til at støtte overvågningen og gennemførelsen af allerede vedtaget EU-lovgivning</w:t>
            </w:r>
            <w:r>
              <w:rPr>
                <w:b/>
                <w:i/>
              </w:rPr>
              <w:t>, ved at bidrage til at indkredse</w:t>
            </w:r>
            <w:r>
              <w:t xml:space="preserve"> nationale og regionale retsakter, der kræver ændringer, og ved at opdage potentielle uoverensstemmelser, overlapninger eller risici for retlig fragmentering og dermed styrke den retlige sammenhæng </w:t>
            </w:r>
            <w:r>
              <w:rPr>
                <w:b/>
                <w:i/>
              </w:rPr>
              <w:t>og sænke omkostningerne</w:t>
            </w:r>
            <w:r>
              <w:t xml:space="preserve"> på tværs af forvaltningsniveauer, </w:t>
            </w:r>
            <w:r>
              <w:rPr>
                <w:b/>
                <w:i/>
              </w:rPr>
              <w:t>bidrage til at konstatere</w:t>
            </w:r>
            <w:r>
              <w:t xml:space="preserve"> mangler i gennemførelsen i medlemsstaterne og forbedre effektiviteten og forudsigeligheden af EU-retten; </w:t>
            </w:r>
            <w:r>
              <w:rPr>
                <w:b/>
                <w:i/>
              </w:rPr>
              <w:t xml:space="preserve">understreger, at AI-værktøjer også kan støtte evidensbaseret politikudformning, forenklingsbestræbelser og efterfølgende evaluering af EU-lovgivningen, herunder ved at mindske uforholdsmæssigt store administrative byrder, der påvirker borgere, virksomheder og offentlige forvaltninger; </w:t>
            </w:r>
            <w:r>
              <w:t xml:space="preserve">understreger i den forbindelse betydningen af </w:t>
            </w:r>
            <w:r>
              <w:rPr>
                <w:b/>
                <w:i/>
              </w:rPr>
              <w:t>et stærkt menneskeligt tilsyn</w:t>
            </w:r>
            <w:r>
              <w:t>, når sådanne værktøjer anvendes;</w:t>
            </w:r>
            <w:r>
              <w:rPr>
                <w:b/>
                <w:i/>
              </w:rPr>
              <w:t xml:space="preserve"> understreger, at AI-systemer aldrig må erstatte menneskers politiske ansvar eller demokratiske ansvarlighed;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13a.</w:t>
            </w:r>
            <w:r>
              <w:tab/>
            </w:r>
            <w:r>
              <w:rPr>
                <w:b/>
                <w:i/>
              </w:rPr>
              <w:t>opfordrer Kommissionen og medlemsstaterne til at sikre en ensartet, forholdsmæssig og sammenhængende gennemførelse af EU's ramme for AI på en måde, der støtter innovation og konkurrenceevne, samtidig med at de grundlæggende rettigheder samt intellektuelle ejendomsrettigheder og ophavsretsreglerne respekteres fuldt ud, og unødvendige administrative byrder, overlappende indberetningsforpligtelser og nationale overreguleringsforanstaltninger, der kan fragmentere det indre marked og hindre opskaleringen af pålidelige europæiske AI-løsninger, undgås;</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opfordrer til en analyse af overlapninger, huller og uoverensstemmelser mellem de mange AI-relaterede lovgivningsmæssige og politiske instrumenter og deres gennemførelse med henblik på at mindske fragmenteringen og sikre en sammenhængende anvendelse på tværs af sektorspecifikke områder, herunder en sammenhængende institutionel gennemførelse;</w:t>
            </w:r>
          </w:p>
        </w:tc>
        <w:tc>
          <w:tcPr>
            <w:tcW w:w="4876" w:type="dxa"/>
            <w:tcBorders>
              <w:top w:val="nil"/>
              <w:left w:val="nil"/>
              <w:bottom w:val="nil"/>
              <w:right w:val="nil"/>
            </w:tcBorders>
          </w:tcPr>
          <w:p>
            <w:pPr>
              <w:pStyle w:val="Normal6a"/>
            </w:pPr>
            <w:r>
              <w:t>14.</w:t>
            </w:r>
            <w:r>
              <w:tab/>
            </w:r>
            <w:r>
              <w:t xml:space="preserve">opfordrer til en analyse af overlapninger, huller og uoverensstemmelser mellem de mange AI-relaterede lovgivningsmæssige og politiske instrumenter og deres gennemførelse med henblik på at mindske fragmenteringen og </w:t>
            </w:r>
            <w:r>
              <w:rPr>
                <w:b/>
                <w:i/>
              </w:rPr>
              <w:t>undgå uforholdsmæssigt store byrder og samtidig</w:t>
            </w:r>
            <w:r>
              <w:t xml:space="preserve"> sikre en sammenhængende anvendelse på tværs af sektorspecifikke områder, herunder en sammenhængende institutionel gennemførelse;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understreger, at det analytiske arbejde, der udføres i Parlamentet, herunder af Europa-Parlamentets foreslåede AI-observatorium, kan bidrage til at identificere tværsektorielle mangler, overlapninger og uoverensstemmelser i EU's bredere retlige ramme for kunstig intelligens;</w:t>
            </w:r>
          </w:p>
        </w:tc>
        <w:tc>
          <w:tcPr>
            <w:tcW w:w="4876" w:type="dxa"/>
            <w:tcBorders>
              <w:top w:val="nil"/>
              <w:left w:val="nil"/>
              <w:bottom w:val="nil"/>
              <w:right w:val="nil"/>
            </w:tcBorders>
          </w:tcPr>
          <w:p>
            <w:pPr>
              <w:pStyle w:val="Normal6a"/>
            </w:pPr>
            <w:r>
              <w:rPr>
                <w:b/>
                <w:i/>
              </w:rPr>
              <w:t>udgår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(Flyttet til punkt 11a)</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understreger, at Europa-Parlamentets AI-observatorium kan bidrage til overvågningen af institutionel AI-forvaltning, ansvarlighed og forklarlighed og af konsekvenserne af de AI-systemer, der anvendes i institutionen, og kan støtte Parlamentets opfølgning på de relevante rådskonklusioner;</w:t>
            </w:r>
          </w:p>
        </w:tc>
        <w:tc>
          <w:tcPr>
            <w:tcW w:w="4876" w:type="dxa"/>
            <w:tcBorders>
              <w:top w:val="nil"/>
              <w:left w:val="nil"/>
              <w:bottom w:val="nil"/>
              <w:right w:val="nil"/>
            </w:tcBorders>
          </w:tcPr>
          <w:p>
            <w:pPr>
              <w:pStyle w:val="Normal6a"/>
            </w:pPr>
            <w:r>
              <w:rPr>
                <w:b/>
                <w:i/>
              </w:rPr>
              <w:t>udgår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(Flyttet til punkt 11b)</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opfordrer formanden for AI-udvalget til at indbyde Europa-Parlamentets AI-observatorium, når det er oprettet, til udvalgets møder for at sikre parlamentarisk kontrol og interinstitutionel sammenhæng i EU's AI-politik;</w:t>
            </w:r>
          </w:p>
        </w:tc>
        <w:tc>
          <w:tcPr>
            <w:tcW w:w="4876" w:type="dxa"/>
            <w:tcBorders>
              <w:top w:val="nil"/>
              <w:left w:val="nil"/>
              <w:bottom w:val="nil"/>
              <w:right w:val="nil"/>
            </w:tcBorders>
          </w:tcPr>
          <w:p>
            <w:pPr>
              <w:pStyle w:val="Normal6a"/>
            </w:pPr>
            <w:r>
              <w:rPr>
                <w:b/>
                <w:i/>
              </w:rPr>
              <w:t>udgår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understreger, at et styrket samarbejde inden for forvaltning af kunstig intelligens mellem </w:t>
            </w:r>
            <w:r>
              <w:rPr>
                <w:b/>
                <w:i/>
              </w:rPr>
              <w:t>Parlamentet</w:t>
            </w:r>
            <w:r>
              <w:t xml:space="preserve">, de nationale parlamenter og de nationale kompetente myndigheder i overensstemmelse med artikel 70 i </w:t>
            </w:r>
            <w:r>
              <w:rPr>
                <w:b/>
                <w:i/>
              </w:rPr>
              <w:t>forordningen om kunstig intelligens</w:t>
            </w:r>
            <w:r>
              <w:t xml:space="preserve"> er afgørende for at udveksle bedste praksis, forbedre den lovgivningsmæssige sammenhæng og støtte parlamentarisk kontrol med udbredelsen af kunstig intelligens i hele EU;</w:t>
            </w:r>
          </w:p>
        </w:tc>
        <w:tc>
          <w:tcPr>
            <w:tcW w:w="4876" w:type="dxa"/>
            <w:tcBorders>
              <w:top w:val="nil"/>
              <w:left w:val="nil"/>
              <w:bottom w:val="nil"/>
              <w:right w:val="nil"/>
            </w:tcBorders>
          </w:tcPr>
          <w:p>
            <w:pPr>
              <w:pStyle w:val="Normal6a"/>
            </w:pPr>
            <w:r>
              <w:t>18.</w:t>
            </w:r>
            <w:r>
              <w:tab/>
            </w:r>
            <w:r>
              <w:t xml:space="preserve">understreger, at et styrket samarbejde inden for forvaltning af kunstig intelligens mellem </w:t>
            </w:r>
            <w:r>
              <w:rPr>
                <w:b/>
                <w:i/>
              </w:rPr>
              <w:t>Europa-Parlamentet</w:t>
            </w:r>
            <w:r>
              <w:t xml:space="preserve">, de nationale parlamenter og de nationale kompetente myndigheder i overensstemmelse med artikel 70 i </w:t>
            </w:r>
            <w:r>
              <w:rPr>
                <w:b/>
                <w:i/>
              </w:rPr>
              <w:t>AI-forordningen</w:t>
            </w:r>
            <w:r>
              <w:t xml:space="preserve"> er afgørende for at udveksle bedste praksis, forbedre den lovgivningsmæssige sammenhæng</w:t>
            </w:r>
            <w:r>
              <w:rPr>
                <w:b/>
                <w:i/>
              </w:rPr>
              <w:t>, bidrage til at identificere og fjerne overlapninger og unødvendigt bureaukrati</w:t>
            </w:r>
            <w:r>
              <w:t xml:space="preserve"> og støtte parlamentarisk kontrol med udbredelsen af kunstig intelligens i hele EU;</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opfordrer til systematisk parlamentarisk vurdering af AI-relaterede risici for demokratiske processer, herunder valgintegritet, og til, </w:t>
            </w:r>
            <w:r>
              <w:rPr>
                <w:b/>
                <w:i/>
              </w:rPr>
              <w:t>at Europa-Parlamentets AI-observatorium støtter overvågningen</w:t>
            </w:r>
            <w:r>
              <w:t xml:space="preserve"> af </w:t>
            </w:r>
            <w:r>
              <w:rPr>
                <w:b/>
                <w:i/>
              </w:rPr>
              <w:t>valg og europæiske politiske partier</w:t>
            </w:r>
            <w:r>
              <w:t xml:space="preserve">, i betragtning af at </w:t>
            </w:r>
            <w:r>
              <w:rPr>
                <w:b/>
                <w:i/>
              </w:rPr>
              <w:t>kunstig intelligens</w:t>
            </w:r>
            <w:r>
              <w:t xml:space="preserve"> i stigende grad former politisk kommunikation, valgprocesser, offentlig debat og beslutningstagning;</w:t>
            </w:r>
          </w:p>
        </w:tc>
        <w:tc>
          <w:tcPr>
            <w:tcW w:w="4876" w:type="dxa"/>
            <w:tcBorders>
              <w:top w:val="nil"/>
              <w:left w:val="nil"/>
              <w:bottom w:val="nil"/>
              <w:right w:val="nil"/>
            </w:tcBorders>
          </w:tcPr>
          <w:p>
            <w:pPr>
              <w:pStyle w:val="Normal6a"/>
            </w:pPr>
            <w:r>
              <w:t>19.</w:t>
            </w:r>
            <w:r>
              <w:tab/>
            </w:r>
            <w:r>
              <w:t xml:space="preserve">opfordrer til systematisk parlamentarisk vurdering af AI-relaterede risici for demokratiske processer, herunder valgintegritet, </w:t>
            </w:r>
            <w:r>
              <w:rPr>
                <w:b/>
                <w:i/>
              </w:rPr>
              <w:t>grundlæggende frihedsrettigheder og privatlivets fred,</w:t>
            </w:r>
            <w:r>
              <w:t xml:space="preserve"> og til </w:t>
            </w:r>
            <w:r>
              <w:rPr>
                <w:b/>
                <w:i/>
              </w:rPr>
              <w:t>parlamentarisk støtte til analyse af relevant AI-udvikling</w:t>
            </w:r>
            <w:r>
              <w:t xml:space="preserve">, </w:t>
            </w:r>
            <w:r>
              <w:rPr>
                <w:b/>
                <w:i/>
              </w:rPr>
              <w:t>der påvirker demokratiske processer, herunder anvendelsen</w:t>
            </w:r>
            <w:r>
              <w:t xml:space="preserve"> af </w:t>
            </w:r>
            <w:r>
              <w:rPr>
                <w:b/>
                <w:i/>
              </w:rPr>
              <w:t>kunstig intelligens i politisk kommunikation og offentlig debat</w:t>
            </w:r>
            <w:r>
              <w:t xml:space="preserve">, i betragtning af at </w:t>
            </w:r>
            <w:r>
              <w:rPr>
                <w:b/>
                <w:i/>
              </w:rPr>
              <w:t>AI-drevne applikationer</w:t>
            </w:r>
            <w:r>
              <w:t xml:space="preserve"> i stigende grad former politisk kommunikation, valgprocesser, offentlig debat og beslutningstagning</w:t>
            </w:r>
            <w:r>
              <w:rPr>
                <w:b/>
                <w:i/>
              </w:rPr>
              <w:t>, herunder gennem deepfakes, syntetiske medier og koordinerede desinformationskampagner;</w:t>
            </w:r>
            <w:r>
              <w:rPr>
                <w:b/>
                <w:i/>
              </w:rPr>
              <w:t xml:space="preserve"> understreger behovet for at håndhæve AI-forordningens gennemsigtighedsforpligtelser vedrørende AI-genereret indhold i denne henseende; </w:t>
            </w:r>
            <w:r>
              <w:rPr>
                <w:b/>
                <w:i/>
              </w:rPr>
              <w:t>anerkender, at kunstig intelligens også kan øge den demokratiske deltagelse, forbedre adgangen til oplysninger og styrke evidensbaseret politikudformning, men understreger samtidig behovet for at sikre, at anvendelsen heraf forbliver gennemsigtig, ansvarlig og i overensstemmelse med EU-retten</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understreger, at den hurtige udvikling af EU's forvaltningslandskab, navnlig som reaktion på den digitale omstilling, kunstig intelligens og stadig mere komplekse lovgivningsmæssige rammer, gradvist udfordrer tilstrækkeligheden af de eksisterende traktatbestemmelser om institutionelle kompetencer, demokratisk ansvarlighed og parlamentarisk kontrol;</w:t>
            </w:r>
          </w:p>
        </w:tc>
        <w:tc>
          <w:tcPr>
            <w:tcW w:w="4876" w:type="dxa"/>
            <w:tcBorders>
              <w:top w:val="nil"/>
              <w:left w:val="nil"/>
              <w:bottom w:val="nil"/>
              <w:right w:val="nil"/>
            </w:tcBorders>
          </w:tcPr>
          <w:p>
            <w:pPr>
              <w:pStyle w:val="Normal6a"/>
            </w:pPr>
            <w:r>
              <w:t>21.</w:t>
            </w:r>
            <w:r>
              <w:tab/>
            </w:r>
            <w:r>
              <w:t>understreger, at den hurtige udvikling af EU's forvaltningslandskab, navnlig som reaktion på den digitale omstilling, kunstig intelligens og stadig mere komplekse lovgivningsmæssige rammer, gradvist udfordrer tilstrækkeligheden af de eksisterende traktatbestemmelser om institutionelle kompetencer, demokratisk ansvarlighed og parlamentarisk kontrol</w:t>
            </w:r>
            <w:r>
              <w:rPr>
                <w:b/>
                <w:i/>
              </w:rPr>
              <w:t>, samtidig med at behovet for at sikre gennemsigtighed og mindske den reguleringsmæssige kompleksitet fremhæves;</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21a.</w:t>
            </w:r>
            <w:r>
              <w:tab/>
            </w:r>
            <w:r>
              <w:rPr>
                <w:b/>
                <w:i/>
              </w:rPr>
              <w:t>understreger, at de hurtige fremskridt inden for AI-udvikling på kort til mellemlangt sigt afspejles på det lovgivningsmæssige plan i den nyligt vedtagne AI-forordning, som endnu ikke finder fuld anvendelse, og hvis virkning endnu ikke er fuldt ud observeret; fremhæver, at de seneste fremskridt inden for kunstig intelligens også behandles gennem den digitale omnibus om kunstig intelligens som reaktion på behovet for forenkling og præcisering af visse bestemmelser i AI-forordningen gennem en række målrettede foranstaltninger for at sikre en rettidig, gnidningsløs og forholdsmæssig gennemførelse heraf; fremhæver, at den digitale omnibus om kunstig intelligens afspejler behovet for at tilpasse sig den hurtige udvikling på AI-området og sikre, at EU's retlige ramme fremmer et effektivt og konkurrencedygtigt miljø for organisationer, der opererer i EU; minder om det særskilte forslag til den digitale omnibus, der yderligere præciserer, hvordan personoplysninger kan anvendes til AI-træning og -udvikling; understreger i den forbindelse behovet for at gennemføre og håndhæve AI-forordningen og resten af EU's digitale lovgivningsmæssige ramme og om nødvendigt ajourføre den i lyset af den teknologiske udvikling, samtidig med at unødvendige administrative byrder, overlappende indberetningsforpligtelser og nationale overreguleringsforanstaltninger, der kan fragmentere det indre marked og hindre opskaleringen af pålidelige europæiske AI-løsninger, undgås; understreger behovet for en gennemsigtig tilgang i den henseende;</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BILAG: ERKLÆRING OM INPUT</w:t>
      </w:r>
    </w:p>
    <w:p>
      <w:pPr>
        <w:pStyle w:val="Normal12a"/>
      </w:pPr>
      <w:r>
        <w:rPr>
          <w:rStyle w:val="HideTWBExt"/>
        </w:rPr>
        <w:t>&lt;FootprintIntro&gt;</w:t>
      </w:r>
      <w:r>
        <w:rPr>
          <w:rStyle w:val="HideTWBExt"/>
        </w:rPr>
        <w:t>&lt;/FootprintIntro&gt;</w:t>
      </w:r>
    </w:p>
    <w:p>
      <w:pPr>
        <w:pStyle w:val="Normal12a"/>
      </w:pPr>
      <w:r>
        <w:t>I henhold til artikel 8 i bilag I til forretningsordenen erklærer ordføreren, at han i sin betænkning har medtaget input om forhold, der vedrører sagens emne, som han har modtaget som led i udarbejdelsen af udkastet til betænkning fra følgende interesserepræsentanter, der er omfattet af anvendelsesområdet for den interinstitutionelle aftale om et obligatorisk åbenhedsregister</w:t>
      </w:r>
      <w:r>
        <w:rPr>
          <w:rStyle w:val="FootnoteReference"/>
        </w:rPr>
        <w:footnoteReference w:customMarkFollows="1" w:id="2"/>
        <w:t xml:space="preserve">1</w:t>
      </w:r>
      <w:r>
        <w:t>, eller fra følgende repræsentanter for offentlige myndigheder i tredjelande, herunder deres diplomatiske missioner og ambassader: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Interesserepræsentanter, der er omfattet af anvendelsesområdet for den interinstitutionelle aftale om et obligatorisk åbenhedsregister</w:t>
            </w:r>
          </w:p>
        </w:tc>
      </w:tr>
      <w:tr>
        <w:tblPrEx>
          <w:tblW w:w="0" w:type="auto"/>
          <w:tblLayout w:type="fixed"/>
          <w:tblCellMar>
            <w:left w:w="140" w:type="dxa"/>
            <w:right w:w="140" w:type="dxa"/>
          </w:tblCellMar>
        </w:tblPrEx>
        <w:tc>
          <w:tcPr>
            <w:tcW w:w="9080" w:type="dxa"/>
          </w:tcPr>
          <w:p>
            <w:r>
              <w:t>Pour Demain Europe TI 172933491707-16</w:t>
            </w:r>
          </w:p>
        </w:tc>
      </w:tr>
    </w:tbl>
    <w:p/>
    <w:p>
      <w:pPr>
        <w:pStyle w:val="Normal12a"/>
      </w:pPr>
      <w:r>
        <w:t>Ordføreren har udarbejdet ovenstående liste på eget ansvar.</w:t>
      </w:r>
    </w:p>
    <w:p>
      <w:pPr>
        <w:pStyle w:val="Normal12a"/>
      </w:pPr>
      <w:r>
        <w:t>Når fysiske personer er identificeret på listen ved deres navn, deres funktion eller begge, erklærer ordføreren at have forelagt de pågældende fysiske personer Europa-Parlamentets databeskyttelsesmeddelelse nr. 484 (</w:t>
      </w:r>
      <w:hyperlink r:id="rId9" w:tgtFrame="https://www.europarl.europa.eu/data-protect/index.do" w:history="1">
        <w:r>
          <w:rPr>
            <w:rStyle w:val="Hyperlink"/>
          </w:rPr>
          <w:t>https://www.europarl.europa.eu/data-protect/index.do</w:t>
        </w:r>
      </w:hyperlink>
      <w:r>
        <w:t>), hvori de gældende betingelser for behandling af deres personoplysninger og rettighederne forbundet med denne behandling er fastlagt.</w:t>
      </w:r>
    </w:p>
    <w:p>
      <w:pPr>
        <w:sectPr>
          <w:footnotePr>
            <w:numRestart w:val="eachSect"/>
          </w:footnotePr>
          <w:type w:val="nextPage"/>
          <w:pgSz w:w="11909" w:h="16834"/>
          <w:pgMar w:top="1134" w:right="1417" w:bottom="1417" w:left="1417" w:header="1134" w:footer="567"/>
          <w:cols w:space="720"/>
        </w:sectPr>
      </w:pPr>
    </w:p>
    <w:p>
      <w:pPr>
        <w:pStyle w:val="PageHeadingNotTOC"/>
      </w:pPr>
      <w:r>
        <w:t>OPLYSNINGER OM VEDTAGELSE I RÅDGIVENDE UDVALG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Dato for vedtagelse</w:t>
            </w:r>
          </w:p>
        </w:tc>
        <w:tc>
          <w:tcPr>
            <w:tcW w:w="6400" w:type="dxa"/>
            <w:tcBorders>
              <w:left w:val="dotted" w:sz="4" w:space="0" w:color="auto"/>
            </w:tcBorders>
          </w:tcPr>
          <w:p>
            <w:pPr>
              <w:pStyle w:val="ProcedureTable"/>
            </w:pPr>
            <w:r>
              <w:t>24.6.2026</w:t>
            </w:r>
          </w:p>
        </w:tc>
      </w:tr>
      <w:tr>
        <w:tblPrEx>
          <w:tblW w:w="0" w:type="auto"/>
          <w:tblLayout w:type="fixed"/>
          <w:tblCellMar>
            <w:left w:w="140" w:type="dxa"/>
            <w:right w:w="140" w:type="dxa"/>
          </w:tblCellMar>
        </w:tblPrEx>
        <w:tc>
          <w:tcPr>
            <w:tcW w:w="3600" w:type="dxa"/>
          </w:tcPr>
          <w:p>
            <w:pPr>
              <w:pStyle w:val="ProcedureTableBold"/>
            </w:pPr>
            <w:r>
              <w:t>Resultat af den endelige afstemning</w:t>
            </w:r>
          </w:p>
        </w:tc>
        <w:tc>
          <w:tcPr>
            <w:tcW w:w="6400" w:type="dxa"/>
            <w:tcBorders>
              <w:left w:val="dotted" w:sz="4" w:space="0" w:color="auto"/>
            </w:tcBorders>
          </w:tcPr>
          <w:p>
            <w:r>
              <w:t>+</w:t>
            </w:r>
            <w:r>
              <w:tab/>
            </w:r>
            <w:r>
              <w:t>:</w:t>
            </w:r>
            <w:r>
              <w:tab/>
            </w:r>
            <w:r>
              <w:t>66</w:t>
            </w:r>
          </w:p>
          <w:p>
            <w:r>
              <w:t>-</w:t>
            </w:r>
            <w:r>
              <w:tab/>
            </w:r>
            <w:r>
              <w:t>:</w:t>
            </w:r>
            <w:r>
              <w:tab/>
            </w:r>
            <w:r>
              <w:t>0</w:t>
            </w:r>
          </w:p>
          <w:p>
            <w:r>
              <w:t>0</w:t>
            </w:r>
            <w:r>
              <w:tab/>
            </w:r>
            <w:r>
              <w:t>:</w:t>
            </w:r>
            <w:r>
              <w:tab/>
            </w:r>
            <w:r>
              <w:t>4</w:t>
            </w:r>
          </w:p>
        </w:tc>
      </w:tr>
    </w:tbl>
    <w:p>
      <w:pPr>
        <w:sectPr>
          <w:type w:val="nextPage"/>
          <w:pgSz w:w="11909" w:h="16834"/>
          <w:pgMar w:top="1134" w:right="1417" w:bottom="1417" w:left="1417" w:header="1134" w:footer="567"/>
          <w:cols w:space="720"/>
        </w:sectPr>
      </w:pPr>
    </w:p>
    <w:p>
      <w:pPr>
        <w:pStyle w:val="PageHeadingNotTOC"/>
      </w:pPr>
      <w:r>
        <w:t xml:space="preserve">ENDELIG AFSTEMNING VED NAVNEOPRÅB </w:t>
        <w:br/>
        <w:t>I RÅDGIVENDE UDVALG</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66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Alessandro Ciriani, Geadis Geadi, Paolo Inselvini, Assita Kanko, Georgiana Teodorescu, Maciej Wasik</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Erik Kalinák</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Georgios Aftias, Krzysztof Brejza, Caterina Chinnici, Paulo Cunha, Lena Düpont, Loucas Fourlas, Ondrej Kolár, Marie-Sophie Lanig, Jeroen Lenaers, Verena Mertens, Ana Miguel Pedro, Emil Radev, Karlo Ressler, Bartlomiej Sienkiewicz, Tomas Tobé, Loránt Vincze, Isabel Wiseler-Lima, Javier Zarzalejos, Tomás Zdechovský</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Jaroslav Bzoch, Mélanie Disdier, Marieke Ehlers, Catherine Griset, András László, Fabrice Leggeri, António Tânger Corrêa, Tom Vandendriessche</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Malik Azmani, Veronika Cifrová Ostrihonová, Raquel García Hermida-Van Der Walle, Fabienne Keller, Moritz Körner, Michael McNamara, Marjan Sarec, Hilde Vautmans, Lucia Yar</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Vytenis Povilas Andriukaitis, Francisco Assis, Katarina Barley, Hannes Heide, Alicia Homs Ginel, Evin Incir, Murielle Laurent, Ana Catarina Mendes, Birgit Sippel, Krzysztof Smiszek, Cecilia Strada, Kristian Vigenin, Alessandro Zan</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Giuseppe Antoci, Pernando Barrena Arza, Gaetano Pedulla', Ilaria Salis</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Jaume Asens Llodrà, Saskia Bricmont, Mélissa Camara, Markéta Gregorová, Leoluca Orlando, Tineke Strik</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Alexander Sell, Milan Uhrík, Roberto Vannacci</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Jorge Buxadé Villalba</w:t>
            </w:r>
          </w:p>
        </w:tc>
      </w:tr>
    </w:tbl>
    <w:p/>
    <w:p>
      <w:r>
        <w:t>Key:</w:t>
      </w:r>
    </w:p>
    <w:p>
      <w:pPr>
        <w:pStyle w:val="NormalTab"/>
      </w:pPr>
      <w:r>
        <w:t>+</w:t>
      </w:r>
      <w:r>
        <w:t xml:space="preserve">  :  </w:t>
      </w:r>
      <w:r>
        <w:t>for</w:t>
      </w:r>
    </w:p>
    <w:p>
      <w:pPr>
        <w:pStyle w:val="NormalTab"/>
      </w:pPr>
      <w:r>
        <w:t>-</w:t>
      </w:r>
      <w:r>
        <w:t xml:space="preserve">  :  </w:t>
      </w:r>
      <w:r>
        <w:t>imod</w:t>
      </w:r>
    </w:p>
    <w:p>
      <w:pPr>
        <w:pStyle w:val="NormalTab"/>
      </w:pPr>
      <w:r>
        <w:t>0</w:t>
      </w:r>
      <w:r>
        <w:t xml:space="preserve">  :  </w:t>
      </w:r>
      <w:r>
        <w:t>hverken/eller</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787.655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28</w:t>
    </w:r>
    <w:r>
      <w:fldChar w:fldCharType="end"/>
    </w:r>
    <w:r>
      <w:t>/</w:t>
    </w:r>
    <w:r>
      <w:fldChar w:fldCharType="begin"/>
    </w:r>
    <w:r>
      <w:instrText xml:space="preserve"> NUMPAGES </w:instrText>
    </w:r>
    <w:r>
      <w:fldChar w:fldCharType="separate"/>
    </w:r>
    <w:r>
      <w:t>29</w:t>
    </w:r>
    <w:r>
      <w:fldChar w:fldCharType="end"/>
    </w:r>
    <w:r>
      <w:tab/>
    </w:r>
    <w:r>
      <w:rPr>
        <w:rStyle w:val="HideTWBExt"/>
      </w:rPr>
      <w:t>&lt;PathFdR&gt;</w:t>
    </w:r>
    <w:r>
      <w:t>AD\1346087DA.docx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AD\1346087DA.docx</w:t>
    </w:r>
    <w:r>
      <w:rPr>
        <w:rStyle w:val="HideTWBExt"/>
      </w:rPr>
      <w:t>&lt;/PathFdR&gt;</w:t>
    </w:r>
    <w:r>
      <w:tab/>
    </w:r>
    <w:r>
      <w:fldChar w:fldCharType="begin"/>
    </w:r>
    <w:r>
      <w:instrText xml:space="preserve"> PAGE </w:instrText>
    </w:r>
    <w:r>
      <w:fldChar w:fldCharType="separate"/>
    </w:r>
    <w:r>
      <w:t>29</w:t>
    </w:r>
    <w:r>
      <w:fldChar w:fldCharType="end"/>
    </w:r>
    <w:r>
      <w:t>/</w:t>
    </w:r>
    <w:r>
      <w:fldChar w:fldCharType="begin"/>
    </w:r>
    <w:r>
      <w:instrText xml:space="preserve"> NUMPAGES </w:instrText>
    </w:r>
    <w:r>
      <w:fldChar w:fldCharType="separate"/>
    </w:r>
    <w:r>
      <w:t>29</w:t>
    </w:r>
    <w:r>
      <w:fldChar w:fldCharType="end"/>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AD\1346087DA.docx</w:t>
    </w:r>
    <w:r>
      <w:rPr>
        <w:rStyle w:val="HideTWBExt"/>
      </w:rPr>
      <w:t>&lt;/PathFdR&gt;</w:t>
    </w:r>
    <w:r>
      <w:tab/>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Interinstitutionel aftale af 20. maj 2021 mellem Europa-Parlamentet, Rådet for Den Europæiske Union og Europa-Kommissionen om et obligatorisk åbenhedsregister (EUT L 207 af 11.6.2021, s.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29</Pages>
  <Words>5676</Words>
  <Characters>38453</Characters>
  <Application>Microsoft Office Word</Application>
  <DocSecurity>0</DocSecurity>
  <Lines>1</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1346087</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563244</vt:lpwstr>
  </property>
  <property fmtid="{D5CDD505-2E9C-101B-9397-08002B2CF9AE}" pid="7" name="dmxml.render.traceId">
    <vt:lpwstr>6a4dfa614f307079aa5356ef928a5af5</vt:lpwstr>
  </property>
  <property fmtid="{D5CDD505-2E9C-101B-9397-08002B2CF9AE}" pid="8" name="FooterPath">
    <vt:lpwstr>AD\1346087DA.doc</vt:lpwstr>
  </property>
  <property fmtid="{D5CDD505-2E9C-101B-9397-08002B2CF9AE}" pid="9" name="PE Number">
    <vt:lpwstr>787.655</vt:lpwstr>
  </property>
  <property fmtid="{D5CDD505-2E9C-101B-9397-08002B2CF9AE}" pid="10" name="UID">
    <vt:lpwstr>eu.europa.europarl-DIN1-2026-0000179774_01.07-da-02.00_text-xml</vt:lpwstr>
  </property>
</Properties>
</file>