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Commissione per le libertà civili, la giustizia e gli affari interni</w:t>
      </w:r>
      <w:r>
        <w:rPr>
          <w:rStyle w:val="HideTWBExt"/>
        </w:rPr>
        <w:t>&lt;/Commission&gt;</w:t>
      </w:r>
    </w:p>
    <w:p>
      <w:pPr>
        <w:pStyle w:val="LineBottom"/>
      </w:pPr>
      <w:r>
        <w:t xml:space="preserve"> </w:t>
      </w:r>
    </w:p>
    <w:p>
      <w:pPr>
        <w:pStyle w:val="CoverReference"/>
      </w:pPr>
      <w:r>
        <w:rPr>
          <w:rStyle w:val="HideTWBExt"/>
        </w:rPr>
        <w:t>&lt;RefProc&gt;</w:t>
      </w:r>
      <w:r>
        <w:t>2025/2118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{24/06/2026}</w:t>
      </w:r>
      <w:r>
        <w:t>24.6.2026</w:t>
      </w:r>
      <w:r>
        <w:rPr>
          <w:rStyle w:val="HideTWBExt"/>
        </w:rPr>
        <w:t>&lt;/Date&gt;</w:t>
      </w:r>
    </w:p>
    <w:p>
      <w:pPr>
        <w:pStyle w:val="CoverDocType24a"/>
      </w:pPr>
      <w:r>
        <w:rPr>
          <w:rStyle w:val="HideTWBExt"/>
        </w:rPr>
        <w:t>&lt;TitreType&gt;</w:t>
      </w:r>
      <w:r>
        <w:t>PARERE</w:t>
      </w:r>
      <w:r>
        <w:rPr>
          <w:rStyle w:val="HideTWBExt"/>
        </w:rPr>
        <w:t>&lt;/TitreType&gt;</w:t>
      </w:r>
    </w:p>
    <w:p>
      <w:pPr>
        <w:pStyle w:val="CoverNormal24a"/>
      </w:pPr>
      <w:r>
        <w:rPr>
          <w:rStyle w:val="HideTWBExt"/>
        </w:rPr>
        <w:t>&lt;CommissionResp&gt;</w:t>
      </w:r>
      <w:r>
        <w:t>della commissione per le libertà civili, la giustizia e gli affari interni</w:t>
      </w:r>
      <w:r>
        <w:rPr>
          <w:rStyle w:val="HideTWBExt"/>
        </w:rPr>
        <w:t>&lt;/CommissionResp&gt;</w:t>
      </w:r>
    </w:p>
    <w:p>
      <w:pPr>
        <w:pStyle w:val="CoverNormal24a"/>
      </w:pPr>
      <w:r>
        <w:rPr>
          <w:rStyle w:val="HideTWBExt"/>
        </w:rPr>
        <w:t>&lt;CommissionInt&gt;</w:t>
      </w:r>
      <w:r>
        <w:t>destinato alla commissione per gli affari costituzionali</w:t>
      </w:r>
      <w:r>
        <w:rPr>
          <w:rStyle w:val="HideTWBExt"/>
        </w:rPr>
        <w:t>&lt;/CommissionInt&gt;</w:t>
      </w:r>
    </w:p>
    <w:p>
      <w:pPr>
        <w:pStyle w:val="CoverNormal"/>
      </w:pPr>
      <w:r>
        <w:rPr>
          <w:rStyle w:val="HideTWBExt"/>
        </w:rPr>
        <w:t>&lt;Titre&gt;</w:t>
      </w:r>
      <w:r>
        <w:t>sugli aspetti istituzionali dell'intelligenza artificiale nel quadro dell'integrazione europea</w:t>
      </w:r>
      <w:r>
        <w:rPr>
          <w:rStyle w:val="HideTWBExt"/>
        </w:rPr>
        <w:t>&lt;/Titre&gt;</w:t>
      </w:r>
    </w:p>
    <w:p>
      <w:pPr>
        <w:pStyle w:val="CoverNormal24a"/>
      </w:pPr>
      <w:r>
        <w:rPr>
          <w:rStyle w:val="HideTWBExt"/>
        </w:rPr>
        <w:t>&lt;DocRef&gt;</w:t>
      </w:r>
      <w:r>
        <w:t>(2025/2118(INI))</w:t>
      </w:r>
      <w:r>
        <w:rPr>
          <w:rStyle w:val="HideTWBExt"/>
        </w:rPr>
        <w:t>&lt;/DocRef&gt;</w:t>
      </w:r>
    </w:p>
    <w:p>
      <w:pPr>
        <w:pStyle w:val="CoverNormal24a"/>
      </w:pPr>
      <w:r>
        <w:t xml:space="preserve">Relatore per parere: </w:t>
      </w:r>
      <w:r>
        <w:rPr>
          <w:rStyle w:val="HideTWBExt"/>
        </w:rPr>
        <w:t>&lt;Depute&gt;</w:t>
      </w:r>
      <w:r>
        <w:t>Lukas Mandl</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EMENDAMENTI</w:t>
      </w:r>
    </w:p>
    <w:p>
      <w:pPr>
        <w:pStyle w:val="Normal12a"/>
      </w:pPr>
      <w:r>
        <w:t>La commissione per le libertà civili, la giustizia e gli affari interni</w:t>
      </w:r>
      <w:r>
        <w:t xml:space="preserve"> </w:t>
      </w:r>
      <w:r>
        <w:t>presenta alla commissione per gli affari costituzionali, competente per il merito, quanto segue</w:t>
      </w:r>
      <w:r>
        <w:t>:</w:t>
      </w:r>
    </w:p>
    <w:p>
      <w:pPr>
        <w:pStyle w:val="AmNumberTabs"/>
      </w:pPr>
      <w:r>
        <w:rPr>
          <w:rStyle w:val="HideTWBExt"/>
        </w:rPr>
        <w:t>&lt;RepeatBlock-Amend&gt;</w:t>
      </w:r>
      <w:r>
        <w:rPr>
          <w:rStyle w:val="HideTWBExt"/>
        </w:rPr>
        <w:t>&lt;Amend&gt;</w:t>
      </w:r>
      <w:r>
        <w:t>Emendamento</w:t>
      </w:r>
      <w:r>
        <w:tab/>
      </w:r>
      <w:r>
        <w:tab/>
      </w:r>
      <w:r>
        <w:rPr>
          <w:rStyle w:val="HideTWBExt"/>
        </w:rPr>
        <w:t>&lt;NumAm&gt;</w:t>
      </w:r>
      <w:r>
        <w:t>1</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Visto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visto il trattato sul funzionamento dell'Unione europea (TFUE), in particolare gli articoli 16, 114, 173, 179, 180 e 181,</w:t>
            </w:r>
          </w:p>
        </w:tc>
        <w:tc>
          <w:tcPr>
            <w:tcW w:w="4876" w:type="dxa"/>
            <w:tcBorders>
              <w:top w:val="nil"/>
              <w:left w:val="nil"/>
              <w:bottom w:val="nil"/>
              <w:right w:val="nil"/>
            </w:tcBorders>
          </w:tcPr>
          <w:p>
            <w:pPr>
              <w:pStyle w:val="Normal6a"/>
            </w:pPr>
            <w:r>
              <w:t>–</w:t>
            </w:r>
            <w:r>
              <w:tab/>
            </w:r>
            <w:r>
              <w:t xml:space="preserve">visto il trattato sul funzionamento dell'Unione europea (TFUE), in particolare gli articoli 16, </w:t>
            </w:r>
            <w:r>
              <w:rPr>
                <w:b/>
                <w:i/>
              </w:rPr>
              <w:t>26,</w:t>
            </w:r>
            <w:r>
              <w:t xml:space="preserve"> 114, 173, 179, 180 e 181,</w:t>
            </w:r>
          </w:p>
        </w:tc>
      </w:tr>
    </w:tbl>
    <w:p>
      <w:r>
        <w:rPr>
          <w:rStyle w:val="HideTWBExt"/>
        </w:rPr>
        <w:t>&lt;/Amend&gt;</w:t>
      </w:r>
    </w:p>
    <w:p>
      <w:pPr>
        <w:pStyle w:val="AmNumberTabs"/>
      </w:pPr>
      <w:r>
        <w:rPr>
          <w:rStyle w:val="HideTWBExt"/>
        </w:rPr>
        <w:t>&lt;Amend&gt;</w:t>
      </w:r>
      <w:r>
        <w:t>Emendamento</w:t>
      </w:r>
      <w:r>
        <w:tab/>
      </w:r>
      <w:r>
        <w:tab/>
      </w:r>
      <w:r>
        <w:rPr>
          <w:rStyle w:val="HideTWBExt"/>
        </w:rPr>
        <w:t>&lt;NumAm&gt;</w:t>
      </w:r>
      <w:r>
        <w:t>2</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Visto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vista la convenzione quadro del Consiglio d'Europa sull'intelligenza artificiale e i diritti umani, la democrazia e lo Stato di diritto, firmata il 5</w:t>
            </w:r>
            <w:r>
              <w:rPr>
                <w:b/>
                <w:i/>
              </w:rPr>
              <w:t xml:space="preserve"> </w:t>
            </w:r>
            <w:r>
              <w:t>settembre 2024,</w:t>
            </w:r>
          </w:p>
        </w:tc>
        <w:tc>
          <w:tcPr>
            <w:tcW w:w="4876" w:type="dxa"/>
            <w:tcBorders>
              <w:top w:val="nil"/>
              <w:left w:val="nil"/>
              <w:bottom w:val="nil"/>
              <w:right w:val="nil"/>
            </w:tcBorders>
          </w:tcPr>
          <w:p>
            <w:pPr>
              <w:pStyle w:val="Normal6a"/>
            </w:pPr>
            <w:r>
              <w:t>–</w:t>
            </w:r>
            <w:r>
              <w:tab/>
            </w:r>
            <w:r>
              <w:t>vista la convenzione quadro del Consiglio d'Europa sull'intelligenza artificiale e i diritti umani, la democrazia e lo Stato di diritto, firmata il 5</w:t>
            </w:r>
            <w:r>
              <w:rPr>
                <w:b/>
                <w:i/>
              </w:rPr>
              <w:t xml:space="preserve"> </w:t>
            </w:r>
            <w:r>
              <w:t xml:space="preserve">settembre 2024 </w:t>
            </w:r>
            <w:r>
              <w:rPr>
                <w:b/>
                <w:i/>
              </w:rPr>
              <w:t>(convenzione quadro del Consiglio d'Europa sull'IA)</w:t>
            </w:r>
            <w:r>
              <w:t>,</w:t>
            </w:r>
          </w:p>
        </w:tc>
      </w:tr>
    </w:tbl>
    <w:p>
      <w:r>
        <w:rPr>
          <w:rStyle w:val="HideTWBExt"/>
        </w:rPr>
        <w:t>&lt;/Amend&gt;</w:t>
      </w:r>
    </w:p>
    <w:p>
      <w:pPr>
        <w:pStyle w:val="AmNumberTabs"/>
      </w:pPr>
      <w:r>
        <w:rPr>
          <w:rStyle w:val="HideTWBExt"/>
        </w:rPr>
        <w:t>&lt;Amend&gt;</w:t>
      </w:r>
      <w:r>
        <w:t>Emendamento</w:t>
      </w:r>
      <w:r>
        <w:tab/>
      </w:r>
      <w:r>
        <w:tab/>
      </w:r>
      <w:r>
        <w:rPr>
          <w:rStyle w:val="HideTWBExt"/>
        </w:rPr>
        <w:t>&lt;NumAm&gt;</w:t>
      </w:r>
      <w:r>
        <w:t>3</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Visto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visto il 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w:t>
            </w:r>
            <w:r>
              <w:rPr>
                <w:vertAlign w:val="superscript"/>
              </w:rPr>
              <w:t>1</w:t>
            </w:r>
            <w:r>
              <w:t>,</w:t>
            </w:r>
          </w:p>
        </w:tc>
        <w:tc>
          <w:tcPr>
            <w:tcW w:w="4876" w:type="dxa"/>
            <w:tcBorders>
              <w:top w:val="nil"/>
              <w:left w:val="nil"/>
              <w:bottom w:val="nil"/>
              <w:right w:val="nil"/>
            </w:tcBorders>
          </w:tcPr>
          <w:p>
            <w:pPr>
              <w:pStyle w:val="Normal6a"/>
            </w:pPr>
            <w:r>
              <w:rPr>
                <w:i/>
              </w:rPr>
              <w:t>(Non concerne la versione italiana)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GU L, 2024/1689, 12.7.2024, ELI: http://data.europa.eu/eli/reg/2024/1689/oj.</w:t>
            </w:r>
          </w:p>
        </w:tc>
        <w:tc>
          <w:tcPr>
            <w:tcW w:w="4876" w:type="dxa"/>
            <w:tcBorders>
              <w:top w:val="nil"/>
              <w:left w:val="nil"/>
              <w:bottom w:val="nil"/>
              <w:right w:val="nil"/>
            </w:tcBorders>
          </w:tcPr>
          <w:p/>
        </w:tc>
      </w:tr>
    </w:tbl>
    <w:p>
      <w:r>
        <w:rPr>
          <w:rStyle w:val="HideTWBExt"/>
        </w:rPr>
        <w:t>&lt;/Amend&gt;</w:t>
      </w:r>
    </w:p>
    <w:p>
      <w:pPr>
        <w:pStyle w:val="AmNumberTabs"/>
      </w:pPr>
      <w:r>
        <w:rPr>
          <w:rStyle w:val="HideTWBExt"/>
        </w:rPr>
        <w:t>&lt;Amend&gt;</w:t>
      </w:r>
      <w:r>
        <w:t>Emendamento</w:t>
      </w:r>
      <w:r>
        <w:tab/>
      </w:r>
      <w:r>
        <w:tab/>
      </w:r>
      <w:r>
        <w:rPr>
          <w:rStyle w:val="HideTWBExt"/>
        </w:rPr>
        <w:t>&lt;NumAm&gt;</w:t>
      </w:r>
      <w:r>
        <w:t>4</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Visto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vista la proposta di regolamento del Parlamento europeo e del Consiglio che modifica i regolamenti (UE) 2024/1689 e (UE) 2018/1139 per quanto riguarda la semplificazione dell'attuazione di regole armonizzate sull'intelligenza artificiale (Omnibus digitale sull'IA), presentata dalla Commissione il 19 novembre 2025</w:t>
            </w:r>
            <w:r>
              <w:t xml:space="preserve"> </w:t>
            </w:r>
            <w:r>
              <w:rPr>
                <w:b/>
                <w:i/>
              </w:rPr>
              <w:t>(COM(2025)0836)</w:t>
            </w:r>
            <w:r>
              <w:rPr>
                <w:b/>
                <w:i/>
              </w:rPr>
              <w:t>,</w:t>
            </w:r>
          </w:p>
        </w:tc>
      </w:tr>
    </w:tbl>
    <w:p>
      <w:r>
        <w:rPr>
          <w:rStyle w:val="HideTWBExt"/>
        </w:rPr>
        <w:t>&lt;/Amend&gt;</w:t>
      </w:r>
    </w:p>
    <w:p>
      <w:pPr>
        <w:pStyle w:val="AmNumberTabs"/>
      </w:pPr>
      <w:r>
        <w:rPr>
          <w:rStyle w:val="HideTWBExt"/>
        </w:rPr>
        <w:t>&lt;Amend&gt;</w:t>
      </w:r>
      <w:r>
        <w:t>Emendamento</w:t>
      </w:r>
      <w:r>
        <w:tab/>
      </w:r>
      <w:r>
        <w:tab/>
      </w:r>
      <w:r>
        <w:rPr>
          <w:rStyle w:val="HideTWBExt"/>
        </w:rPr>
        <w:t>&lt;NumAm&gt;</w:t>
      </w:r>
      <w:r>
        <w:t>5</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Visto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vista la proposta di regolamento del Parlamento europeo e del Consiglio che modifica i regolamenti (UE) 2016/679, (UE) 2018/1724, (UE) 2018/1725 e (UE) 2023/2854 e le direttive 2002/58/CE, (UE) 2022/2555 e (UE) 2022/2557 per quanto riguarda la semplificazione del quadro legislativo nel settore digitale e che abroga i regolamenti (UE) 2018/1807, (UE) 2019/1150 e (UE) 2022/868 e la direttiva (UE) 2019/1024 (omnibus digitale), presentata dalla Commissione il 19 novembre 2025</w:t>
            </w:r>
            <w:r>
              <w:rPr>
                <w:b/>
                <w:i/>
              </w:rPr>
              <w:t xml:space="preserve"> (COM(2025)0837)</w:t>
            </w:r>
            <w:r>
              <w:rPr>
                <w:b/>
                <w:i/>
              </w:rPr>
              <w:t>,</w:t>
            </w:r>
          </w:p>
        </w:tc>
      </w:tr>
    </w:tbl>
    <w:p>
      <w:r>
        <w:rPr>
          <w:rStyle w:val="HideTWBExt"/>
        </w:rPr>
        <w:t>&lt;/Amend&gt;</w:t>
      </w:r>
    </w:p>
    <w:p>
      <w:pPr>
        <w:pStyle w:val="AmNumberTabs"/>
      </w:pPr>
      <w:r>
        <w:rPr>
          <w:rStyle w:val="HideTWBExt"/>
        </w:rPr>
        <w:t>&lt;Amend&gt;</w:t>
      </w:r>
      <w:r>
        <w:t>Emendamento</w:t>
      </w:r>
      <w:r>
        <w:tab/>
      </w:r>
      <w:r>
        <w:tab/>
      </w:r>
      <w:r>
        <w:rPr>
          <w:rStyle w:val="HideTWBExt"/>
        </w:rPr>
        <w:t>&lt;NumAm&gt;</w:t>
      </w:r>
      <w:r>
        <w:t>6</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che l'articolo 2 TUE </w:t>
            </w:r>
            <w:r>
              <w:rPr>
                <w:b/>
                <w:i/>
              </w:rPr>
              <w:t>affronta l'identità costituzionale dell'UE</w:t>
            </w:r>
            <w:r>
              <w:t xml:space="preserve"> e </w:t>
            </w:r>
            <w:r>
              <w:rPr>
                <w:b/>
                <w:i/>
              </w:rPr>
              <w:t>legittima il controllo del Parlamento sull'intelligenza</w:t>
            </w:r>
            <w:r>
              <w:t xml:space="preserve"> artificiale (IA) </w:t>
            </w:r>
            <w:r>
              <w:rPr>
                <w:b/>
                <w:i/>
              </w:rPr>
              <w:t>laddove la sua diffusione possa incidere sui</w:t>
            </w:r>
            <w:r>
              <w:t xml:space="preserve"> valori fondamentali;</w:t>
            </w:r>
          </w:p>
        </w:tc>
        <w:tc>
          <w:tcPr>
            <w:tcW w:w="4876" w:type="dxa"/>
            <w:tcBorders>
              <w:top w:val="nil"/>
              <w:left w:val="nil"/>
              <w:bottom w:val="nil"/>
              <w:right w:val="nil"/>
            </w:tcBorders>
          </w:tcPr>
          <w:p>
            <w:pPr>
              <w:pStyle w:val="Normal6a"/>
            </w:pPr>
            <w:r>
              <w:t>A.</w:t>
            </w:r>
            <w:r>
              <w:tab/>
            </w:r>
            <w:r>
              <w:t xml:space="preserve">considerando che l'articolo 2 TUE </w:t>
            </w:r>
            <w:r>
              <w:rPr>
                <w:b/>
                <w:i/>
              </w:rPr>
              <w:t>sancisce i valori comuni fondanti su cui si basa l'Unione</w:t>
            </w:r>
            <w:r>
              <w:t xml:space="preserve"> e </w:t>
            </w:r>
            <w:r>
              <w:rPr>
                <w:b/>
                <w:i/>
              </w:rPr>
              <w:t>fornisce un importante quadro costituzionale per il controllo dell'intelligenza</w:t>
            </w:r>
            <w:r>
              <w:t xml:space="preserve"> artificiale (IA) </w:t>
            </w:r>
            <w:r>
              <w:rPr>
                <w:b/>
                <w:i/>
              </w:rPr>
              <w:t>da parte del Parlamento sulla base di tali</w:t>
            </w:r>
            <w:r>
              <w:t xml:space="preserve"> valori fondamentali;</w:t>
            </w:r>
          </w:p>
        </w:tc>
      </w:tr>
    </w:tbl>
    <w:p>
      <w:r>
        <w:rPr>
          <w:rStyle w:val="HideTWBExt"/>
        </w:rPr>
        <w:t>&lt;/Amend&gt;</w:t>
      </w:r>
    </w:p>
    <w:p>
      <w:pPr>
        <w:pStyle w:val="AmNumberTabs"/>
      </w:pPr>
      <w:r>
        <w:rPr>
          <w:rStyle w:val="HideTWBExt"/>
        </w:rPr>
        <w:t>&lt;Amend&gt;</w:t>
      </w:r>
      <w:r>
        <w:t>Emendamento</w:t>
      </w:r>
      <w:r>
        <w:tab/>
      </w:r>
      <w:r>
        <w:tab/>
      </w:r>
      <w:r>
        <w:rPr>
          <w:rStyle w:val="HideTWBExt"/>
        </w:rPr>
        <w:t>&lt;NumAm&gt;</w:t>
      </w:r>
      <w:r>
        <w:t>7</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A bis.</w:t>
            </w:r>
            <w:r>
              <w:tab/>
            </w:r>
            <w:r>
              <w:rPr>
                <w:b/>
                <w:i/>
              </w:rPr>
              <w:t>considerando che i trattati e la Carta dei diritti fondamentali dell'Unione europea costituiscono il fondamento della tutela dei diritti fondamentali nell'UE; che tali principi forniscono un importante quadro di riferimento per l'elaborazione delle politiche dell'UE, anche nel settore dell'IA;</w:t>
            </w:r>
          </w:p>
        </w:tc>
      </w:tr>
    </w:tbl>
    <w:p>
      <w:r>
        <w:rPr>
          <w:rStyle w:val="HideTWBExt"/>
        </w:rPr>
        <w:t>&lt;/Amend&gt;</w:t>
      </w:r>
    </w:p>
    <w:p>
      <w:pPr>
        <w:pStyle w:val="AmNumberTabs"/>
      </w:pPr>
      <w:r>
        <w:rPr>
          <w:rStyle w:val="HideTWBExt"/>
        </w:rPr>
        <w:t>&lt;Amend&gt;</w:t>
      </w:r>
      <w:r>
        <w:t>Emendamento</w:t>
      </w:r>
      <w:r>
        <w:tab/>
      </w:r>
      <w:r>
        <w:tab/>
      </w:r>
      <w:r>
        <w:rPr>
          <w:rStyle w:val="HideTWBExt"/>
        </w:rPr>
        <w:t>&lt;NumAm&gt;</w:t>
      </w:r>
      <w:r>
        <w:t>8</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conformemente agli articoli 10, 11 e 14 TUE, il Parlamento ha la responsabilità specifica di garantire la responsabilità democratica, la trasparenza e un controllo efficace degli sviluppi tecnologici che incidono sul funzionamento delle istituzioni dell'UE; che lo sviluppo e la diffusione sicuri, etici e legittimi dell'IA richiedono solidi quadri di governance fondati sui trattati dell'UE;</w:t>
            </w:r>
          </w:p>
        </w:tc>
        <w:tc>
          <w:tcPr>
            <w:tcW w:w="4876" w:type="dxa"/>
            <w:tcBorders>
              <w:top w:val="nil"/>
              <w:left w:val="nil"/>
              <w:bottom w:val="nil"/>
              <w:right w:val="nil"/>
            </w:tcBorders>
          </w:tcPr>
          <w:p>
            <w:pPr>
              <w:pStyle w:val="Normal6a"/>
            </w:pPr>
            <w:r>
              <w:t>B.</w:t>
            </w:r>
            <w:r>
              <w:tab/>
            </w:r>
            <w:r>
              <w:t xml:space="preserve">considerando che, conformemente agli articoli 10, 11 e 14 TUE, il Parlamento ha la responsabilità specifica di garantire la responsabilità democratica, la trasparenza e un controllo efficace degli sviluppi tecnologici che incidono sul funzionamento delle istituzioni dell'UE; che lo sviluppo e la diffusione sicuri, etici e legittimi dell'IA richiedono solidi quadri di governance fondati </w:t>
            </w:r>
            <w:r>
              <w:rPr>
                <w:b/>
                <w:i/>
              </w:rPr>
              <w:t>sulla legislazione dell'UE,</w:t>
            </w:r>
            <w:r>
              <w:t xml:space="preserve"> sui trattati dell'UE </w:t>
            </w:r>
            <w:r>
              <w:rPr>
                <w:b/>
                <w:i/>
              </w:rPr>
              <w:t>e sulle convenzioni internazionali</w:t>
            </w:r>
            <w:r>
              <w:t>;</w:t>
            </w:r>
          </w:p>
        </w:tc>
      </w:tr>
    </w:tbl>
    <w:p>
      <w:r>
        <w:rPr>
          <w:rStyle w:val="HideTWBExt"/>
        </w:rPr>
        <w:t>&lt;/Amend&gt;</w:t>
      </w:r>
    </w:p>
    <w:p>
      <w:pPr>
        <w:pStyle w:val="AmNumberTabs"/>
      </w:pPr>
      <w:r>
        <w:rPr>
          <w:rStyle w:val="HideTWBExt"/>
        </w:rPr>
        <w:t>&lt;Amend&gt;</w:t>
      </w:r>
      <w:r>
        <w:t>Emendamento</w:t>
      </w:r>
      <w:r>
        <w:tab/>
      </w:r>
      <w:r>
        <w:tab/>
      </w:r>
      <w:r>
        <w:rPr>
          <w:rStyle w:val="HideTWBExt"/>
        </w:rPr>
        <w:t>&lt;NumAm&gt;</w:t>
      </w:r>
      <w:r>
        <w:t>9</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B bis.</w:t>
            </w:r>
            <w:r>
              <w:tab/>
            </w:r>
            <w:r>
              <w:rPr>
                <w:b/>
                <w:i/>
              </w:rPr>
              <w:t>considerando che l'approccio istituzionale dell'UE all'IA deve garantire che i quadri normativi rimangano proporzionati e non creino oneri amministrativi superflui; che le strutture di governance dell'IA dell'Unione dovrebbero promuovere attivamente ambienti favorevoli all'innovazione che aiutino gli innovatori europei a competere a livello globale, nel rispetto dei diritti fondamentali; che tale approccio all'IA è fondamentale non solo per la competitività dell'UE, ma anche per la sua sicurezza, sovranità tecnologica e autonomia strategica;</w:t>
            </w:r>
          </w:p>
        </w:tc>
      </w:tr>
    </w:tbl>
    <w:p>
      <w:r>
        <w:rPr>
          <w:rStyle w:val="HideTWBExt"/>
        </w:rPr>
        <w:t>&lt;/Amend&gt;</w:t>
      </w:r>
    </w:p>
    <w:p>
      <w:pPr>
        <w:pStyle w:val="AmNumberTabs"/>
      </w:pPr>
      <w:r>
        <w:rPr>
          <w:rStyle w:val="HideTWBExt"/>
        </w:rPr>
        <w:t>&lt;Amend&gt;</w:t>
      </w:r>
      <w:r>
        <w:t>Emendamento</w:t>
      </w:r>
      <w:r>
        <w:tab/>
      </w:r>
      <w:r>
        <w:tab/>
      </w:r>
      <w:r>
        <w:rPr>
          <w:rStyle w:val="HideTWBExt"/>
        </w:rPr>
        <w:t>&lt;NumAm&gt;</w:t>
      </w:r>
      <w:r>
        <w:t>10</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che il regolamento sull'intelligenza artificiale introduce il primo quadro normativo globale al mondo per l'IA; che l'IA sta avanzando a un ritmo senza precedenti, ridefinendo l'attività economica, la pubblica amministrazione e le interazioni sociali;</w:t>
            </w:r>
          </w:p>
        </w:tc>
        <w:tc>
          <w:tcPr>
            <w:tcW w:w="4876" w:type="dxa"/>
            <w:tcBorders>
              <w:top w:val="nil"/>
              <w:left w:val="nil"/>
              <w:bottom w:val="nil"/>
              <w:right w:val="nil"/>
            </w:tcBorders>
          </w:tcPr>
          <w:p>
            <w:pPr>
              <w:pStyle w:val="Normal6a"/>
            </w:pPr>
            <w:r>
              <w:t>C.</w:t>
            </w:r>
            <w:r>
              <w:tab/>
            </w:r>
            <w:r>
              <w:t>considerando che il regolamento sull'intelligenza artificiale introduce il primo quadro normativo globale al mondo per l'IA;</w:t>
            </w:r>
            <w:r>
              <w:rPr>
                <w:b/>
                <w:i/>
              </w:rPr>
              <w:t xml:space="preserve"> che si tratta di un solido insieme di norme che disciplinano la fornitura e la diffusione dell'IA nel mercato interno, sostengono l'innovazione e promuovono l'adozione di un'IA antropocentrica e affidabile, stabilendo uno standard elevato a livello mondiale;</w:t>
            </w:r>
            <w:r>
              <w:t xml:space="preserve"> che l'IA sta avanzando a un ritmo senza precedenti, ridefinendo l'attività economica, la pubblica amministrazione e le interazioni sociali;</w:t>
            </w:r>
          </w:p>
        </w:tc>
      </w:tr>
    </w:tbl>
    <w:p>
      <w:r>
        <w:rPr>
          <w:rStyle w:val="HideTWBExt"/>
        </w:rPr>
        <w:t>&lt;/Amend&gt;</w:t>
      </w:r>
    </w:p>
    <w:p>
      <w:pPr>
        <w:pStyle w:val="AmNumberTabs"/>
      </w:pPr>
      <w:r>
        <w:rPr>
          <w:rStyle w:val="HideTWBExt"/>
        </w:rPr>
        <w:t>&lt;Amend&gt;</w:t>
      </w:r>
      <w:r>
        <w:t>Emendamento</w:t>
      </w:r>
      <w:r>
        <w:tab/>
      </w:r>
      <w:r>
        <w:tab/>
      </w:r>
      <w:r>
        <w:rPr>
          <w:rStyle w:val="HideTWBExt"/>
        </w:rPr>
        <w:t>&lt;NumAm&gt;</w:t>
      </w:r>
      <w:r>
        <w:t>11</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C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C bis.</w:t>
            </w:r>
            <w:r>
              <w:tab/>
            </w:r>
            <w:r>
              <w:rPr>
                <w:b/>
                <w:i/>
              </w:rPr>
              <w:t>considerando che l'omnibus digitale sull'IA introduce misure di semplificazione mirate per garantire l'attuazione tempestiva, agevole e proporzionata di talune disposizioni del regolamento sull'IA; che la proposta distinta di omnibus digitale esamina inoltre la necessità di chiarire in che modo i dati personali possano essere utilizzati per l'addestramento e lo sviluppo dell'IA; che entrambe le proposte riflettono la necessità di adeguare il quadro giuridico dell'UE in vista del rapido avanzamento dell'IA nell'UE e a livello mondiale;</w:t>
            </w:r>
          </w:p>
        </w:tc>
      </w:tr>
    </w:tbl>
    <w:p>
      <w:r>
        <w:rPr>
          <w:rStyle w:val="HideTWBExt"/>
        </w:rPr>
        <w:t>&lt;/Amend&gt;</w:t>
      </w:r>
    </w:p>
    <w:p>
      <w:pPr>
        <w:pStyle w:val="AmNumberTabs"/>
      </w:pPr>
      <w:r>
        <w:rPr>
          <w:rStyle w:val="HideTWBExt"/>
        </w:rPr>
        <w:t>&lt;Amend&gt;</w:t>
      </w:r>
      <w:r>
        <w:t>Emendamento</w:t>
      </w:r>
      <w:r>
        <w:tab/>
      </w:r>
      <w:r>
        <w:tab/>
      </w:r>
      <w:r>
        <w:rPr>
          <w:rStyle w:val="HideTWBExt"/>
        </w:rPr>
        <w:t>&lt;NumAm&gt;</w:t>
      </w:r>
      <w:r>
        <w:t>12</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C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C ter.</w:t>
            </w:r>
            <w:r>
              <w:tab/>
            </w:r>
            <w:r>
              <w:rPr>
                <w:b/>
                <w:i/>
              </w:rPr>
              <w:t xml:space="preserve">considerando che la convenzione quadro del Consiglio d'Europa sull'IA contiene disposizioni volte a garantire che i sistemi di IA rispettino norme etiche rigorose durante tutto il loro ciclo di vita, a promuovere la trasparenza, la verificabilità e un controllo efficace, nonché a rafforzare le garanzie a tutela dei diritti fondamentali, della democrazia e dello Stato di diritto; che la convenzione quadro, aperta all'adesione di paesi non europei, promuove una base di riferimento globale a favore di una governance dell'IA incentrata sulla tutela dei diritti; che, a livello dell'UE, i principi e gli obblighi stabiliti nella convenzione quadro sono già attuati da un corpus legislativo coerente che stabilisce un livello di protezione più elevato e dettagliato, compreso, in particolare, il regolamento sull'IA; </w:t>
            </w:r>
          </w:p>
        </w:tc>
      </w:tr>
    </w:tbl>
    <w:p>
      <w:r>
        <w:rPr>
          <w:rStyle w:val="HideTWBExt"/>
        </w:rPr>
        <w:t>&lt;/Amend&gt;</w:t>
      </w:r>
    </w:p>
    <w:p>
      <w:pPr>
        <w:pStyle w:val="AmNumberTabs"/>
      </w:pPr>
      <w:r>
        <w:rPr>
          <w:rStyle w:val="HideTWBExt"/>
        </w:rPr>
        <w:t>&lt;Amend&gt;</w:t>
      </w:r>
      <w:r>
        <w:t>Emendamento</w:t>
      </w:r>
      <w:r>
        <w:tab/>
      </w:r>
      <w:r>
        <w:tab/>
      </w:r>
      <w:r>
        <w:rPr>
          <w:rStyle w:val="HideTWBExt"/>
        </w:rPr>
        <w:t>&lt;NumAm&gt;</w:t>
      </w:r>
      <w:r>
        <w:t>13</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C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C quater.</w:t>
            </w:r>
            <w:r>
              <w:tab/>
            </w:r>
            <w:r>
              <w:rPr>
                <w:b/>
                <w:i/>
              </w:rPr>
              <w:t>considerando che promuovere un'IA affidabile e antropocentrica è fondamentale per rafforzare la competitività, la capacità di innovazione, la sovranità tecnologica e l'autonomia strategica dell'UE in un contesto globale sempre più competitivo;</w:t>
            </w:r>
          </w:p>
        </w:tc>
      </w:tr>
    </w:tbl>
    <w:p>
      <w:r>
        <w:rPr>
          <w:rStyle w:val="HideTWBExt"/>
        </w:rPr>
        <w:t>&lt;/Amend&gt;</w:t>
      </w:r>
    </w:p>
    <w:p>
      <w:pPr>
        <w:pStyle w:val="AmNumberTabs"/>
      </w:pPr>
      <w:r>
        <w:rPr>
          <w:rStyle w:val="HideTWBExt"/>
        </w:rPr>
        <w:t>&lt;Amend&gt;</w:t>
      </w:r>
      <w:r>
        <w:t>Emendamento</w:t>
      </w:r>
      <w:r>
        <w:tab/>
      </w:r>
      <w:r>
        <w:tab/>
      </w:r>
      <w:r>
        <w:rPr>
          <w:rStyle w:val="HideTWBExt"/>
        </w:rPr>
        <w:t>&lt;NumAm&gt;</w:t>
      </w:r>
      <w:r>
        <w:t>14</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che il Parlamento, in quanto istituzione democratica rappresentativa dell'UE, riveste un ruolo legittimo nel contribuire a tali discussioni globali, in linea con gli articoli 10, 11 e 13 TUE, e ha la responsabilità di salvaguardare la responsabilità democratica e la coerenza istituzionale nell'impegno esterno dell'UE;</w:t>
            </w:r>
          </w:p>
        </w:tc>
        <w:tc>
          <w:tcPr>
            <w:tcW w:w="4876" w:type="dxa"/>
            <w:tcBorders>
              <w:top w:val="nil"/>
              <w:left w:val="nil"/>
              <w:bottom w:val="nil"/>
              <w:right w:val="nil"/>
            </w:tcBorders>
          </w:tcPr>
          <w:p>
            <w:pPr>
              <w:pStyle w:val="Normal6a"/>
            </w:pPr>
            <w:r>
              <w:t>E.</w:t>
            </w:r>
            <w:r>
              <w:tab/>
            </w:r>
            <w:r>
              <w:t xml:space="preserve">considerando che il Parlamento, in quanto istituzione democratica rappresentativa </w:t>
            </w:r>
            <w:r>
              <w:rPr>
                <w:b/>
                <w:i/>
              </w:rPr>
              <w:t>direttamente eletta</w:t>
            </w:r>
            <w:r>
              <w:t xml:space="preserve"> dell'UE, riveste un ruolo legittimo nel contribuire a tali discussioni globali, in linea con gli articoli 10, 11 e 13 TUE, e ha la responsabilità di salvaguardare la responsabilità democratica e la coerenza istituzionale nell'impegno esterno dell'UE</w:t>
            </w:r>
            <w:r>
              <w:rPr>
                <w:b/>
                <w:i/>
              </w:rPr>
              <w:t>, salvaguardando nel contempo la capacità delle imprese tecnologiche europee di sviluppare e diffondere l'IA, promuovendo l'innovazione, la competitività e la leadership tecnologica dell'Europa, nonché tutelando i diritti fondamentali e l'ordinamento giuridico</w:t>
            </w:r>
            <w:r>
              <w:t>;</w:t>
            </w:r>
          </w:p>
        </w:tc>
      </w:tr>
    </w:tbl>
    <w:p>
      <w:r>
        <w:rPr>
          <w:rStyle w:val="HideTWBExt"/>
        </w:rPr>
        <w:t>&lt;/Amend&gt;</w:t>
      </w:r>
    </w:p>
    <w:p>
      <w:pPr>
        <w:pStyle w:val="AmNumberTabs"/>
      </w:pPr>
      <w:r>
        <w:rPr>
          <w:rStyle w:val="HideTWBExt"/>
        </w:rPr>
        <w:t>&lt;Amend&gt;</w:t>
      </w:r>
      <w:r>
        <w:t>Emendamento</w:t>
      </w:r>
      <w:r>
        <w:tab/>
      </w:r>
      <w:r>
        <w:tab/>
      </w:r>
      <w:r>
        <w:rPr>
          <w:rStyle w:val="HideTWBExt"/>
        </w:rPr>
        <w:t>&lt;NumAm&gt;</w:t>
      </w:r>
      <w:r>
        <w:t>15</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che sarà della massima importanza monitorare gli sviluppi globali dell'IA a livello dell'UE, in stretta cooperazione con l'ufficio per l'IA della Commissione, il comitato europeo per l'intelligenza artificiale (comitato per l'IA) e le autorità nazionali competenti, monitorare gli sviluppi negli Stati membri, mantenere scambi regolari con i parlamenti nazionali e individuare potenziali sovrapposizioni e lacune intersettoriali nel quadro giuridico dell'UE per l'IA; che </w:t>
            </w:r>
            <w:r>
              <w:rPr>
                <w:b/>
                <w:i/>
              </w:rPr>
              <w:t>il proposto osservatorio sull'IA</w:t>
            </w:r>
            <w:r>
              <w:t xml:space="preserve"> del </w:t>
            </w:r>
            <w:r>
              <w:rPr>
                <w:b/>
                <w:i/>
              </w:rPr>
              <w:t>Parlamento europeo dovrebbe</w:t>
            </w:r>
            <w:r>
              <w:t xml:space="preserve"> svolgere un ruolo centrale a tale </w:t>
            </w:r>
            <w:r>
              <w:rPr>
                <w:b/>
                <w:i/>
              </w:rPr>
              <w:t>riguardo</w:t>
            </w:r>
            <w:r>
              <w:t>;</w:t>
            </w:r>
          </w:p>
        </w:tc>
        <w:tc>
          <w:tcPr>
            <w:tcW w:w="4876" w:type="dxa"/>
            <w:tcBorders>
              <w:top w:val="nil"/>
              <w:left w:val="nil"/>
              <w:bottom w:val="nil"/>
              <w:right w:val="nil"/>
            </w:tcBorders>
          </w:tcPr>
          <w:p>
            <w:pPr>
              <w:pStyle w:val="Normal6a"/>
            </w:pPr>
            <w:r>
              <w:t>H.</w:t>
            </w:r>
            <w:r>
              <w:tab/>
            </w:r>
            <w:r>
              <w:t xml:space="preserve">considerando che sarà della massima importanza monitorare gli sviluppi globali dell'IA a livello dell'UE </w:t>
            </w:r>
            <w:r>
              <w:rPr>
                <w:b/>
                <w:i/>
              </w:rPr>
              <w:t>e degli Stati membri</w:t>
            </w:r>
            <w:r>
              <w:t xml:space="preserve">, in stretta cooperazione con l'ufficio per l'IA della Commissione, il comitato europeo per l'intelligenza artificiale (comitato per l'IA) e le autorità nazionali competenti, monitorare gli sviluppi negli Stati membri, mantenere scambi regolari con </w:t>
            </w:r>
            <w:r>
              <w:rPr>
                <w:b/>
                <w:i/>
              </w:rPr>
              <w:t>il Parlamento europeo e</w:t>
            </w:r>
            <w:r>
              <w:t xml:space="preserve"> i parlamenti nazionali e individuare potenziali sovrapposizioni e lacune intersettoriali nel quadro giuridico dell'UE per l'IA </w:t>
            </w:r>
            <w:r>
              <w:rPr>
                <w:b/>
                <w:i/>
              </w:rPr>
              <w:t>al fine di migliorare la coerenza, la certezza del diritto e l'attuazione favorevole all'innovazione in tutta l'Unione</w:t>
            </w:r>
            <w:r>
              <w:t xml:space="preserve">; che </w:t>
            </w:r>
            <w:r>
              <w:rPr>
                <w:b/>
                <w:i/>
              </w:rPr>
              <w:t>gli sforzi del Parlamento volti a rafforzare la sua capacità analitica e di governance interna in relazione all'IA, anche formando un'unità amministrativa dedicata, potrebbero basarsi sul lavoro</w:t>
            </w:r>
            <w:r>
              <w:t xml:space="preserve"> del </w:t>
            </w:r>
            <w:r>
              <w:rPr>
                <w:b/>
                <w:i/>
              </w:rPr>
              <w:t>gruppo di lavoro sul regolamento sull'IA e</w:t>
            </w:r>
            <w:r>
              <w:t xml:space="preserve"> svolgere </w:t>
            </w:r>
            <w:r>
              <w:rPr>
                <w:b/>
                <w:i/>
              </w:rPr>
              <w:t>ulteriormente</w:t>
            </w:r>
            <w:r>
              <w:t xml:space="preserve"> un ruolo centrale </w:t>
            </w:r>
            <w:r>
              <w:rPr>
                <w:b/>
                <w:i/>
              </w:rPr>
              <w:t>nella governance istituzionale dell'IA del Parlamento per quanto riguarda la responsabilità e la spiegabilità delle implicazioni dei sistemi di IA impiegati all'interno dell'istituzione;</w:t>
            </w:r>
            <w:r>
              <w:rPr>
                <w:b/>
                <w:i/>
              </w:rPr>
              <w:t xml:space="preserve"> </w:t>
            </w:r>
            <w:r>
              <w:rPr>
                <w:b/>
                <w:i/>
              </w:rPr>
              <w:t>che ciò potrebbe anche contribuire</w:t>
            </w:r>
            <w:r>
              <w:t xml:space="preserve"> a </w:t>
            </w:r>
            <w:r>
              <w:rPr>
                <w:b/>
                <w:i/>
              </w:rPr>
              <w:t>conseguire un livello adeguato di alfabetizzazione in materia di IA del personale del Parlamento;</w:t>
            </w:r>
            <w:r>
              <w:rPr>
                <w:b/>
                <w:i/>
              </w:rPr>
              <w:t xml:space="preserve"> </w:t>
            </w:r>
            <w:r>
              <w:rPr>
                <w:b/>
                <w:i/>
              </w:rPr>
              <w:t>che</w:t>
            </w:r>
            <w:r>
              <w:t xml:space="preserve"> tale </w:t>
            </w:r>
            <w:r>
              <w:rPr>
                <w:b/>
                <w:i/>
              </w:rPr>
              <w:t>unità amministrativa dovrebbe inoltre basarsi sull'esperienza del comitato per il futuro della scienza e della tecnologia (STOA), che è stato istituito come organismo permanente nel 1988 e che annovera l'IA tra le sue principali priorità tematiche, nonché del Servizio Ricerca del Parlamento europeo (EPRS)</w:t>
            </w:r>
            <w:r>
              <w:t>;</w:t>
            </w:r>
          </w:p>
        </w:tc>
      </w:tr>
    </w:tbl>
    <w:p>
      <w:r>
        <w:rPr>
          <w:rStyle w:val="HideTWBExt"/>
        </w:rPr>
        <w:t>&lt;/Amend&gt;</w:t>
      </w:r>
    </w:p>
    <w:p>
      <w:pPr>
        <w:pStyle w:val="AmNumberTabs"/>
      </w:pPr>
      <w:r>
        <w:rPr>
          <w:rStyle w:val="HideTWBExt"/>
        </w:rPr>
        <w:t>&lt;Amend&gt;</w:t>
      </w:r>
      <w:r>
        <w:t>Emendamento</w:t>
      </w:r>
      <w:r>
        <w:tab/>
      </w:r>
      <w:r>
        <w:tab/>
      </w:r>
      <w:r>
        <w:rPr>
          <w:rStyle w:val="HideTWBExt"/>
        </w:rPr>
        <w:t>&lt;NumAm&gt;</w:t>
      </w:r>
      <w:r>
        <w:t>16</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H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H bis.</w:t>
            </w:r>
            <w:r>
              <w:tab/>
            </w:r>
            <w:r>
              <w:rPr>
                <w:b/>
                <w:i/>
              </w:rPr>
              <w:t>considerando che la commissione per il mercato interno e la protezione dei consumatori (IMCO) del Parlamento europeo, unitamente alla commissione per le libertà civili, la giustizia e gli affari interni (LIBE), ha istituito un gruppo di lavoro congiunto IMCO-LIBE sull'attuazione e l'applicazione del regolamento sull'IA (gruppo di lavoro sul regolamento sull'IA), che funge da piattaforma per lo scambio di informazioni con la Commissione, in particolare con l'ufficio per l'IA, e con altri soggetti interessati riguardo allo stato di attuazione del regolamento sull'IA e per il monitoraggio degli sviluppi dell'IA in senso più ampio;</w:t>
            </w:r>
          </w:p>
        </w:tc>
      </w:tr>
    </w:tbl>
    <w:p>
      <w:r>
        <w:rPr>
          <w:rStyle w:val="HideTWBExt"/>
        </w:rPr>
        <w:t>&lt;/Amend&gt;</w:t>
      </w:r>
    </w:p>
    <w:p>
      <w:pPr>
        <w:pStyle w:val="AmNumberTabs"/>
      </w:pPr>
      <w:r>
        <w:rPr>
          <w:rStyle w:val="HideTWBExt"/>
        </w:rPr>
        <w:t>&lt;Amend&gt;</w:t>
      </w:r>
      <w:r>
        <w:t>Emendamento</w:t>
      </w:r>
      <w:r>
        <w:tab/>
      </w:r>
      <w:r>
        <w:tab/>
      </w:r>
      <w:r>
        <w:rPr>
          <w:rStyle w:val="HideTWBExt"/>
        </w:rPr>
        <w:t>&lt;NumAm&gt;</w:t>
      </w:r>
      <w:r>
        <w:t>17</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considerando che il proposto osservatorio sull'IA del Parlamento europeo si qualificherebbe come organismo dell'UE che può essere invitato alle riunioni del comitato per l'IA, conformemente all'articolo 65, paragrafo 2, del regolamento sull'intelligenza artificiale;</w:t>
            </w:r>
          </w:p>
        </w:tc>
        <w:tc>
          <w:tcPr>
            <w:tcW w:w="4876" w:type="dxa"/>
            <w:tcBorders>
              <w:top w:val="nil"/>
              <w:left w:val="nil"/>
              <w:bottom w:val="nil"/>
              <w:right w:val="nil"/>
            </w:tcBorders>
          </w:tcPr>
          <w:p>
            <w:pPr>
              <w:pStyle w:val="Normal6a"/>
            </w:pPr>
            <w:r>
              <w:rPr>
                <w:b/>
                <w:i/>
              </w:rPr>
              <w:t>soppresso</w:t>
            </w:r>
          </w:p>
        </w:tc>
      </w:tr>
    </w:tbl>
    <w:p>
      <w:r>
        <w:rPr>
          <w:rStyle w:val="HideTWBExt"/>
        </w:rPr>
        <w:t>&lt;/Amend&gt;</w:t>
      </w:r>
    </w:p>
    <w:p>
      <w:pPr>
        <w:pStyle w:val="AmNumberTabs"/>
      </w:pPr>
      <w:r>
        <w:rPr>
          <w:rStyle w:val="HideTWBExt"/>
        </w:rPr>
        <w:t>&lt;Amend&gt;</w:t>
      </w:r>
      <w:r>
        <w:t>Emendamento</w:t>
      </w:r>
      <w:r>
        <w:tab/>
      </w:r>
      <w:r>
        <w:tab/>
      </w:r>
      <w:r>
        <w:rPr>
          <w:rStyle w:val="HideTWBExt"/>
        </w:rPr>
        <w:t>&lt;NumAm&gt;</w:t>
      </w:r>
      <w:r>
        <w:t>18</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considerando che l'IA può sostenere il controllo parlamentare dell'attuazione e dell'applicazione del diritto dell'UE riducendo le asimmetrie informative e attenuando le ricorrenti difficoltà del Parlamento nell'accesso ai dati pertinenti, nonché contribuendo al miglioramento dei processi legislativi dell'UE;</w:t>
            </w:r>
          </w:p>
        </w:tc>
        <w:tc>
          <w:tcPr>
            <w:tcW w:w="4876" w:type="dxa"/>
            <w:tcBorders>
              <w:top w:val="nil"/>
              <w:left w:val="nil"/>
              <w:bottom w:val="nil"/>
              <w:right w:val="nil"/>
            </w:tcBorders>
          </w:tcPr>
          <w:p>
            <w:pPr>
              <w:pStyle w:val="Normal6a"/>
            </w:pPr>
            <w:r>
              <w:t>J.</w:t>
            </w:r>
            <w:r>
              <w:tab/>
            </w:r>
            <w:r>
              <w:t>considerando che l'IA</w:t>
            </w:r>
            <w:r>
              <w:rPr>
                <w:b/>
                <w:i/>
              </w:rPr>
              <w:t>, sotto un'efficace supervisione umana,</w:t>
            </w:r>
            <w:r>
              <w:t xml:space="preserve"> può sostenere il controllo parlamentare dell'attuazione e dell'applicazione del diritto dell'UE riducendo le asimmetrie informative e attenuando le ricorrenti difficoltà del Parlamento nell'accesso ai dati pertinenti, nonché contribuendo al miglioramento dei processi legislativi dell'UE</w:t>
            </w:r>
            <w:r>
              <w:rPr>
                <w:b/>
                <w:i/>
              </w:rPr>
              <w:t>, anche razionalizzandoli e rendendoli più efficienti e reattivi</w:t>
            </w:r>
            <w:r>
              <w:t>;</w:t>
            </w:r>
          </w:p>
        </w:tc>
      </w:tr>
    </w:tbl>
    <w:p>
      <w:r>
        <w:rPr>
          <w:rStyle w:val="HideTWBExt"/>
        </w:rPr>
        <w:t>&lt;/Amend&gt;</w:t>
      </w:r>
    </w:p>
    <w:p>
      <w:pPr>
        <w:pStyle w:val="AmNumberTabs"/>
      </w:pPr>
      <w:r>
        <w:rPr>
          <w:rStyle w:val="HideTWBExt"/>
        </w:rPr>
        <w:t>&lt;Amend&gt;</w:t>
      </w:r>
      <w:r>
        <w:t>Emendamento</w:t>
      </w:r>
      <w:r>
        <w:tab/>
      </w:r>
      <w:r>
        <w:tab/>
      </w:r>
      <w:r>
        <w:rPr>
          <w:rStyle w:val="HideTWBExt"/>
        </w:rPr>
        <w:t>&lt;NumAm&gt;</w:t>
      </w:r>
      <w:r>
        <w:t>19</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J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J bis.</w:t>
            </w:r>
            <w:r>
              <w:tab/>
            </w:r>
            <w:r>
              <w:rPr>
                <w:b/>
                <w:i/>
              </w:rPr>
              <w:t>considerando che l'uso responsabile dei sistemi di IA può migliorare la qualità, l'accessibilità e l'efficienza dei processi legislativi e amministrativi, sostenendo l'elaborazione di politiche basate su dati concreti, agevolando l'analisi di quadri normativi complessi e migliorando l'accesso alle informazioni pertinenti per il controllo democratico;</w:t>
            </w:r>
          </w:p>
        </w:tc>
      </w:tr>
    </w:tbl>
    <w:p>
      <w:r>
        <w:rPr>
          <w:rStyle w:val="HideTWBExt"/>
        </w:rPr>
        <w:t>&lt;/Amend&gt;</w:t>
      </w:r>
    </w:p>
    <w:p>
      <w:pPr>
        <w:pStyle w:val="AmNumberTabs"/>
      </w:pPr>
      <w:r>
        <w:rPr>
          <w:rStyle w:val="HideTWBExt"/>
        </w:rPr>
        <w:t>&lt;Amend&gt;</w:t>
      </w:r>
      <w:r>
        <w:t>Emendamento</w:t>
      </w:r>
      <w:r>
        <w:tab/>
      </w:r>
      <w:r>
        <w:tab/>
      </w:r>
      <w:r>
        <w:rPr>
          <w:rStyle w:val="HideTWBExt"/>
        </w:rPr>
        <w:t>&lt;NumAm&gt;</w:t>
      </w:r>
      <w:r>
        <w:t>20</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considerando che la rapida evoluzione delle tecnologie di IA richiede una capacità analitica continua al fine di valutarne le implicazioni istituzionali, democratiche e giuridiche per il funzionamento dell'UE; che il Parlamento dovrebbe pertanto rafforzare le sue competenze interne e le sue capacità di monitoraggio in questo settore;</w:t>
            </w:r>
          </w:p>
        </w:tc>
        <w:tc>
          <w:tcPr>
            <w:tcW w:w="4876" w:type="dxa"/>
            <w:tcBorders>
              <w:top w:val="nil"/>
              <w:left w:val="nil"/>
              <w:bottom w:val="nil"/>
              <w:right w:val="nil"/>
            </w:tcBorders>
          </w:tcPr>
          <w:p>
            <w:pPr>
              <w:pStyle w:val="Normal6a"/>
            </w:pPr>
            <w:r>
              <w:t>K.</w:t>
            </w:r>
            <w:r>
              <w:tab/>
            </w:r>
            <w:r>
              <w:t>considerando che la rapida evoluzione delle tecnologie di IA richiede una capacità analitica continua al fine di valutarne le implicazioni istituzionali, democratiche e giuridiche per il funzionamento dell'UE; che il Parlamento dovrebbe pertanto rafforzare le sue competenze interne e le sue capacità di monitoraggio in questo settore</w:t>
            </w:r>
            <w:r>
              <w:rPr>
                <w:b/>
                <w:i/>
              </w:rPr>
              <w:t>, anche attraverso una formazione approfondita sull'alfabetizzazione in materia di IA, e sostenere l'uso informato, efficiente e responsabile delle tecnologie di IA</w:t>
            </w:r>
            <w:r>
              <w:t>;</w:t>
            </w:r>
          </w:p>
        </w:tc>
      </w:tr>
    </w:tbl>
    <w:p>
      <w:r>
        <w:rPr>
          <w:rStyle w:val="HideTWBExt"/>
        </w:rPr>
        <w:t>&lt;/Amend&gt;</w:t>
      </w:r>
    </w:p>
    <w:p>
      <w:pPr>
        <w:pStyle w:val="AmNumberTabs"/>
      </w:pPr>
      <w:r>
        <w:rPr>
          <w:rStyle w:val="HideTWBExt"/>
        </w:rPr>
        <w:t>&lt;Amend&gt;</w:t>
      </w:r>
      <w:r>
        <w:t>Emendamento</w:t>
      </w:r>
      <w:r>
        <w:tab/>
      </w:r>
      <w:r>
        <w:tab/>
      </w:r>
      <w:r>
        <w:rPr>
          <w:rStyle w:val="HideTWBExt"/>
        </w:rPr>
        <w:t>&lt;NumAm&gt;</w:t>
      </w:r>
      <w:r>
        <w:t>21</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K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K bis.</w:t>
            </w:r>
            <w:r>
              <w:tab/>
            </w:r>
            <w:r>
              <w:rPr>
                <w:b/>
                <w:i/>
              </w:rPr>
              <w:t>considerando che le divergenze nelle interpretazioni e nell'attuazione a livello nazionale della legislazione dell'UE in materia di IA rischiano di creare frammentazione normativa, incertezza giuridica e ostacoli alla diffusione transfrontaliera dell'IA nel mercato interno, in particolare per le PMI e le start-up che operano in diversi Stati membri; che l'IA, sotto un'adeguata supervisione umana, può rafforzare la capacità del Parlamento di esercitare un controllo efficace e basato su dati concreti dell'attuazione e dell'applicazione del diritto dell'UE riducendo le asimmetrie informative, migliorando l'analisi delle informazioni pertinenti e contribuendo ad affrontare le difficoltà ricorrenti nell'accesso ai dati necessari per il controllo democratico;</w:t>
            </w:r>
          </w:p>
        </w:tc>
      </w:tr>
    </w:tbl>
    <w:p>
      <w:r>
        <w:rPr>
          <w:rStyle w:val="HideTWBExt"/>
        </w:rPr>
        <w:t>&lt;/Amend&gt;</w:t>
      </w:r>
    </w:p>
    <w:p>
      <w:pPr>
        <w:pStyle w:val="AmNumberTabs"/>
      </w:pPr>
      <w:r>
        <w:rPr>
          <w:rStyle w:val="HideTWBExt"/>
        </w:rPr>
        <w:t>&lt;Amend&gt;</w:t>
      </w:r>
      <w:r>
        <w:t>Emendamento</w:t>
      </w:r>
      <w:r>
        <w:tab/>
      </w:r>
      <w:r>
        <w:tab/>
      </w:r>
      <w:r>
        <w:rPr>
          <w:rStyle w:val="HideTWBExt"/>
        </w:rPr>
        <w:t>&lt;NumAm&gt;</w:t>
      </w:r>
      <w:r>
        <w:t>22</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considerando che la rapida diffusione delle tecnologie di IA sta trasformando profondamente le campagne elettorali e la comunicazione politica; che tali tecnologie possono interferire con l'integrità dei processi elettorali e minare la fiducia nelle istituzioni democratiche, anche nel contesto delle elezioni europee;</w:t>
            </w:r>
          </w:p>
        </w:tc>
        <w:tc>
          <w:tcPr>
            <w:tcW w:w="4876" w:type="dxa"/>
            <w:tcBorders>
              <w:top w:val="nil"/>
              <w:left w:val="nil"/>
              <w:bottom w:val="nil"/>
              <w:right w:val="nil"/>
            </w:tcBorders>
          </w:tcPr>
          <w:p>
            <w:pPr>
              <w:pStyle w:val="Normal6a"/>
            </w:pPr>
            <w:r>
              <w:t>L.</w:t>
            </w:r>
            <w:r>
              <w:tab/>
            </w:r>
            <w:r>
              <w:t>considerando che la rapida diffusione delle tecnologie di IA sta trasformando profondamente le campagne elettorali e la comunicazione politica</w:t>
            </w:r>
            <w:r>
              <w:rPr>
                <w:b/>
                <w:i/>
              </w:rPr>
              <w:t>, spesso a costi molto bassi</w:t>
            </w:r>
            <w:r>
              <w:t>; che tali tecnologie possono interferire con l'integrità dei processi elettorali e minare la fiducia nelle istituzioni democratiche</w:t>
            </w:r>
            <w:r>
              <w:rPr>
                <w:b/>
                <w:i/>
              </w:rPr>
              <w:t>, in particolare se sfruttate da attori ostili</w:t>
            </w:r>
            <w:r>
              <w:t>, anche nel contesto delle elezioni europee;</w:t>
            </w:r>
          </w:p>
        </w:tc>
      </w:tr>
    </w:tbl>
    <w:p>
      <w:r>
        <w:rPr>
          <w:rStyle w:val="HideTWBExt"/>
        </w:rPr>
        <w:t>&lt;/Amend&gt;</w:t>
      </w:r>
    </w:p>
    <w:p>
      <w:pPr>
        <w:pStyle w:val="AmNumberTabs"/>
      </w:pPr>
      <w:r>
        <w:rPr>
          <w:rStyle w:val="HideTWBExt"/>
        </w:rPr>
        <w:t>&lt;Amend&gt;</w:t>
      </w:r>
      <w:r>
        <w:t>Emendamento</w:t>
      </w:r>
      <w:r>
        <w:tab/>
      </w:r>
      <w:r>
        <w:tab/>
      </w:r>
      <w:r>
        <w:rPr>
          <w:rStyle w:val="HideTWBExt"/>
        </w:rPr>
        <w:t>&lt;NumAm&gt;</w:t>
      </w:r>
      <w:r>
        <w:t>23</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Considerando M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M bis.</w:t>
            </w:r>
            <w:r>
              <w:tab/>
            </w:r>
            <w:r>
              <w:rPr>
                <w:b/>
                <w:i/>
              </w:rPr>
              <w:t>considerando che l'articolo 77 del regolamento sull'IA attribuisce alle autorità o agli organismi pubblici nazionali un ruolo fondamentale nella supervisione e nell'applicazione degli obblighi previsti dal diritto dell'UE a tutela dei diritti fondamentali, compreso il diritto alla non discriminazione;</w:t>
            </w:r>
          </w:p>
        </w:tc>
      </w:tr>
    </w:tbl>
    <w:p>
      <w:r>
        <w:rPr>
          <w:rStyle w:val="HideTWBExt"/>
        </w:rPr>
        <w:t>&lt;/Amend&gt;</w:t>
      </w:r>
    </w:p>
    <w:p>
      <w:pPr>
        <w:pStyle w:val="AmNumberTabs"/>
      </w:pPr>
      <w:r>
        <w:rPr>
          <w:rStyle w:val="HideTWBExt"/>
        </w:rPr>
        <w:t>&lt;Amend&gt;</w:t>
      </w:r>
      <w:r>
        <w:t>Emendamento</w:t>
      </w:r>
      <w:r>
        <w:tab/>
      </w:r>
      <w:r>
        <w:tab/>
      </w:r>
      <w:r>
        <w:rPr>
          <w:rStyle w:val="HideTWBExt"/>
        </w:rPr>
        <w:t>&lt;NumAm&gt;</w:t>
      </w:r>
      <w:r>
        <w:t>24</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 bis.</w:t>
            </w:r>
            <w:r>
              <w:tab/>
            </w:r>
            <w:r>
              <w:rPr>
                <w:b/>
                <w:i/>
              </w:rPr>
              <w:t>sottolinea che la rapida diffusione di sistemi di IA avanzati non deve creare zone grigie giuridiche né indebolire l'applicazione delle leggi esistenti; ribadisce che l'innovazione tecnologica non può mai avvenire a scapito dello Stato di diritto, della sicurezza pubblica o della responsabilità democratica; chiede che le strutture di governance dell'IA dell'UE integrino meccanismi che consentano una consultazione strutturata con gli innovatori europei e sottolinea che la promozione dell'innovazione in materia di IA è fondamentale non solo per rafforzare la competitività dell'UE, ma anche per salvaguardarne la sicurezza, la sovranità tecnologica e l'autonomia strategica; invita la Commissione a garantire che il regolamento sull'IA sia attuato in modo sistematico e trasparente;</w:t>
            </w:r>
          </w:p>
        </w:tc>
      </w:tr>
    </w:tbl>
    <w:p>
      <w:r>
        <w:rPr>
          <w:rStyle w:val="HideTWBExt"/>
        </w:rPr>
        <w:t>&lt;/Amend&gt;</w:t>
      </w:r>
    </w:p>
    <w:p>
      <w:pPr>
        <w:pStyle w:val="AmNumberTabs"/>
      </w:pPr>
      <w:r>
        <w:rPr>
          <w:rStyle w:val="HideTWBExt"/>
        </w:rPr>
        <w:t>&lt;Amend&gt;</w:t>
      </w:r>
      <w:r>
        <w:t>Emendamento</w:t>
      </w:r>
      <w:r>
        <w:tab/>
      </w:r>
      <w:r>
        <w:tab/>
      </w:r>
      <w:r>
        <w:rPr>
          <w:rStyle w:val="HideTWBExt"/>
        </w:rPr>
        <w:t>&lt;NumAm&gt;</w:t>
      </w:r>
      <w:r>
        <w:t>25</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ribadisce che l'approccio dell'UE all'IA deve essere pienamente allineato ai valori di cui all'articolo 2 TUE, tra cui la democrazia, lo Stato di diritto e i diritti fondamentali, e che la diffusione dell'IA all'interno delle istituzioni </w:t>
            </w:r>
            <w:r>
              <w:rPr>
                <w:b/>
                <w:i/>
              </w:rPr>
              <w:t>deve</w:t>
            </w:r>
            <w:r>
              <w:t xml:space="preserve"> rimanere </w:t>
            </w:r>
            <w:r>
              <w:rPr>
                <w:b/>
                <w:i/>
              </w:rPr>
              <w:t>incentrata sull'uomo</w:t>
            </w:r>
            <w:r>
              <w:t>;</w:t>
            </w:r>
          </w:p>
        </w:tc>
        <w:tc>
          <w:tcPr>
            <w:tcW w:w="4876" w:type="dxa"/>
            <w:tcBorders>
              <w:top w:val="nil"/>
              <w:left w:val="nil"/>
              <w:bottom w:val="nil"/>
              <w:right w:val="nil"/>
            </w:tcBorders>
          </w:tcPr>
          <w:p>
            <w:pPr>
              <w:pStyle w:val="Normal6a"/>
            </w:pPr>
            <w:r>
              <w:t>2.</w:t>
            </w:r>
            <w:r>
              <w:tab/>
            </w:r>
            <w:r>
              <w:t xml:space="preserve">ribadisce che l'approccio dell'UE all'IA deve essere pienamente allineato ai valori di cui all'articolo 2 TUE, tra cui la democrazia, lo Stato di diritto e i diritti fondamentali, e che la diffusione </w:t>
            </w:r>
            <w:r>
              <w:rPr>
                <w:b/>
                <w:i/>
              </w:rPr>
              <w:t>e l'utilizzo</w:t>
            </w:r>
            <w:r>
              <w:t xml:space="preserve"> dell'IA all'interno delle istituzioni </w:t>
            </w:r>
            <w:r>
              <w:rPr>
                <w:b/>
                <w:i/>
              </w:rPr>
              <w:t>devono</w:t>
            </w:r>
            <w:r>
              <w:t xml:space="preserve"> rimanere </w:t>
            </w:r>
            <w:r>
              <w:rPr>
                <w:b/>
                <w:i/>
              </w:rPr>
              <w:t>sotto il pieno controllo umano, il che significa che una persona fisica deve supervisionare efficacemente qualsiasi strumento di IA durante il suo utilizzo, contribuendo in tal modo a rafforzare la fiducia dei cittadini nelle istituzioni democratiche e nella pubblica amministrazione</w:t>
            </w:r>
            <w:r>
              <w:t>;</w:t>
            </w:r>
          </w:p>
        </w:tc>
      </w:tr>
    </w:tbl>
    <w:p>
      <w:r>
        <w:rPr>
          <w:rStyle w:val="HideTWBExt"/>
        </w:rPr>
        <w:t>&lt;/Amend&gt;</w:t>
      </w:r>
    </w:p>
    <w:p>
      <w:pPr>
        <w:pStyle w:val="AmNumberTabs"/>
      </w:pPr>
      <w:r>
        <w:rPr>
          <w:rStyle w:val="HideTWBExt"/>
        </w:rPr>
        <w:t>&lt;Amend&gt;</w:t>
      </w:r>
      <w:r>
        <w:t>Emendamento</w:t>
      </w:r>
      <w:r>
        <w:tab/>
      </w:r>
      <w:r>
        <w:tab/>
      </w:r>
      <w:r>
        <w:rPr>
          <w:rStyle w:val="HideTWBExt"/>
        </w:rPr>
        <w:t>&lt;NumAm&gt;</w:t>
      </w:r>
      <w:r>
        <w:t>26</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chiede un dialogo interistituzionale strutturato e </w:t>
            </w:r>
            <w:r>
              <w:rPr>
                <w:b/>
                <w:i/>
              </w:rPr>
              <w:t>regolare</w:t>
            </w:r>
            <w:r>
              <w:t xml:space="preserve"> tra il Parlamento, la Commissione e il Consiglio sulle implicazioni istituzionali dell'IA;</w:t>
            </w:r>
          </w:p>
        </w:tc>
        <w:tc>
          <w:tcPr>
            <w:tcW w:w="4876" w:type="dxa"/>
            <w:tcBorders>
              <w:top w:val="nil"/>
              <w:left w:val="nil"/>
              <w:bottom w:val="nil"/>
              <w:right w:val="nil"/>
            </w:tcBorders>
          </w:tcPr>
          <w:p>
            <w:pPr>
              <w:pStyle w:val="Normal6a"/>
            </w:pPr>
            <w:r>
              <w:t>4.</w:t>
            </w:r>
            <w:r>
              <w:tab/>
            </w:r>
            <w:r>
              <w:t>chiede un dialogo interistituzionale strutturato</w:t>
            </w:r>
            <w:r>
              <w:rPr>
                <w:b/>
                <w:i/>
              </w:rPr>
              <w:t>, regolare</w:t>
            </w:r>
            <w:r>
              <w:t xml:space="preserve"> e </w:t>
            </w:r>
            <w:r>
              <w:rPr>
                <w:b/>
                <w:i/>
              </w:rPr>
              <w:t>trasparente</w:t>
            </w:r>
            <w:r>
              <w:t xml:space="preserve"> tra il Parlamento, la Commissione e il Consiglio sulle implicazioni istituzionali dell'IA</w:t>
            </w:r>
            <w:r>
              <w:rPr>
                <w:b/>
                <w:i/>
              </w:rPr>
              <w:t>, compresi scambi periodici sull'attuazione della legislazione dell'UE in materia di IA, sul coordinamento amministrativo e sull'impatto dei sistemi di IA sulla coerenza del mercato interno</w:t>
            </w:r>
            <w:r>
              <w:t>;</w:t>
            </w:r>
          </w:p>
        </w:tc>
      </w:tr>
    </w:tbl>
    <w:p>
      <w:r>
        <w:rPr>
          <w:rStyle w:val="HideTWBExt"/>
        </w:rPr>
        <w:t>&lt;/Amend&gt;</w:t>
      </w:r>
    </w:p>
    <w:p>
      <w:pPr>
        <w:pStyle w:val="AmNumberTabs"/>
      </w:pPr>
      <w:r>
        <w:rPr>
          <w:rStyle w:val="HideTWBExt"/>
        </w:rPr>
        <w:t>&lt;Amend&gt;</w:t>
      </w:r>
      <w:r>
        <w:t>Emendamento</w:t>
      </w:r>
      <w:r>
        <w:tab/>
      </w:r>
      <w:r>
        <w:tab/>
      </w:r>
      <w:r>
        <w:rPr>
          <w:rStyle w:val="HideTWBExt"/>
        </w:rPr>
        <w:t>&lt;NumAm&gt;</w:t>
      </w:r>
      <w:r>
        <w:t>27</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sottolinea l'importanza </w:t>
            </w:r>
            <w:r>
              <w:rPr>
                <w:b/>
                <w:i/>
              </w:rPr>
              <w:t>della</w:t>
            </w:r>
            <w:r>
              <w:t xml:space="preserve"> partecipazione </w:t>
            </w:r>
            <w:r>
              <w:rPr>
                <w:b/>
                <w:i/>
              </w:rPr>
              <w:t>parlamentare</w:t>
            </w:r>
            <w:r>
              <w:t xml:space="preserve"> alle discussioni globali sulla governance dell'IA </w:t>
            </w:r>
            <w:r>
              <w:rPr>
                <w:b/>
                <w:i/>
              </w:rPr>
              <w:t>e, pertanto,</w:t>
            </w:r>
            <w:r>
              <w:t xml:space="preserve"> sostiene </w:t>
            </w:r>
            <w:r>
              <w:rPr>
                <w:b/>
                <w:i/>
              </w:rPr>
              <w:t>fermamente</w:t>
            </w:r>
            <w:r>
              <w:t xml:space="preserve"> l'impegno del Parlamento nei forum multilaterali come il vertice annuale delle Nazioni Unite "AI for Good"; riconosce che, impegnandosi a livello globale con una chiara serie di valori e principi etici, il Parlamento sta rafforzando il suo ruolo democratico e la sua credibilità, nel pieno rispetto delle competenze della Commissione in materia e in conformità del principio di leale cooperazione, come stabilito dall'articolo 13, paragrafo 2, TUE;</w:t>
            </w:r>
          </w:p>
        </w:tc>
        <w:tc>
          <w:tcPr>
            <w:tcW w:w="4876" w:type="dxa"/>
            <w:tcBorders>
              <w:top w:val="nil"/>
              <w:left w:val="nil"/>
              <w:bottom w:val="nil"/>
              <w:right w:val="nil"/>
            </w:tcBorders>
          </w:tcPr>
          <w:p>
            <w:pPr>
              <w:pStyle w:val="Normal6a"/>
            </w:pPr>
            <w:r>
              <w:t>6.</w:t>
            </w:r>
            <w:r>
              <w:tab/>
            </w:r>
            <w:r>
              <w:t xml:space="preserve">sottolinea l'importanza </w:t>
            </w:r>
            <w:r>
              <w:rPr>
                <w:b/>
                <w:i/>
              </w:rPr>
              <w:t>di un'ampia</w:t>
            </w:r>
            <w:r>
              <w:t xml:space="preserve"> partecipazione </w:t>
            </w:r>
            <w:r>
              <w:rPr>
                <w:b/>
                <w:i/>
              </w:rPr>
              <w:t>dei rappresentanti europei</w:t>
            </w:r>
            <w:r>
              <w:t xml:space="preserve"> alle discussioni globali sulla governance dell'IA</w:t>
            </w:r>
            <w:r>
              <w:rPr>
                <w:b/>
                <w:i/>
              </w:rPr>
              <w:t>;</w:t>
            </w:r>
            <w:r>
              <w:rPr>
                <w:b/>
                <w:i/>
              </w:rPr>
              <w:t xml:space="preserve"> </w:t>
            </w:r>
            <w:r>
              <w:t xml:space="preserve">sostiene </w:t>
            </w:r>
            <w:r>
              <w:rPr>
                <w:b/>
                <w:i/>
              </w:rPr>
              <w:t>pertanto</w:t>
            </w:r>
            <w:r>
              <w:t xml:space="preserve"> l'impegno del Parlamento nei forum multilaterali come il vertice annuale delle Nazioni Unite "AI for Good"; riconosce che, impegnandosi a livello globale con una chiara serie di valori e principi etici, il Parlamento sta rafforzando il suo ruolo democratico e la sua credibilità, nel pieno rispetto delle competenze della Commissione in materia e in conformità del principio di leale cooperazione, come stabilito dall'articolo 13, paragrafo 2, TUE;</w:t>
            </w:r>
          </w:p>
        </w:tc>
      </w:tr>
    </w:tbl>
    <w:p>
      <w:r>
        <w:rPr>
          <w:rStyle w:val="HideTWBExt"/>
        </w:rPr>
        <w:t>&lt;/Amend&gt;</w:t>
      </w:r>
    </w:p>
    <w:p>
      <w:pPr>
        <w:pStyle w:val="AmNumberTabs"/>
      </w:pPr>
      <w:r>
        <w:rPr>
          <w:rStyle w:val="HideTWBExt"/>
        </w:rPr>
        <w:t>&lt;Amend&gt;</w:t>
      </w:r>
      <w:r>
        <w:t>Emendamento</w:t>
      </w:r>
      <w:r>
        <w:tab/>
      </w:r>
      <w:r>
        <w:tab/>
      </w:r>
      <w:r>
        <w:rPr>
          <w:rStyle w:val="HideTWBExt"/>
        </w:rPr>
        <w:t>&lt;NumAm&gt;</w:t>
      </w:r>
      <w:r>
        <w:t>28</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sottolinea che, in un'epoca di forte concorrenza geopolitica, la partecipazione del Parlamento ai forum internazionali è essenziale; sottolinea che le pratiche e le tecnologie di IA condivise esternamente devono </w:t>
            </w:r>
            <w:r>
              <w:rPr>
                <w:b/>
                <w:i/>
              </w:rPr>
              <w:t>rispettare gli impegni del Parlamento</w:t>
            </w:r>
            <w:r>
              <w:t xml:space="preserve"> in materia di trasparenza, sostenibilità, protezione dei dati e controllo democratico; sottolinea inoltre l'importanza di </w:t>
            </w:r>
            <w:r>
              <w:rPr>
                <w:b/>
                <w:i/>
              </w:rPr>
              <w:t>affrontare</w:t>
            </w:r>
            <w:r>
              <w:t xml:space="preserve"> i rischi sistemici associati all'IA, </w:t>
            </w:r>
            <w:r>
              <w:rPr>
                <w:b/>
                <w:i/>
              </w:rPr>
              <w:t>compresa la propagazione delle cosiddette allucinazioni</w:t>
            </w:r>
            <w:r>
              <w:t xml:space="preserve">, che </w:t>
            </w:r>
            <w:r>
              <w:rPr>
                <w:b/>
                <w:i/>
              </w:rPr>
              <w:t>possono compromettere</w:t>
            </w:r>
            <w:r>
              <w:t xml:space="preserve"> l'accuratezza e l'affidabilità </w:t>
            </w:r>
            <w:r>
              <w:rPr>
                <w:b/>
                <w:i/>
              </w:rPr>
              <w:t>delle informazioni</w:t>
            </w:r>
            <w:r>
              <w:t>, nonché il potenziale impatto socioeconomico dell'IA, in particolare in termini di trasferimento di posti di lavoro, anziché limitarsi a promuovere l'eccellenza tecnologica;</w:t>
            </w:r>
          </w:p>
        </w:tc>
        <w:tc>
          <w:tcPr>
            <w:tcW w:w="4876" w:type="dxa"/>
            <w:tcBorders>
              <w:top w:val="nil"/>
              <w:left w:val="nil"/>
              <w:bottom w:val="nil"/>
              <w:right w:val="nil"/>
            </w:tcBorders>
          </w:tcPr>
          <w:p>
            <w:pPr>
              <w:pStyle w:val="Normal6a"/>
            </w:pPr>
            <w:r>
              <w:t>7.</w:t>
            </w:r>
            <w:r>
              <w:tab/>
            </w:r>
            <w:r>
              <w:t xml:space="preserve">sottolinea che, in un'epoca di forte concorrenza geopolitica, la partecipazione del Parlamento ai forum internazionali è essenziale; sottolinea che le pratiche e le tecnologie di IA condivise esternamente devono </w:t>
            </w:r>
            <w:r>
              <w:rPr>
                <w:b/>
                <w:i/>
              </w:rPr>
              <w:t>sostenere l'innovazione e la competitività e rispettare norme rigorose</w:t>
            </w:r>
            <w:r>
              <w:t xml:space="preserve"> in materia di trasparenza, sostenibilità, </w:t>
            </w:r>
            <w:r>
              <w:rPr>
                <w:b/>
                <w:i/>
              </w:rPr>
              <w:t>tutela della vita privata e</w:t>
            </w:r>
            <w:r>
              <w:t xml:space="preserve"> protezione dei dati </w:t>
            </w:r>
            <w:r>
              <w:rPr>
                <w:b/>
                <w:i/>
              </w:rPr>
              <w:t>personali, cibersicurezza</w:t>
            </w:r>
            <w:r>
              <w:t xml:space="preserve"> e controllo democratico; sottolinea inoltre l'importanza di </w:t>
            </w:r>
            <w:r>
              <w:rPr>
                <w:b/>
                <w:i/>
              </w:rPr>
              <w:t>promuovere un'IA affidabile e antropocentrica, affrontando nel contempo</w:t>
            </w:r>
            <w:r>
              <w:t xml:space="preserve"> i rischi sistemici associati all'IA, </w:t>
            </w:r>
            <w:r>
              <w:rPr>
                <w:b/>
                <w:i/>
              </w:rPr>
              <w:t>compresi le cosiddette allucinazioni e i rischi di avvelenamento dell'IA o di alimentazione malevola dei modelli linguistici di grandi dimensioni</w:t>
            </w:r>
            <w:r>
              <w:t xml:space="preserve">, che </w:t>
            </w:r>
            <w:r>
              <w:rPr>
                <w:b/>
                <w:i/>
              </w:rPr>
              <w:t>compromettono</w:t>
            </w:r>
            <w:r>
              <w:t xml:space="preserve"> l'accuratezza e l'affidabilità </w:t>
            </w:r>
            <w:r>
              <w:rPr>
                <w:b/>
                <w:i/>
              </w:rPr>
              <w:t>degli output</w:t>
            </w:r>
            <w:r>
              <w:t>, nonché il potenziale impatto socioeconomico dell'IA, in particolare in termini di trasferimento di posti di lavoro, anziché limitarsi a promuovere l'eccellenza tecnologica;</w:t>
            </w:r>
          </w:p>
        </w:tc>
      </w:tr>
    </w:tbl>
    <w:p>
      <w:r>
        <w:rPr>
          <w:rStyle w:val="HideTWBExt"/>
        </w:rPr>
        <w:t>&lt;/Amend&gt;</w:t>
      </w:r>
    </w:p>
    <w:p>
      <w:pPr>
        <w:pStyle w:val="AmNumberTabs"/>
      </w:pPr>
      <w:r>
        <w:rPr>
          <w:rStyle w:val="HideTWBExt"/>
        </w:rPr>
        <w:t>&lt;Amend&gt;</w:t>
      </w:r>
      <w:r>
        <w:t>Emendamento</w:t>
      </w:r>
      <w:r>
        <w:tab/>
      </w:r>
      <w:r>
        <w:tab/>
      </w:r>
      <w:r>
        <w:rPr>
          <w:rStyle w:val="HideTWBExt"/>
        </w:rPr>
        <w:t>&lt;NumAm&gt;</w:t>
      </w:r>
      <w:r>
        <w:t>29</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7 bis.</w:t>
            </w:r>
            <w:r>
              <w:tab/>
            </w:r>
            <w:r>
              <w:rPr>
                <w:b/>
                <w:i/>
              </w:rPr>
              <w:t>prende atto con preoccupazione della crescente dipendenza da sistemi di IA di frontiera non europei, della mancanza di un accesso coordinato a tali sistemi per la valutazione della sicurezza e del conseguente divario di capacità nella ciberdifesa basata sull'IA, il che solleva preoccupazioni in merito alle dipendenze strategiche e all'accesso asimmetrico alle infrastrutture critiche di IA; avverte che, secondo i funzionari addetti alla sicurezza, i modelli avanzati di IA di frontiera possono adattare dinamicamente il loro comportamento, il che significa che possono essere utilizzati per la scoperta e lo sfruttamento automatizzati delle vulnerabilità, riducendo in modo significativo gli ostacoli agli attacchi informatici sofisticati, consentendo il rapido ampliamento delle operazioni malevole e modificando radicalmente la portata e la velocità dei rischi informatici; chiede un maggiore controllo e una solida preparazione, comprese prove di stress periodiche ed esercitazioni basate su scenari, per contrastare gli attacchi informatici basati sull'IA e affrontare le dipendenze strategiche da infrastrutture, servizi cloud e modelli di base non europei; sottolinea che l'UE deve perseguire un programma globale in materia di sovranità tecnologica nello sviluppo e nella diffusione di sistemi di IA avanzati;</w:t>
            </w:r>
          </w:p>
        </w:tc>
      </w:tr>
    </w:tbl>
    <w:p>
      <w:r>
        <w:rPr>
          <w:rStyle w:val="HideTWBExt"/>
        </w:rPr>
        <w:t>&lt;/Amend&gt;</w:t>
      </w:r>
    </w:p>
    <w:p>
      <w:pPr>
        <w:pStyle w:val="AmNumberTabs"/>
      </w:pPr>
      <w:r>
        <w:rPr>
          <w:rStyle w:val="HideTWBExt"/>
        </w:rPr>
        <w:t>&lt;Amend&gt;</w:t>
      </w:r>
      <w:r>
        <w:t>Emendamento</w:t>
      </w:r>
      <w:r>
        <w:tab/>
      </w:r>
      <w:r>
        <w:tab/>
      </w:r>
      <w:r>
        <w:rPr>
          <w:rStyle w:val="HideTWBExt"/>
        </w:rPr>
        <w:t>&lt;NumAm&gt;</w:t>
      </w:r>
      <w:r>
        <w:t>30</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sottolinea che l'IA</w:t>
            </w:r>
            <w:r>
              <w:rPr>
                <w:b/>
                <w:i/>
              </w:rPr>
              <w:t>, in virtù della sua portata, della sua velocità e del suo impatto transfrontaliero, costituisce una sfida sistemica globale e che, come per le precedenti tecnologie trasformative</w:t>
            </w:r>
            <w:r>
              <w:t xml:space="preserve">, </w:t>
            </w:r>
            <w:r>
              <w:rPr>
                <w:b/>
                <w:i/>
              </w:rPr>
              <w:t>compresa la tecnologia nucleare a metà del XX secolo, una governance responsabile richiede la negoziazione e l'istituzione tempestive di una convenzione o</w:t>
            </w:r>
            <w:r>
              <w:t xml:space="preserve"> </w:t>
            </w:r>
            <w:r>
              <w:rPr>
                <w:b/>
                <w:i/>
              </w:rPr>
              <w:t>di un trattato internazionale dedicati all'IA a livello globale</w:t>
            </w:r>
            <w:r>
              <w:t>;</w:t>
            </w:r>
          </w:p>
        </w:tc>
        <w:tc>
          <w:tcPr>
            <w:tcW w:w="4876" w:type="dxa"/>
            <w:tcBorders>
              <w:top w:val="nil"/>
              <w:left w:val="nil"/>
              <w:bottom w:val="nil"/>
              <w:right w:val="nil"/>
            </w:tcBorders>
          </w:tcPr>
          <w:p>
            <w:pPr>
              <w:pStyle w:val="Normal6a"/>
            </w:pPr>
            <w:r>
              <w:t>8.</w:t>
            </w:r>
            <w:r>
              <w:tab/>
            </w:r>
            <w:r>
              <w:t xml:space="preserve">sottolinea che l'IA </w:t>
            </w:r>
            <w:r>
              <w:rPr>
                <w:b/>
                <w:i/>
              </w:rPr>
              <w:t>crea il potenziale per stimolare in modo significativo la crescita economica, aumentare la produttività e trasformare varie industrie automatizzando i compiti e migliorando il processo decisionale;</w:t>
            </w:r>
            <w:r>
              <w:rPr>
                <w:b/>
                <w:i/>
              </w:rPr>
              <w:t xml:space="preserve"> </w:t>
            </w:r>
            <w:r>
              <w:rPr>
                <w:b/>
                <w:i/>
              </w:rPr>
              <w:t>evidenzia</w:t>
            </w:r>
            <w:r>
              <w:t xml:space="preserve">, </w:t>
            </w:r>
            <w:r>
              <w:rPr>
                <w:b/>
                <w:i/>
              </w:rPr>
              <w:t>tuttavia, che in virtù della sua portata, della velocità di diffusione e dell'impatto transfrontaliero, costituisce anche una tecnologia globale trasformativa con implicazioni</w:t>
            </w:r>
            <w:r>
              <w:t xml:space="preserve"> </w:t>
            </w:r>
            <w:r>
              <w:rPr>
                <w:b/>
                <w:i/>
              </w:rPr>
              <w:t>di ampia portata, che richiede una governance responsabile</w:t>
            </w:r>
            <w:r>
              <w:t>;</w:t>
            </w:r>
          </w:p>
        </w:tc>
      </w:tr>
    </w:tbl>
    <w:p>
      <w:r>
        <w:rPr>
          <w:rStyle w:val="HideTWBExt"/>
        </w:rPr>
        <w:t>&lt;/Amend&gt;</w:t>
      </w:r>
    </w:p>
    <w:p>
      <w:pPr>
        <w:pStyle w:val="AmNumberTabs"/>
      </w:pPr>
      <w:r>
        <w:rPr>
          <w:rStyle w:val="HideTWBExt"/>
        </w:rPr>
        <w:t>&lt;Amend&gt;</w:t>
      </w:r>
      <w:r>
        <w:t>Emendamento</w:t>
      </w:r>
      <w:r>
        <w:tab/>
      </w:r>
      <w:r>
        <w:tab/>
      </w:r>
      <w:r>
        <w:rPr>
          <w:rStyle w:val="HideTWBExt"/>
        </w:rPr>
        <w:t>&lt;NumAm&gt;</w:t>
      </w:r>
      <w:r>
        <w:t>31</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prende atto della convenzione quadro del Consiglio d'Europa</w:t>
            </w:r>
            <w:r>
              <w:t xml:space="preserve"> </w:t>
            </w:r>
            <w:r>
              <w:rPr>
                <w:b/>
                <w:i/>
              </w:rPr>
              <w:t>sull'intelligenza artificiale</w:t>
            </w:r>
            <w:r>
              <w:t xml:space="preserve">; ritiene che, data la natura sistemica globale delle tecnologie di IA, si dovrebbe compiere </w:t>
            </w:r>
            <w:r>
              <w:rPr>
                <w:b/>
                <w:i/>
              </w:rPr>
              <w:t>un'ulteriore</w:t>
            </w:r>
            <w:r>
              <w:t xml:space="preserve"> riflessione </w:t>
            </w:r>
            <w:r>
              <w:rPr>
                <w:b/>
                <w:i/>
              </w:rPr>
              <w:t>sull'istituzione di un quadro o</w:t>
            </w:r>
            <w:r>
              <w:t xml:space="preserve"> di una </w:t>
            </w:r>
            <w:r>
              <w:rPr>
                <w:b/>
                <w:i/>
              </w:rPr>
              <w:t>convenzione multilaterale globale volti a prevenire</w:t>
            </w:r>
            <w:r>
              <w:t xml:space="preserve"> i rischi sistemici e </w:t>
            </w:r>
            <w:r>
              <w:rPr>
                <w:b/>
                <w:i/>
              </w:rPr>
              <w:t>a garantire</w:t>
            </w:r>
            <w:r>
              <w:t xml:space="preserve"> la responsabilità democratica a livello globale;</w:t>
            </w:r>
          </w:p>
        </w:tc>
        <w:tc>
          <w:tcPr>
            <w:tcW w:w="4876" w:type="dxa"/>
            <w:tcBorders>
              <w:top w:val="nil"/>
              <w:left w:val="nil"/>
              <w:bottom w:val="nil"/>
              <w:right w:val="nil"/>
            </w:tcBorders>
          </w:tcPr>
          <w:p>
            <w:pPr>
              <w:pStyle w:val="Normal6a"/>
            </w:pPr>
            <w:r>
              <w:t>9.</w:t>
            </w:r>
            <w:r>
              <w:tab/>
            </w:r>
            <w:r>
              <w:rPr>
                <w:b/>
                <w:i/>
              </w:rPr>
              <w:t xml:space="preserve">ricorda la convenzione quadro del Consiglio d'Europa sull'IA, che stabilisce una base di riferimento globale per la governance dell'IA; </w:t>
            </w:r>
            <w:r>
              <w:rPr>
                <w:b/>
                <w:i/>
              </w:rPr>
              <w:t>sottolinea che il regolamento sull'IA e altre normative pertinenti dell'UE stabiliscono già un livello più elevato e dettagliato di protezione e armonizzazione nel mercato interno;</w:t>
            </w:r>
            <w:r>
              <w:rPr>
                <w:b/>
                <w:i/>
              </w:rPr>
              <w:t xml:space="preserve"> </w:t>
            </w:r>
            <w:r>
              <w:rPr>
                <w:b/>
                <w:i/>
              </w:rPr>
              <w:t>invita i paesi di tutto il mondo ad aderire alla convenzione quadro e a promuovere lo sviluppo globale di un'IA antropocentrica e affidabile</w:t>
            </w:r>
            <w:r>
              <w:t xml:space="preserve">; ritiene che, data la natura sistemica globale delle tecnologie di IA, si dovrebbe compiere </w:t>
            </w:r>
            <w:r>
              <w:rPr>
                <w:b/>
                <w:i/>
              </w:rPr>
              <w:t>una</w:t>
            </w:r>
            <w:r>
              <w:t xml:space="preserve"> riflessione </w:t>
            </w:r>
            <w:r>
              <w:rPr>
                <w:b/>
                <w:i/>
              </w:rPr>
              <w:t>periodica sulla promozione della cooperazione internazionale e</w:t>
            </w:r>
            <w:r>
              <w:t xml:space="preserve"> di una </w:t>
            </w:r>
            <w:r>
              <w:rPr>
                <w:b/>
                <w:i/>
              </w:rPr>
              <w:t>governance efficace e favorevole all'innovazione, garantendo nel contempo il rispetto dei quadri giuridici esistenti, prevenendo</w:t>
            </w:r>
            <w:r>
              <w:t xml:space="preserve"> i rischi sistemici e </w:t>
            </w:r>
            <w:r>
              <w:rPr>
                <w:b/>
                <w:i/>
              </w:rPr>
              <w:t>rafforzando</w:t>
            </w:r>
            <w:r>
              <w:t xml:space="preserve"> la responsabilità democratica a livello globale;</w:t>
            </w:r>
            <w:r>
              <w:rPr>
                <w:b/>
                <w:i/>
              </w:rPr>
              <w:t xml:space="preserve"> ritiene che la partecipazione dell'UE alle convenzioni internazionali dovrebbe servire a promuovere la sua visione dell'IA, il suo approccio normativo e la sua competitività a livello globale;</w:t>
            </w:r>
          </w:p>
        </w:tc>
      </w:tr>
    </w:tbl>
    <w:p>
      <w:r>
        <w:rPr>
          <w:rStyle w:val="HideTWBExt"/>
        </w:rPr>
        <w:t>&lt;/Amend&gt;</w:t>
      </w:r>
    </w:p>
    <w:p>
      <w:pPr>
        <w:pStyle w:val="AmNumberTabs"/>
      </w:pPr>
      <w:r>
        <w:rPr>
          <w:rStyle w:val="HideTWBExt"/>
        </w:rPr>
        <w:t>&lt;Amend&gt;</w:t>
      </w:r>
      <w:r>
        <w:t>Emendamento</w:t>
      </w:r>
      <w:r>
        <w:tab/>
      </w:r>
      <w:r>
        <w:tab/>
      </w:r>
      <w:r>
        <w:rPr>
          <w:rStyle w:val="HideTWBExt"/>
        </w:rPr>
        <w:t>&lt;NumAm&gt;</w:t>
      </w:r>
      <w:r>
        <w:t>32</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ricorda che, conformemente agli articoli 10, 13 e 14 TUE, il Parlamento esercita un controllo democratico sul funzionamento dell'UE e delle sue istituzioni; sottolinea che la crescente diffusione dei sistemi di IA all'interno delle pubbliche amministrazioni e delle istituzioni dell'UE richiede il rafforzamento della capacità analitica del Parlamento, al fine di garantire la trasparenza, la responsabilità democratica e un controllo efficace e coerente con i trattati;</w:t>
            </w:r>
          </w:p>
        </w:tc>
        <w:tc>
          <w:tcPr>
            <w:tcW w:w="4876" w:type="dxa"/>
            <w:tcBorders>
              <w:top w:val="nil"/>
              <w:left w:val="nil"/>
              <w:bottom w:val="nil"/>
              <w:right w:val="nil"/>
            </w:tcBorders>
          </w:tcPr>
          <w:p>
            <w:pPr>
              <w:pStyle w:val="Normal6a"/>
            </w:pPr>
            <w:r>
              <w:t>10.</w:t>
            </w:r>
            <w:r>
              <w:tab/>
            </w:r>
            <w:r>
              <w:t xml:space="preserve">ricorda che, conformemente agli articoli 10, 13 e 14 TUE, il Parlamento esercita un controllo democratico sul funzionamento dell'UE e delle sue istituzioni; sottolinea che la crescente diffusione dei sistemi di IA all'interno delle pubbliche amministrazioni e delle istituzioni dell'UE richiede il rafforzamento della capacità analitica </w:t>
            </w:r>
            <w:r>
              <w:rPr>
                <w:b/>
                <w:i/>
              </w:rPr>
              <w:t>e dell'alfabetizzazione in materia di IA</w:t>
            </w:r>
            <w:r>
              <w:t xml:space="preserve"> del Parlamento, al fine di garantire la trasparenza, la responsabilità democratica e un controllo efficace e coerente con i trattati;</w:t>
            </w:r>
          </w:p>
        </w:tc>
      </w:tr>
    </w:tbl>
    <w:p>
      <w:r>
        <w:rPr>
          <w:rStyle w:val="HideTWBExt"/>
        </w:rPr>
        <w:t>&lt;/Amend&gt;</w:t>
      </w:r>
    </w:p>
    <w:p>
      <w:pPr>
        <w:pStyle w:val="AmNumberTabs"/>
      </w:pPr>
      <w:r>
        <w:rPr>
          <w:rStyle w:val="HideTWBExt"/>
        </w:rPr>
        <w:t>&lt;Amend&gt;</w:t>
      </w:r>
      <w:r>
        <w:t>Emendamento</w:t>
      </w:r>
      <w:r>
        <w:tab/>
      </w:r>
      <w:r>
        <w:tab/>
      </w:r>
      <w:r>
        <w:rPr>
          <w:rStyle w:val="HideTWBExt"/>
        </w:rPr>
        <w:t>&lt;NumAm&gt;</w:t>
      </w:r>
      <w:r>
        <w:t>33</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chiede l'istituzione</w:t>
            </w:r>
            <w:r>
              <w:rPr>
                <w:b/>
                <w:i/>
              </w:rPr>
              <w:t xml:space="preserve"> di un osservatorio sull'IA</w:t>
            </w:r>
            <w:r>
              <w:t xml:space="preserve"> del Parlamento </w:t>
            </w:r>
            <w:r>
              <w:rPr>
                <w:b/>
                <w:i/>
              </w:rPr>
              <w:t>europeo quale struttura analitica permanente all'interno dell'amministrazione</w:t>
            </w:r>
            <w:r>
              <w:t xml:space="preserve"> </w:t>
            </w:r>
            <w:r>
              <w:rPr>
                <w:b/>
                <w:i/>
              </w:rPr>
              <w:t>del Parlamento</w:t>
            </w:r>
            <w:r>
              <w:t xml:space="preserve">, che </w:t>
            </w:r>
            <w:r>
              <w:rPr>
                <w:b/>
                <w:i/>
              </w:rPr>
              <w:t>operi</w:t>
            </w:r>
            <w:r>
              <w:t xml:space="preserve"> come servizio tra le commissioni parlamentari per sostenerle nelle questioni relative all'IA, alla sua governance, all'equilibrio istituzionale e al controllo democratico; sottolinea che </w:t>
            </w:r>
            <w:r>
              <w:rPr>
                <w:b/>
                <w:i/>
              </w:rPr>
              <w:t>la creazione di</w:t>
            </w:r>
            <w:r>
              <w:t xml:space="preserve"> </w:t>
            </w:r>
            <w:r>
              <w:rPr>
                <w:b/>
                <w:i/>
              </w:rPr>
              <w:t>tale capacità potrebbe essere organizzata all'interno delle strutture amministrative del Parlamento in modo neutro sotto il profilo del bilancio, sulla base delle competenze e dei servizi esistenti</w:t>
            </w:r>
            <w:r>
              <w:t>;</w:t>
            </w:r>
          </w:p>
        </w:tc>
        <w:tc>
          <w:tcPr>
            <w:tcW w:w="4876" w:type="dxa"/>
            <w:tcBorders>
              <w:top w:val="nil"/>
              <w:left w:val="nil"/>
              <w:bottom w:val="nil"/>
              <w:right w:val="nil"/>
            </w:tcBorders>
          </w:tcPr>
          <w:p>
            <w:pPr>
              <w:pStyle w:val="Normal6a"/>
            </w:pPr>
            <w:r>
              <w:t>11.</w:t>
            </w:r>
            <w:r>
              <w:tab/>
            </w:r>
            <w:r>
              <w:rPr>
                <w:b/>
                <w:i/>
              </w:rPr>
              <w:t>raccomanda di rafforzare la capacità di</w:t>
            </w:r>
            <w:r>
              <w:t xml:space="preserve"> </w:t>
            </w:r>
            <w:r>
              <w:rPr>
                <w:b/>
                <w:i/>
              </w:rPr>
              <w:t>analisi interna e di governance</w:t>
            </w:r>
            <w:r>
              <w:t xml:space="preserve"> del Parlamento </w:t>
            </w:r>
            <w:r>
              <w:rPr>
                <w:b/>
                <w:i/>
              </w:rPr>
              <w:t>all'interno della sua amministrazione, in particolare per quanto riguarda l'IA, con un'unità amministrativa dedicata;</w:t>
            </w:r>
            <w:r>
              <w:rPr>
                <w:b/>
                <w:i/>
              </w:rPr>
              <w:t xml:space="preserve"> </w:t>
            </w:r>
            <w:r>
              <w:rPr>
                <w:b/>
                <w:i/>
              </w:rPr>
              <w:t>sottolinea che l'unità dovrebbe basarsi sulle competenze e sui servizi esistenti, compresi quelli forniti dall'EPRS e dallo STOA, e integrarli, consentendo in tal modo che siano organizzati in modo neutro dal punto di vista</w:t>
            </w:r>
            <w:r>
              <w:t xml:space="preserve"> </w:t>
            </w:r>
            <w:r>
              <w:rPr>
                <w:b/>
                <w:i/>
              </w:rPr>
              <w:t>del bilancio</w:t>
            </w:r>
            <w:r>
              <w:t xml:space="preserve">, </w:t>
            </w:r>
            <w:r>
              <w:rPr>
                <w:b/>
                <w:i/>
              </w:rPr>
              <w:t>e</w:t>
            </w:r>
            <w:r>
              <w:t xml:space="preserve"> che </w:t>
            </w:r>
            <w:r>
              <w:rPr>
                <w:b/>
                <w:i/>
              </w:rPr>
              <w:t>dovrebbe operare</w:t>
            </w:r>
            <w:r>
              <w:t xml:space="preserve"> come servizio tra le commissioni parlamentari per sostenerle nelle questioni relative all'IA, alla sua governance, all'equilibrio istituzionale e al controllo democratico</w:t>
            </w:r>
            <w:r>
              <w:rPr>
                <w:b/>
                <w:i/>
              </w:rPr>
              <w:t>, nonché per rafforzare l'alfabetizzazione in materia di IA e le competenze tecniche</w:t>
            </w:r>
            <w:r>
              <w:t xml:space="preserve">; sottolinea </w:t>
            </w:r>
            <w:r>
              <w:rPr>
                <w:b/>
                <w:i/>
              </w:rPr>
              <w:t>inoltre</w:t>
            </w:r>
            <w:r>
              <w:t xml:space="preserve"> che </w:t>
            </w:r>
            <w:r>
              <w:rPr>
                <w:b/>
                <w:i/>
              </w:rPr>
              <w:t>l'unità dovrebbe disporre</w:t>
            </w:r>
            <w:r>
              <w:t xml:space="preserve"> di </w:t>
            </w:r>
            <w:r>
              <w:rPr>
                <w:b/>
                <w:i/>
              </w:rPr>
              <w:t>una chiara struttura analitica e di governance per orientare le sue priorità e garantire lo sviluppo orizzontale delle capacità e la pertinenza tra le commissioni;</w:t>
            </w:r>
            <w:r>
              <w:rPr>
                <w:b/>
                <w:i/>
              </w:rPr>
              <w:t xml:space="preserve"> </w:t>
            </w:r>
            <w:r>
              <w:rPr>
                <w:b/>
                <w:i/>
              </w:rPr>
              <w:t>suggerisce che l'unità potrebbe essere denominata "osservatorio sull'IA del Parlamento europeo"</w:t>
            </w:r>
            <w:r>
              <w:t>;</w:t>
            </w:r>
          </w:p>
        </w:tc>
      </w:tr>
    </w:tbl>
    <w:p>
      <w:r>
        <w:rPr>
          <w:rStyle w:val="HideTWBExt"/>
        </w:rPr>
        <w:t>&lt;/Amend&gt;</w:t>
      </w:r>
    </w:p>
    <w:p>
      <w:pPr>
        <w:pStyle w:val="AmNumberTabs"/>
      </w:pPr>
      <w:r>
        <w:rPr>
          <w:rStyle w:val="HideTWBExt"/>
        </w:rPr>
        <w:t>&lt;Amend&gt;</w:t>
      </w:r>
      <w:r>
        <w:t>Emendamento</w:t>
      </w:r>
      <w:r>
        <w:tab/>
      </w:r>
      <w:r>
        <w:tab/>
      </w:r>
      <w:r>
        <w:rPr>
          <w:rStyle w:val="HideTWBExt"/>
        </w:rPr>
        <w:t>&lt;NumAm&gt;</w:t>
      </w:r>
      <w:r>
        <w:t>34</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11 bis.</w:t>
            </w:r>
            <w:r>
              <w:tab/>
            </w:r>
            <w:r>
              <w:rPr>
                <w:b/>
                <w:i/>
              </w:rPr>
              <w:t>ricorda l'attuale lavoro analitico svolto in seno al Parlamento, anche dal gruppo di lavoro per il regolamento sull'IA istituito allo scopo di monitorare e controllare l'attuazione e l'applicazione del regolamento sull'IA, contribuendo a individuare lacune, sovrapposizioni e incoerenze intersettoriali nel più ampio quadro giuridico dell'UE in materia di IA, nonché a monitorare i nuovi sviluppi e le nuove sfide relativi all'IA;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(Spostato dal punto 15)</w:t>
            </w:r>
          </w:p>
        </w:tc>
      </w:tr>
    </w:tbl>
    <w:p>
      <w:r>
        <w:rPr>
          <w:rStyle w:val="HideTWBExt"/>
        </w:rPr>
        <w:t>&lt;/Amend&gt;</w:t>
      </w:r>
    </w:p>
    <w:p>
      <w:pPr>
        <w:pStyle w:val="AmNumberTabs"/>
      </w:pPr>
      <w:r>
        <w:rPr>
          <w:rStyle w:val="HideTWBExt"/>
        </w:rPr>
        <w:t>&lt;Amend&gt;</w:t>
      </w:r>
      <w:r>
        <w:t>Emendamento</w:t>
      </w:r>
      <w:r>
        <w:tab/>
      </w:r>
      <w:r>
        <w:tab/>
      </w:r>
      <w:r>
        <w:rPr>
          <w:rStyle w:val="HideTWBExt"/>
        </w:rPr>
        <w:t>&lt;NumAm&gt;</w:t>
      </w:r>
      <w:r>
        <w:t>35</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11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sottolinea che il rafforzamento della capacità analitica e di governance interna del Parlamento potrebbe contribuire ulteriormente al monitoraggio della governance istituzionale dell'IA, della sua responsabilità e della sua spiegabilità, nonché delle implicazioni dei sistemi di IA utilizzati all'interno dell'istituzione, oltre a contribuire al conseguimento di un livello adeguato di alfabetizzazione in materia di IA del suo personale, e potrebbe sostenere il seguito dato dal Parlamento alle pertinenti conclusioni del Consiglio;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(Spostato dal paragrafo 16)</w:t>
            </w:r>
          </w:p>
        </w:tc>
      </w:tr>
    </w:tbl>
    <w:p>
      <w:r>
        <w:rPr>
          <w:rStyle w:val="HideTWBExt"/>
        </w:rPr>
        <w:t>&lt;/Amend&gt;</w:t>
      </w:r>
    </w:p>
    <w:p>
      <w:pPr>
        <w:pStyle w:val="AmNumberTabs"/>
      </w:pPr>
      <w:r>
        <w:rPr>
          <w:rStyle w:val="HideTWBExt"/>
        </w:rPr>
        <w:t>&lt;Amend&gt;</w:t>
      </w:r>
      <w:r>
        <w:t>Emendamento</w:t>
      </w:r>
      <w:r>
        <w:tab/>
      </w:r>
      <w:r>
        <w:tab/>
      </w:r>
      <w:r>
        <w:rPr>
          <w:rStyle w:val="HideTWBExt"/>
        </w:rPr>
        <w:t>&lt;NumAm&gt;</w:t>
      </w:r>
      <w:r>
        <w:t>36</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sottolinea che la crescente diffusione dei sistemi di IA all'interno delle pubbliche amministrazioni, comprese le istituzioni dell'UE, solleva importanti questioni relative alla trasparenza, alla responsabilità e al giusto processo amministrativo; sottolinea che il Parlamento dovrebbe mantenere una capacità analitica interna sufficiente per valutare </w:t>
            </w:r>
            <w:r>
              <w:rPr>
                <w:b/>
                <w:i/>
              </w:rPr>
              <w:t>tali</w:t>
            </w:r>
            <w:r>
              <w:t xml:space="preserve"> sviluppi in modo indipendente, al fine di salvaguardare le sue prerogative istituzionali e le sue funzioni di controllo e costruire la propria memoria istituzionale in questo settore;</w:t>
            </w:r>
          </w:p>
        </w:tc>
        <w:tc>
          <w:tcPr>
            <w:tcW w:w="4876" w:type="dxa"/>
            <w:tcBorders>
              <w:top w:val="nil"/>
              <w:left w:val="nil"/>
              <w:bottom w:val="nil"/>
              <w:right w:val="nil"/>
            </w:tcBorders>
          </w:tcPr>
          <w:p>
            <w:pPr>
              <w:pStyle w:val="Normal6a"/>
            </w:pPr>
            <w:r>
              <w:t>12.</w:t>
            </w:r>
            <w:r>
              <w:tab/>
            </w:r>
            <w:r>
              <w:t xml:space="preserve">sottolinea che la crescente diffusione dei sistemi di IA all'interno delle pubbliche amministrazioni, comprese le istituzioni dell'UE, </w:t>
            </w:r>
            <w:r>
              <w:rPr>
                <w:b/>
                <w:i/>
              </w:rPr>
              <w:t>aumenta l'efficienza dei processi interni, ma</w:t>
            </w:r>
            <w:r>
              <w:t xml:space="preserve"> solleva </w:t>
            </w:r>
            <w:r>
              <w:rPr>
                <w:b/>
                <w:i/>
              </w:rPr>
              <w:t>anche</w:t>
            </w:r>
            <w:r>
              <w:t xml:space="preserve"> importanti questioni relative alla trasparenza, alla responsabilità</w:t>
            </w:r>
            <w:r>
              <w:rPr>
                <w:b/>
                <w:i/>
              </w:rPr>
              <w:t>, alla sicurezza dei sistemi</w:t>
            </w:r>
            <w:r>
              <w:t xml:space="preserve"> e al giusto processo amministrativo; sottolinea che il Parlamento dovrebbe mantenere una capacità analitica interna sufficiente per valutare </w:t>
            </w:r>
            <w:r>
              <w:rPr>
                <w:b/>
                <w:i/>
              </w:rPr>
              <w:t>tale diffusione e i relativi</w:t>
            </w:r>
            <w:r>
              <w:t xml:space="preserve"> sviluppi in modo indipendente, al fine di salvaguardare le sue prerogative istituzionali e le sue funzioni di controllo e costruire la propria memoria istituzionale in questo settore</w:t>
            </w:r>
            <w:r>
              <w:rPr>
                <w:b/>
                <w:i/>
              </w:rPr>
              <w:t>, utilizzando ove possibile i servizi e le competenze parlamentari esistenti, nonché mantenere il pieno controllo sulla propria cibersicurezza e sulla sicurezza di tutte le infrastrutture e sistemi;</w:t>
            </w:r>
            <w:r>
              <w:rPr>
                <w:b/>
                <w:i/>
              </w:rPr>
              <w:t xml:space="preserve"> sottolinea che tale sforzo dovrebbe essere integrato da programmi di formazione approfonditi sull'alfabetizzazione in materia di IA; </w:t>
            </w:r>
            <w:r>
              <w:rPr>
                <w:b/>
                <w:i/>
              </w:rPr>
              <w:t>chiede inoltre valutazioni periodiche dell'impatto della diffusione dell'IA sui diritti fondamentali e sulla tutela della vita privata</w:t>
            </w:r>
            <w:r>
              <w:t>;</w:t>
            </w:r>
          </w:p>
        </w:tc>
      </w:tr>
    </w:tbl>
    <w:p>
      <w:r>
        <w:rPr>
          <w:rStyle w:val="HideTWBExt"/>
        </w:rPr>
        <w:t>&lt;/Amend&gt;</w:t>
      </w:r>
    </w:p>
    <w:p>
      <w:pPr>
        <w:pStyle w:val="AmNumberTabs"/>
      </w:pPr>
      <w:r>
        <w:rPr>
          <w:rStyle w:val="HideTWBExt"/>
        </w:rPr>
        <w:t>&lt;Amend&gt;</w:t>
      </w:r>
      <w:r>
        <w:t>Emendamento</w:t>
      </w:r>
      <w:r>
        <w:tab/>
      </w:r>
      <w:r>
        <w:tab/>
      </w:r>
      <w:r>
        <w:rPr>
          <w:rStyle w:val="HideTWBExt"/>
        </w:rPr>
        <w:t>&lt;NumAm&gt;</w:t>
      </w:r>
      <w:r>
        <w:t>37</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12 bis.</w:t>
            </w:r>
            <w:r>
              <w:tab/>
            </w:r>
            <w:r>
              <w:rPr>
                <w:b/>
                <w:i/>
              </w:rPr>
              <w:t>sottolinea il potenziale dell'IA per rafforzare le capacità di controllo e sorveglianza del Parlamento agevolando l'accesso alle informazioni pertinenti, migliorando l'analisi dei complessi sviluppi legislativi e normativi e sostenendo il monitoraggio dell'attuazione e dell'applicazione del diritto dell'UE; sottolinea che l'uso responsabile dell'IA potrebbe contribuire a ridurre le asimmetrie informative, a rafforzare la coerenza legislativa e a migliorare la qualità, l'efficienza e la prevedibilità dei processi decisionali dell'UE, nel pieno rispetto della responsabilità democratica, della trasparenza e di un significativo controllo umano;</w:t>
            </w:r>
          </w:p>
        </w:tc>
      </w:tr>
    </w:tbl>
    <w:p>
      <w:r>
        <w:rPr>
          <w:rStyle w:val="HideTWBExt"/>
        </w:rPr>
        <w:t>&lt;/Amend&gt;</w:t>
      </w:r>
    </w:p>
    <w:p>
      <w:pPr>
        <w:pStyle w:val="AmNumberTabs"/>
      </w:pPr>
      <w:r>
        <w:rPr>
          <w:rStyle w:val="HideTWBExt"/>
        </w:rPr>
        <w:t>&lt;Amend&gt;</w:t>
      </w:r>
      <w:r>
        <w:t>Emendamento</w:t>
      </w:r>
      <w:r>
        <w:tab/>
      </w:r>
      <w:r>
        <w:tab/>
      </w:r>
      <w:r>
        <w:rPr>
          <w:rStyle w:val="HideTWBExt"/>
        </w:rPr>
        <w:t>&lt;NumAm&gt;</w:t>
      </w:r>
      <w:r>
        <w:t>38</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chiede l'uso di strumenti di IA per sostenere il monitoraggio e l'attuazione della legislazione dell'UE già adottata, </w:t>
            </w:r>
            <w:r>
              <w:rPr>
                <w:b/>
                <w:i/>
              </w:rPr>
              <w:t>in particolare individuando</w:t>
            </w:r>
            <w:r>
              <w:t xml:space="preserve"> gli atti giuridici nazionali e regionali che richiedono modifiche e individuando potenziali incoerenze, sovrapposizioni o rischi di frammentazione giuridica, rafforzando in tal modo la coerenza giuridica tra i livelli di governance, </w:t>
            </w:r>
            <w:r>
              <w:rPr>
                <w:b/>
                <w:i/>
              </w:rPr>
              <w:t>colmando</w:t>
            </w:r>
            <w:r>
              <w:t xml:space="preserve"> le lacune di attuazione negli Stati membri e migliorando l'efficacia e la prevedibilità del diritto dell'UE; sottolinea, in tale contesto, l'importanza di un </w:t>
            </w:r>
            <w:r>
              <w:rPr>
                <w:b/>
                <w:i/>
              </w:rPr>
              <w:t>approccio antropocentrico</w:t>
            </w:r>
            <w:r>
              <w:t xml:space="preserve"> quando tali strumenti vengono utilizzati;</w:t>
            </w:r>
          </w:p>
        </w:tc>
        <w:tc>
          <w:tcPr>
            <w:tcW w:w="4876" w:type="dxa"/>
            <w:tcBorders>
              <w:top w:val="nil"/>
              <w:left w:val="nil"/>
              <w:bottom w:val="nil"/>
              <w:right w:val="nil"/>
            </w:tcBorders>
          </w:tcPr>
          <w:p>
            <w:pPr>
              <w:pStyle w:val="Normal6a"/>
            </w:pPr>
            <w:r>
              <w:t>13.</w:t>
            </w:r>
            <w:r>
              <w:tab/>
            </w:r>
            <w:r>
              <w:t xml:space="preserve">chiede l'uso di strumenti di IA per sostenere il monitoraggio e l'attuazione della legislazione dell'UE già adottata, </w:t>
            </w:r>
            <w:r>
              <w:rPr>
                <w:b/>
                <w:i/>
              </w:rPr>
              <w:t>contribuendo a individuare</w:t>
            </w:r>
            <w:r>
              <w:t xml:space="preserve"> gli atti giuridici nazionali e regionali che richiedono modifiche e individuando potenziali incoerenze, sovrapposizioni o rischi di frammentazione giuridica, rafforzando in tal modo la coerenza giuridica </w:t>
            </w:r>
            <w:r>
              <w:rPr>
                <w:b/>
                <w:i/>
              </w:rPr>
              <w:t>e riducendo i costi</w:t>
            </w:r>
            <w:r>
              <w:t xml:space="preserve"> tra i livelli di governance, </w:t>
            </w:r>
            <w:r>
              <w:rPr>
                <w:b/>
                <w:i/>
              </w:rPr>
              <w:t>contribuendo a individuare</w:t>
            </w:r>
            <w:r>
              <w:t xml:space="preserve"> le lacune di attuazione negli Stati membri e migliorando l'efficacia e la prevedibilità del diritto dell'UE; </w:t>
            </w:r>
            <w:r>
              <w:rPr>
                <w:b/>
                <w:i/>
              </w:rPr>
              <w:t xml:space="preserve">sottolinea che gli strumenti di IA possono anche sostenere l'elaborazione di politiche basate su dati concreti, gli sforzi di semplificazione e la valutazione ex post della legislazione dell'UE, anche riducendo gli oneri amministrativi sproporzionati che gravano sui cittadini, sulle imprese e sulle pubbliche amministrazioni; </w:t>
            </w:r>
            <w:r>
              <w:t xml:space="preserve">sottolinea, in tale contesto, l'importanza di un </w:t>
            </w:r>
            <w:r>
              <w:rPr>
                <w:b/>
                <w:i/>
              </w:rPr>
              <w:t>forte controllo umano</w:t>
            </w:r>
            <w:r>
              <w:t xml:space="preserve"> quando tali strumenti vengono utilizzati;</w:t>
            </w:r>
            <w:r>
              <w:rPr>
                <w:b/>
                <w:i/>
              </w:rPr>
              <w:t xml:space="preserve"> sottolinea che i sistemi di IA non devono mai sostituire la responsabilità politica o democratica degli esseri umani;</w:t>
            </w:r>
          </w:p>
        </w:tc>
      </w:tr>
    </w:tbl>
    <w:p>
      <w:r>
        <w:rPr>
          <w:rStyle w:val="HideTWBExt"/>
        </w:rPr>
        <w:t>&lt;/Amend&gt;</w:t>
      </w:r>
    </w:p>
    <w:p>
      <w:pPr>
        <w:pStyle w:val="AmNumberTabs"/>
      </w:pPr>
      <w:r>
        <w:rPr>
          <w:rStyle w:val="HideTWBExt"/>
        </w:rPr>
        <w:t>&lt;Amend&gt;</w:t>
      </w:r>
      <w:r>
        <w:t>Emendamento</w:t>
      </w:r>
      <w:r>
        <w:tab/>
      </w:r>
      <w:r>
        <w:tab/>
      </w:r>
      <w:r>
        <w:rPr>
          <w:rStyle w:val="HideTWBExt"/>
        </w:rPr>
        <w:t>&lt;NumAm&gt;</w:t>
      </w:r>
      <w:r>
        <w:t>39</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13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13 bis.</w:t>
            </w:r>
            <w:r>
              <w:tab/>
            </w:r>
            <w:r>
              <w:rPr>
                <w:b/>
                <w:i/>
              </w:rPr>
              <w:t>invita la Commissione e gli Stati membri a garantire un'attuazione uniforme, proporzionata e coerente del quadro dell'UE in materia di IA in modo da sostenere l'innovazione e la competitività, nel pieno rispetto dei diritti fondamentali nonché dei diritti di proprietà intellettuale e delle norme sul diritto d'autore, evitando oneri amministrativi superflui, la sovrapposizione degli obblighi di rendicontazione e misure nazionali di sovraregolamentazione che potrebbero frammentare il mercato interno e ostacolare la diffusione di soluzioni europee affidabili in materia di IA;</w:t>
            </w:r>
          </w:p>
        </w:tc>
      </w:tr>
    </w:tbl>
    <w:p>
      <w:r>
        <w:rPr>
          <w:rStyle w:val="HideTWBExt"/>
        </w:rPr>
        <w:t>&lt;/Amend&gt;</w:t>
      </w:r>
    </w:p>
    <w:p>
      <w:pPr>
        <w:pStyle w:val="AmNumberTabs"/>
      </w:pPr>
      <w:r>
        <w:rPr>
          <w:rStyle w:val="HideTWBExt"/>
        </w:rPr>
        <w:t>&lt;Amend&gt;</w:t>
      </w:r>
      <w:r>
        <w:t>Emendamento</w:t>
      </w:r>
      <w:r>
        <w:tab/>
      </w:r>
      <w:r>
        <w:tab/>
      </w:r>
      <w:r>
        <w:rPr>
          <w:rStyle w:val="HideTWBExt"/>
        </w:rPr>
        <w:t>&lt;NumAm&gt;</w:t>
      </w:r>
      <w:r>
        <w:t>40</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chiede un'analisi delle sovrapposizioni, delle lacune e delle incoerenze tra i numerosi strumenti legislativi e politici relativi all'IA e la loro attuazione, al fine di ridurre la frammentazione </w:t>
            </w:r>
            <w:r>
              <w:rPr>
                <w:b/>
                <w:i/>
              </w:rPr>
              <w:t>e garantire</w:t>
            </w:r>
            <w:r>
              <w:t xml:space="preserve"> un'applicazione coerente in tutti i settori, nonché un'attuazione istituzionale coerente;</w:t>
            </w:r>
          </w:p>
        </w:tc>
        <w:tc>
          <w:tcPr>
            <w:tcW w:w="4876" w:type="dxa"/>
            <w:tcBorders>
              <w:top w:val="nil"/>
              <w:left w:val="nil"/>
              <w:bottom w:val="nil"/>
              <w:right w:val="nil"/>
            </w:tcBorders>
          </w:tcPr>
          <w:p>
            <w:pPr>
              <w:pStyle w:val="Normal6a"/>
            </w:pPr>
            <w:r>
              <w:t>14.</w:t>
            </w:r>
            <w:r>
              <w:tab/>
            </w:r>
            <w:r>
              <w:t xml:space="preserve">chiede un'analisi delle sovrapposizioni, delle lacune e delle incoerenze tra i numerosi strumenti legislativi e politici relativi all'IA e la loro attuazione, al fine di ridurre la frammentazione </w:t>
            </w:r>
            <w:r>
              <w:rPr>
                <w:b/>
                <w:i/>
              </w:rPr>
              <w:t>ed evitare oneri eccessivi, garantendo nel contempo</w:t>
            </w:r>
            <w:r>
              <w:t xml:space="preserve"> un'applicazione coerente in tutti i settori, nonché un'attuazione istituzionale coerente;</w:t>
            </w:r>
          </w:p>
        </w:tc>
      </w:tr>
    </w:tbl>
    <w:p>
      <w:r>
        <w:rPr>
          <w:rStyle w:val="HideTWBExt"/>
        </w:rPr>
        <w:t>&lt;/Amend&gt;</w:t>
      </w:r>
    </w:p>
    <w:p>
      <w:pPr>
        <w:pStyle w:val="AmNumberTabs"/>
      </w:pPr>
      <w:r>
        <w:rPr>
          <w:rStyle w:val="HideTWBExt"/>
        </w:rPr>
        <w:t>&lt;Amend&gt;</w:t>
      </w:r>
      <w:r>
        <w:t>Emendamento</w:t>
      </w:r>
      <w:r>
        <w:tab/>
      </w:r>
      <w:r>
        <w:tab/>
      </w:r>
      <w:r>
        <w:rPr>
          <w:rStyle w:val="HideTWBExt"/>
        </w:rPr>
        <w:t>&lt;NumAm&gt;</w:t>
      </w:r>
      <w:r>
        <w:t>41</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sottolinea che il lavoro analitico svolto in seno al Parlamento, anche dal proposto osservatorio sull'IA del Parlamento europeo, potrebbe contribuire a individuare le lacune, le sovrapposizioni e le incoerenze intersettoriali nel più ampio quadro giuridico dell'UE per l'IA;</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(Spostato al paragrafo 11 bis)</w:t>
            </w:r>
          </w:p>
        </w:tc>
      </w:tr>
    </w:tbl>
    <w:p>
      <w:r>
        <w:rPr>
          <w:rStyle w:val="HideTWBExt"/>
        </w:rPr>
        <w:t>&lt;/Amend&gt;</w:t>
      </w:r>
    </w:p>
    <w:p>
      <w:pPr>
        <w:pStyle w:val="AmNumberTabs"/>
      </w:pPr>
      <w:r>
        <w:rPr>
          <w:rStyle w:val="HideTWBExt"/>
        </w:rPr>
        <w:t>&lt;Amend&gt;</w:t>
      </w:r>
      <w:r>
        <w:t>Emendamento</w:t>
      </w:r>
      <w:r>
        <w:tab/>
      </w:r>
      <w:r>
        <w:tab/>
      </w:r>
      <w:r>
        <w:rPr>
          <w:rStyle w:val="HideTWBExt"/>
        </w:rPr>
        <w:t>&lt;NumAm&gt;</w:t>
      </w:r>
      <w:r>
        <w:t>42</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sottolinea che l'osservatorio sull'IA del Parlamento europeo potrebbe contribuire al monitoraggio della governance istituzionale dell'IA, della responsabilità e della spiegabilità, nonché delle implicazioni dei sistemi di IA impiegati all'interno dell'istituzione, e potrebbe sostenere il seguito dato dal Parlamento alle pertinenti conclusioni del Consiglio;</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(Spostato al paragrafo 11 ter)</w:t>
            </w:r>
          </w:p>
        </w:tc>
      </w:tr>
    </w:tbl>
    <w:p>
      <w:r>
        <w:rPr>
          <w:rStyle w:val="HideTWBExt"/>
        </w:rPr>
        <w:t>&lt;/Amend&gt;</w:t>
      </w:r>
    </w:p>
    <w:p>
      <w:pPr>
        <w:pStyle w:val="AmNumberTabs"/>
      </w:pPr>
      <w:r>
        <w:rPr>
          <w:rStyle w:val="HideTWBExt"/>
        </w:rPr>
        <w:t>&lt;Amend&gt;</w:t>
      </w:r>
      <w:r>
        <w:t>Emendamento</w:t>
      </w:r>
      <w:r>
        <w:tab/>
      </w:r>
      <w:r>
        <w:tab/>
      </w:r>
      <w:r>
        <w:rPr>
          <w:rStyle w:val="HideTWBExt"/>
        </w:rPr>
        <w:t>&lt;NumAm&gt;</w:t>
      </w:r>
      <w:r>
        <w:t>43</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esorta il presidente del comitato per l'IA a invitare l'osservatorio sull'IA del Parlamento europeo, una volta istituito, alle riunioni del comitato per garantire il controllo parlamentare e la coerenza interistituzionale nella politica dell'UE in materia di IA;</w:t>
            </w:r>
          </w:p>
        </w:tc>
        <w:tc>
          <w:tcPr>
            <w:tcW w:w="4876" w:type="dxa"/>
            <w:tcBorders>
              <w:top w:val="nil"/>
              <w:left w:val="nil"/>
              <w:bottom w:val="nil"/>
              <w:right w:val="nil"/>
            </w:tcBorders>
          </w:tcPr>
          <w:p>
            <w:pPr>
              <w:pStyle w:val="Normal6a"/>
            </w:pPr>
            <w:r>
              <w:rPr>
                <w:b/>
                <w:i/>
              </w:rPr>
              <w:t>soppresso</w:t>
            </w:r>
          </w:p>
        </w:tc>
      </w:tr>
    </w:tbl>
    <w:p>
      <w:r>
        <w:rPr>
          <w:rStyle w:val="HideTWBExt"/>
        </w:rPr>
        <w:t>&lt;/Amend&gt;</w:t>
      </w:r>
    </w:p>
    <w:p>
      <w:pPr>
        <w:pStyle w:val="AmNumberTabs"/>
      </w:pPr>
      <w:r>
        <w:rPr>
          <w:rStyle w:val="HideTWBExt"/>
        </w:rPr>
        <w:t>&lt;Amend&gt;</w:t>
      </w:r>
      <w:r>
        <w:t>Emendamento</w:t>
      </w:r>
      <w:r>
        <w:tab/>
      </w:r>
      <w:r>
        <w:tab/>
      </w:r>
      <w:r>
        <w:rPr>
          <w:rStyle w:val="HideTWBExt"/>
        </w:rPr>
        <w:t>&lt;NumAm&gt;</w:t>
      </w:r>
      <w:r>
        <w:t>44</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sottolinea che una cooperazione rafforzata nel settore della governance dell'IA tra il Parlamento, i parlamenti nazionali e le autorità nazionali competenti, </w:t>
            </w:r>
            <w:r>
              <w:rPr>
                <w:b/>
                <w:i/>
              </w:rPr>
              <w:t>conformemente all'articolo</w:t>
            </w:r>
            <w:r>
              <w:t xml:space="preserve"> 70 del regolamento </w:t>
            </w:r>
            <w:r>
              <w:rPr>
                <w:b/>
                <w:i/>
              </w:rPr>
              <w:t>sull'intelligenza artificiale</w:t>
            </w:r>
            <w:r>
              <w:t xml:space="preserve">, è essenziale al fine di </w:t>
            </w:r>
            <w:r>
              <w:rPr>
                <w:b/>
                <w:i/>
              </w:rPr>
              <w:t>condividere</w:t>
            </w:r>
            <w:r>
              <w:t xml:space="preserve"> le migliori pratiche, migliorare la coerenza legislativa e sostenere il controllo parlamentare della diffusione dell'IA in tutta l'UE;</w:t>
            </w:r>
          </w:p>
        </w:tc>
        <w:tc>
          <w:tcPr>
            <w:tcW w:w="4876" w:type="dxa"/>
            <w:tcBorders>
              <w:top w:val="nil"/>
              <w:left w:val="nil"/>
              <w:bottom w:val="nil"/>
              <w:right w:val="nil"/>
            </w:tcBorders>
          </w:tcPr>
          <w:p>
            <w:pPr>
              <w:pStyle w:val="Normal6a"/>
            </w:pPr>
            <w:r>
              <w:t>18.</w:t>
            </w:r>
            <w:r>
              <w:tab/>
            </w:r>
            <w:r>
              <w:t xml:space="preserve">sottolinea che una cooperazione rafforzata nel settore della governance dell'IA tra il Parlamento </w:t>
            </w:r>
            <w:r>
              <w:rPr>
                <w:b/>
                <w:i/>
              </w:rPr>
              <w:t>europeo</w:t>
            </w:r>
            <w:r>
              <w:t xml:space="preserve">, i parlamenti nazionali e le autorità nazionali competenti, </w:t>
            </w:r>
            <w:r>
              <w:rPr>
                <w:b/>
                <w:i/>
              </w:rPr>
              <w:t>istituita a norma dell'articolo</w:t>
            </w:r>
            <w:r>
              <w:t xml:space="preserve"> 70 del regolamento </w:t>
            </w:r>
            <w:r>
              <w:rPr>
                <w:b/>
                <w:i/>
              </w:rPr>
              <w:t>sull'IA</w:t>
            </w:r>
            <w:r>
              <w:t xml:space="preserve">, è essenziale al fine di </w:t>
            </w:r>
            <w:r>
              <w:rPr>
                <w:b/>
                <w:i/>
              </w:rPr>
              <w:t>scambiare</w:t>
            </w:r>
            <w:r>
              <w:t xml:space="preserve"> le migliori pratiche, migliorare la coerenza legislativa</w:t>
            </w:r>
            <w:r>
              <w:rPr>
                <w:b/>
                <w:i/>
              </w:rPr>
              <w:t>, contribuire a individuare ed eliminare le sovrapposizioni e gli oneri burocratici superflui</w:t>
            </w:r>
            <w:r>
              <w:t xml:space="preserve"> e sostenere il controllo parlamentare della diffusione dell'IA in tutta l'UE;</w:t>
            </w:r>
          </w:p>
        </w:tc>
      </w:tr>
    </w:tbl>
    <w:p>
      <w:r>
        <w:rPr>
          <w:rStyle w:val="HideTWBExt"/>
        </w:rPr>
        <w:t>&lt;/Amend&gt;</w:t>
      </w:r>
    </w:p>
    <w:p>
      <w:pPr>
        <w:pStyle w:val="AmNumberTabs"/>
      </w:pPr>
      <w:r>
        <w:rPr>
          <w:rStyle w:val="HideTWBExt"/>
        </w:rPr>
        <w:t>&lt;Amend&gt;</w:t>
      </w:r>
      <w:r>
        <w:t>Emendamento</w:t>
      </w:r>
      <w:r>
        <w:tab/>
      </w:r>
      <w:r>
        <w:tab/>
      </w:r>
      <w:r>
        <w:rPr>
          <w:rStyle w:val="HideTWBExt"/>
        </w:rPr>
        <w:t>&lt;NumAm&gt;</w:t>
      </w:r>
      <w:r>
        <w:t>45</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chiede una valutazione parlamentare sistematica dei rischi legati all'IA per i processi democratici, </w:t>
            </w:r>
            <w:r>
              <w:rPr>
                <w:b/>
                <w:i/>
              </w:rPr>
              <w:t>compresa</w:t>
            </w:r>
            <w:r>
              <w:t xml:space="preserve"> l'integrità elettorale, e </w:t>
            </w:r>
            <w:r>
              <w:rPr>
                <w:b/>
                <w:i/>
              </w:rPr>
              <w:t>chiede</w:t>
            </w:r>
            <w:r>
              <w:t xml:space="preserve"> che </w:t>
            </w:r>
            <w:r>
              <w:rPr>
                <w:b/>
                <w:i/>
              </w:rPr>
              <w:t>l'osservatorio sull'IA del Parlamento europeo sostenga il monitoraggio delle elezioni</w:t>
            </w:r>
            <w:r>
              <w:t xml:space="preserve"> e </w:t>
            </w:r>
            <w:r>
              <w:rPr>
                <w:b/>
                <w:i/>
              </w:rPr>
              <w:t>dei partiti politici europei</w:t>
            </w:r>
            <w:r>
              <w:t xml:space="preserve">, considerando che </w:t>
            </w:r>
            <w:r>
              <w:rPr>
                <w:b/>
                <w:i/>
              </w:rPr>
              <w:t>l'IA modella</w:t>
            </w:r>
            <w:r>
              <w:t xml:space="preserve"> sempre più la comunicazione politica, i processi elettorali, il discorso pubblico e il processo decisionale;</w:t>
            </w:r>
          </w:p>
        </w:tc>
        <w:tc>
          <w:tcPr>
            <w:tcW w:w="4876" w:type="dxa"/>
            <w:tcBorders>
              <w:top w:val="nil"/>
              <w:left w:val="nil"/>
              <w:bottom w:val="nil"/>
              <w:right w:val="nil"/>
            </w:tcBorders>
          </w:tcPr>
          <w:p>
            <w:pPr>
              <w:pStyle w:val="Normal6a"/>
            </w:pPr>
            <w:r>
              <w:t>19.</w:t>
            </w:r>
            <w:r>
              <w:tab/>
            </w:r>
            <w:r>
              <w:t xml:space="preserve">chiede una valutazione parlamentare sistematica dei rischi legati all'IA per i processi democratici, </w:t>
            </w:r>
            <w:r>
              <w:rPr>
                <w:b/>
                <w:i/>
              </w:rPr>
              <w:t>tra cui</w:t>
            </w:r>
            <w:r>
              <w:t xml:space="preserve"> l'integrità elettorale, </w:t>
            </w:r>
            <w:r>
              <w:rPr>
                <w:b/>
                <w:i/>
              </w:rPr>
              <w:t>le libertà fondamentali</w:t>
            </w:r>
            <w:r>
              <w:t xml:space="preserve"> e </w:t>
            </w:r>
            <w:r>
              <w:rPr>
                <w:b/>
                <w:i/>
              </w:rPr>
              <w:t>il diritto alla vita privata, e il sostegno parlamentare all'analisi dei pertinenti sviluppi dell'IA</w:t>
            </w:r>
            <w:r>
              <w:t xml:space="preserve"> che </w:t>
            </w:r>
            <w:r>
              <w:rPr>
                <w:b/>
                <w:i/>
              </w:rPr>
              <w:t>incidono sui processi democratici, compreso l'uso dell'IA nella comunicazione politica</w:t>
            </w:r>
            <w:r>
              <w:t xml:space="preserve"> e </w:t>
            </w:r>
            <w:r>
              <w:rPr>
                <w:b/>
                <w:i/>
              </w:rPr>
              <w:t>nel dibattito pubblico</w:t>
            </w:r>
            <w:r>
              <w:t xml:space="preserve">, considerando che </w:t>
            </w:r>
            <w:r>
              <w:rPr>
                <w:b/>
                <w:i/>
              </w:rPr>
              <w:t>le applicazioni basate sull'IA modellano</w:t>
            </w:r>
            <w:r>
              <w:t xml:space="preserve"> sempre più la comunicazione politica, i processi elettorali, il discorso pubblico e il processo decisionale</w:t>
            </w:r>
            <w:r>
              <w:rPr>
                <w:b/>
                <w:i/>
              </w:rPr>
              <w:t>, anche attraverso deepfake, media sintetici e campagne di disinformazione coordinate;</w:t>
            </w:r>
            <w:r>
              <w:rPr>
                <w:b/>
                <w:i/>
              </w:rPr>
              <w:t xml:space="preserve"> sottolinea la necessità di applicare gli obblighi di trasparenza del regolamento sull'IA per quanto riguarda i contenuti generati dall'IA a tale riguardo; </w:t>
            </w:r>
            <w:r>
              <w:rPr>
                <w:b/>
                <w:i/>
              </w:rPr>
              <w:t>riconosce che l'IA può anche migliorare la partecipazione democratica, l'accesso alle informazioni e rafforzare l'elaborazione di politiche basate su dati concreti, sottolineando al contempo la necessità di garantire che il suo utilizzo rimanga trasparente, responsabile e conforme al diritto dell'UE</w:t>
            </w:r>
            <w:r>
              <w:t>;</w:t>
            </w:r>
          </w:p>
        </w:tc>
      </w:tr>
    </w:tbl>
    <w:p>
      <w:r>
        <w:rPr>
          <w:rStyle w:val="HideTWBExt"/>
        </w:rPr>
        <w:t>&lt;/Amend&gt;</w:t>
      </w:r>
    </w:p>
    <w:p>
      <w:pPr>
        <w:pStyle w:val="AmNumberTabs"/>
      </w:pPr>
      <w:r>
        <w:rPr>
          <w:rStyle w:val="HideTWBExt"/>
        </w:rPr>
        <w:t>&lt;Amend&gt;</w:t>
      </w:r>
      <w:r>
        <w:t>Emendamento</w:t>
      </w:r>
      <w:r>
        <w:tab/>
      </w:r>
      <w:r>
        <w:tab/>
      </w:r>
      <w:r>
        <w:rPr>
          <w:rStyle w:val="HideTWBExt"/>
        </w:rPr>
        <w:t>&lt;NumAm&gt;</w:t>
      </w:r>
      <w:r>
        <w:t>46</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sottolinea che la rapida evoluzione del panorama della governance dell'UE, in particolare in risposta alla trasformazione digitale, all'IA e a quadri normativi sempre più complessi, sta progressivamente testando l'adeguatezza delle vigenti disposizioni del trattato che disciplinano le competenze istituzionali, la responsabilità democratica e il controllo parlamentare;</w:t>
            </w:r>
          </w:p>
        </w:tc>
        <w:tc>
          <w:tcPr>
            <w:tcW w:w="4876" w:type="dxa"/>
            <w:tcBorders>
              <w:top w:val="nil"/>
              <w:left w:val="nil"/>
              <w:bottom w:val="nil"/>
              <w:right w:val="nil"/>
            </w:tcBorders>
          </w:tcPr>
          <w:p>
            <w:pPr>
              <w:pStyle w:val="Normal6a"/>
            </w:pPr>
            <w:r>
              <w:t>21.</w:t>
            </w:r>
            <w:r>
              <w:tab/>
            </w:r>
            <w:r>
              <w:t>sottolinea che la rapida evoluzione del panorama della governance dell'UE, in particolare in risposta alla trasformazione digitale, all'IA e a quadri normativi sempre più complessi, sta progressivamente testando l'adeguatezza delle vigenti disposizioni del trattato che disciplinano le competenze istituzionali, la responsabilità democratica e il controllo parlamentare</w:t>
            </w:r>
            <w:r>
              <w:rPr>
                <w:b/>
                <w:i/>
              </w:rPr>
              <w:t>, evidenziando nel contempo la necessità di garantire la trasparenza e ridurre la complessità normativa</w:t>
            </w:r>
            <w:r>
              <w:t>;</w:t>
            </w:r>
          </w:p>
        </w:tc>
      </w:tr>
    </w:tbl>
    <w:p>
      <w:r>
        <w:rPr>
          <w:rStyle w:val="HideTWBExt"/>
        </w:rPr>
        <w:t>&lt;/Amend&gt;</w:t>
      </w:r>
    </w:p>
    <w:p>
      <w:pPr>
        <w:pStyle w:val="AmNumberTabs"/>
      </w:pPr>
      <w:r>
        <w:rPr>
          <w:rStyle w:val="HideTWBExt"/>
        </w:rPr>
        <w:t>&lt;Amend&gt;</w:t>
      </w:r>
      <w:r>
        <w:t>Emendamento</w:t>
      </w:r>
      <w:r>
        <w:tab/>
      </w:r>
      <w:r>
        <w:tab/>
      </w:r>
      <w:r>
        <w:rPr>
          <w:rStyle w:val="HideTWBExt"/>
        </w:rPr>
        <w:t>&lt;NumAm&gt;</w:t>
      </w:r>
      <w:r>
        <w:t>47</w:t>
      </w:r>
      <w:r>
        <w:rPr>
          <w:rStyle w:val="HideTWBExt"/>
        </w:rPr>
        <w:t>&lt;/NumAm&gt;</w:t>
      </w:r>
    </w:p>
    <w:p>
      <w:pPr>
        <w:pStyle w:val="NormalBold12b"/>
      </w:pPr>
      <w:r>
        <w:rPr>
          <w:rStyle w:val="HideTWBExt"/>
        </w:rPr>
        <w:t>&lt;DocAmend&gt;</w:t>
      </w:r>
      <w:r>
        <w:t>Proposta di risoluzione</w:t>
      </w:r>
      <w:r>
        <w:rPr>
          <w:rStyle w:val="HideTWBExt"/>
        </w:rPr>
        <w:t>&lt;/DocAmend&gt;</w:t>
      </w:r>
    </w:p>
    <w:p>
      <w:pPr>
        <w:pStyle w:val="NormalBold"/>
      </w:pPr>
      <w:r>
        <w:rPr>
          <w:rStyle w:val="HideTWBExt"/>
        </w:rPr>
        <w:t>&lt;Article&gt;</w:t>
      </w:r>
      <w:r>
        <w:t>Paragrafo 21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21 bis.</w:t>
            </w:r>
            <w:r>
              <w:tab/>
            </w:r>
            <w:r>
              <w:rPr>
                <w:b/>
                <w:i/>
              </w:rPr>
              <w:t>sottolinea che, a breve e medio termine, i rapidi progressi nello sviluppo dell'IA si riflettono a livello normativo nel regolamento sull'IA di recente adozione, che deve ancora diventare pienamente applicabile e il cui impatto deve ancora essere pienamente osservato; sottolinea che gli ultimi progressi in materia di IA sono affrontati anche attraverso l'Omnibus digitale sull'IA, in risposta alla necessità di semplificare e chiarire alcune disposizioni del regolamento sull'IA attraverso una serie di misure mirate per garantirne l'attuazione tempestiva, agevole e proporzionata; evidenzia che l'Omnibus digitale sull'IA riflette la necessità di adattarsi al rapido ritmo di sviluppo dell'IA e di garantire che il quadro giuridico dell'UE promuova un ambiente efficiente e competitivo per le organizzazioni che operano nell'UE; ricorda la proposta distinta di omnibus digitale, che chiarisce ulteriormente in che modo i dati personali possono essere utilizzati per l'addestramento e lo sviluppo dell'IA; sottolinea, in tale contesto, la necessità di attuare e applicare il regolamento sull'IA e il resto del quadro legislativo digitale dell'UE e, se necessario, di aggiornarlo alla luce degli sviluppi tecnologici, evitando nel contempo oneri amministrativi superflui, la sovrapposizione degli obblighi di comunicazione e misure nazionali di sovraregolamentazione che potrebbero frammentare il mercato interno e ostacolare la diffusione di soluzioni europee affidabili in materia di IA; sottolinea la necessità di un approccio trasparente a tale riguardo;</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NotTOC"/>
      </w:pPr>
      <w:r>
        <w:t>ALLEGATO: DICHIARAZIONE DEI CONTRIBUTI</w:t>
      </w:r>
    </w:p>
    <w:p>
      <w:pPr>
        <w:pStyle w:val="Normal12a"/>
      </w:pPr>
      <w:r>
        <w:rPr>
          <w:rStyle w:val="HideTWBExt"/>
        </w:rPr>
        <w:t>&lt;FootprintIntro&gt;</w:t>
      </w:r>
      <w:r>
        <w:rPr>
          <w:rStyle w:val="HideTWBExt"/>
        </w:rPr>
        <w:t>&lt;/FootprintIntro&gt;</w:t>
      </w:r>
    </w:p>
    <w:p>
      <w:pPr>
        <w:pStyle w:val="Normal12a"/>
      </w:pPr>
      <w:r>
        <w:t>Conformemente all'allegato I, articolo 8, del regolamento, il relatore dichiara di aver incluso nella sua relazione contributi su questioni attinenti all'oggetto del fascicolo che ha ricevuto, ai fini dell'elaborazione del progetto di relazione, dai rappresentanti di interessi che rientrano nell'ambito di applicazione dell'accordo interistituzionale su un registro per la trasparenza obbligatorio</w:t>
      </w:r>
      <w:r>
        <w:rPr>
          <w:rStyle w:val="FootnoteReference"/>
        </w:rPr>
        <w:footnoteReference w:customMarkFollows="1" w:id="2"/>
        <w:t xml:space="preserve">1</w:t>
      </w:r>
      <w:r>
        <w:t>, o dai rappresentanti delle pubbliche autorità di paesi terzi, incluse le loro missioni diplomatiche e ambasciate, qui di seguito elencati: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Rappresentanti di interessi che rientrano nell'ambito di applicazione dell'accordo interistituzionale su un registro per la trasparenza obbligatorio</w:t>
            </w:r>
          </w:p>
        </w:tc>
      </w:tr>
      <w:tr>
        <w:tblPrEx>
          <w:tblW w:w="0" w:type="auto"/>
          <w:tblLayout w:type="fixed"/>
          <w:tblCellMar>
            <w:left w:w="140" w:type="dxa"/>
            <w:right w:w="140" w:type="dxa"/>
          </w:tblCellMar>
        </w:tblPrEx>
        <w:tc>
          <w:tcPr>
            <w:tcW w:w="9080" w:type="dxa"/>
          </w:tcPr>
          <w:p>
            <w:r>
              <w:t>Pour Demain Europe TI 172933491707-16</w:t>
            </w:r>
          </w:p>
        </w:tc>
      </w:tr>
    </w:tbl>
    <w:p/>
    <w:p>
      <w:pPr>
        <w:pStyle w:val="Normal12a"/>
      </w:pPr>
      <w:r>
        <w:t>L'elenco che precede è compilato sotto l'esclusiva responsabilità del relatore.</w:t>
      </w:r>
    </w:p>
    <w:p>
      <w:pPr>
        <w:pStyle w:val="Normal12a"/>
      </w:pPr>
      <w:r>
        <w:t>Quando delle persone fisiche sono identificate nell'elenco con il loro nome, la loro funzione o entrambi, il relatore dichiara di aver sottoposto alle persone fisiche interessate l'informativa del Parlamento europeo sulla protezione dei dati n. 484 (</w:t>
      </w:r>
      <w:hyperlink r:id="rId9" w:tgtFrame="https://www.europarl.europa.eu/data-protect/index.do" w:history="1">
        <w:r>
          <w:rPr>
            <w:rStyle w:val="Hyperlink"/>
          </w:rPr>
          <w:t>https://www.europarl.europa.eu/data-protect/index.do</w:t>
        </w:r>
      </w:hyperlink>
      <w:r>
        <w:t>), che definisce le condizioni applicabili al trattamento dei loro dati personali e i diritti connessi a tale trattamento.</w:t>
      </w:r>
    </w:p>
    <w:p>
      <w:pPr>
        <w:sectPr>
          <w:footnotePr>
            <w:numRestart w:val="eachSect"/>
          </w:footnotePr>
          <w:type w:val="nextPage"/>
          <w:pgSz w:w="11909" w:h="16834"/>
          <w:pgMar w:top="1134" w:right="1417" w:bottom="1417" w:left="1417" w:header="1134" w:footer="567"/>
          <w:cols w:space="720"/>
        </w:sectPr>
      </w:pPr>
    </w:p>
    <w:p>
      <w:pPr>
        <w:pStyle w:val="PageHeadingNotTOC"/>
      </w:pPr>
      <w:r>
        <w:t>INFORMAZIONI SULL'APPROVAZIONE DA PARTE DELLA COMMISSIONE COMPETENTE PER PARERE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Approvazione</w:t>
            </w:r>
          </w:p>
        </w:tc>
        <w:tc>
          <w:tcPr>
            <w:tcW w:w="6400" w:type="dxa"/>
            <w:tcBorders>
              <w:left w:val="dotted" w:sz="4" w:space="0" w:color="auto"/>
            </w:tcBorders>
          </w:tcPr>
          <w:p>
            <w:pPr>
              <w:pStyle w:val="ProcedureTable"/>
            </w:pPr>
            <w:r>
              <w:t>24.6.2026</w:t>
            </w:r>
          </w:p>
        </w:tc>
      </w:tr>
      <w:tr>
        <w:tblPrEx>
          <w:tblW w:w="0" w:type="auto"/>
          <w:tblLayout w:type="fixed"/>
          <w:tblCellMar>
            <w:left w:w="140" w:type="dxa"/>
            <w:right w:w="140" w:type="dxa"/>
          </w:tblCellMar>
        </w:tblPrEx>
        <w:tc>
          <w:tcPr>
            <w:tcW w:w="3600" w:type="dxa"/>
          </w:tcPr>
          <w:p>
            <w:pPr>
              <w:pStyle w:val="ProcedureTableBold"/>
            </w:pPr>
            <w:r>
              <w:t>Esito della votazione finale</w:t>
            </w:r>
          </w:p>
        </w:tc>
        <w:tc>
          <w:tcPr>
            <w:tcW w:w="6400" w:type="dxa"/>
            <w:tcBorders>
              <w:left w:val="dotted" w:sz="4" w:space="0" w:color="auto"/>
            </w:tcBorders>
          </w:tcPr>
          <w:p>
            <w:r>
              <w:t>+</w:t>
            </w:r>
            <w:r>
              <w:tab/>
            </w:r>
            <w:r>
              <w:t>:</w:t>
            </w:r>
            <w:r>
              <w:tab/>
            </w:r>
            <w:r>
              <w:t>66</w:t>
            </w:r>
          </w:p>
          <w:p>
            <w:r>
              <w:t>-</w:t>
            </w:r>
            <w:r>
              <w:tab/>
            </w:r>
            <w:r>
              <w:t>:</w:t>
            </w:r>
            <w:r>
              <w:tab/>
            </w:r>
            <w:r>
              <w:t>0</w:t>
            </w:r>
          </w:p>
          <w:p>
            <w:r>
              <w:t>0</w:t>
            </w:r>
            <w:r>
              <w:tab/>
            </w:r>
            <w:r>
              <w:t>:</w:t>
            </w:r>
            <w:r>
              <w:tab/>
            </w:r>
            <w:r>
              <w:t>4</w:t>
            </w:r>
          </w:p>
        </w:tc>
      </w:tr>
    </w:tbl>
    <w:p>
      <w:pPr>
        <w:sectPr>
          <w:type w:val="nextPage"/>
          <w:pgSz w:w="11909" w:h="16834"/>
          <w:pgMar w:top="1134" w:right="1417" w:bottom="1417" w:left="1417" w:header="1134" w:footer="567"/>
          <w:cols w:space="720"/>
        </w:sectPr>
      </w:pPr>
    </w:p>
    <w:p>
      <w:pPr>
        <w:pStyle w:val="PageHeadingNotTOC"/>
      </w:pPr>
      <w:r>
        <w:t>VOTAZIONE FINALE PER APPELLO NOMINALE DA PARTE DELLA COMMISSIONE COMPETENTE PER PARERE</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66</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Alessandro Ciriani, Geadis Geadi, Paolo Inselvini, Assita Kanko, Georgiana Teodorescu, Maciej Wasik</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Erik Kalinák</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Georgios Aftias, Krzysztof Brejza, Caterina Chinnici, Paulo Cunha, Lena Düpont, Loucas Fourlas, Ondrej Kolár, Marie-Sophie Lanig, Jeroen Lenaers, Verena Mertens, Ana Miguel Pedro, Emil Radev, Karlo Ressler, Bartlomiej Sienkiewicz, Tomas Tobé, Loránt Vincze, Isabel Wiseler-Lima, Javier Zarzalejos, Tomás Zdechovský</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Jaroslav Bzoch, Mélanie Disdier, Marieke Ehlers, Catherine Griset, András László, Fabrice Leggeri, António Tânger Corrêa, Tom Vandendriessche</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Malik Azmani, Veronika Cifrová Ostrihonová, Raquel García Hermida-Van Der Walle, Fabienne Keller, Moritz Körner, Michael McNamara, Marjan Sarec, Hilde Vautmans, Lucia Yar</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Vytenis Povilas Andriukaitis, Francisco Assis, Katarina Barley, Hannes Heide, Alicia Homs Ginel, Evin Incir, Murielle Laurent, Ana Catarina Mendes, Birgit Sippel, Krzysztof Smiszek, Cecilia Strada, Kristian Vigenin, Alessandro Zan</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Giuseppe Antoci, Pernando Barrena Arza, Gaetano Pedulla', Ilaria Salis</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Jaume Asens Llodrà, Saskia Bricmont, Mélissa Camara, Markéta Gregorová, Leoluca Orlando, Tineke Strik</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0</w:t>
            </w:r>
          </w:p>
        </w:tc>
        <w:tc>
          <w:tcPr>
            <w:tcW w:w="7600" w:type="dxa"/>
            <w:shd w:val="clear" w:color="auto" w:fill="C0C0C0"/>
          </w:tcPr>
          <w:p>
            <w:pPr>
              <w:pStyle w:val="Arial14CentreBold"/>
            </w:pPr>
            <w:r>
              <w:t>-</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4</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Alexander Sell, Milan Uhrík, Roberto Vannacci</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Jorge Buxadé Villalba</w:t>
            </w:r>
          </w:p>
        </w:tc>
      </w:tr>
    </w:tbl>
    <w:p/>
    <w:p>
      <w:r>
        <w:t>Significato dei simboli utilizzati:</w:t>
      </w:r>
    </w:p>
    <w:p>
      <w:pPr>
        <w:pStyle w:val="NormalTab"/>
      </w:pPr>
      <w:r>
        <w:t>+</w:t>
      </w:r>
      <w:r>
        <w:t xml:space="preserve">  :  </w:t>
      </w:r>
      <w:r>
        <w:t>favorevoli</w:t>
      </w:r>
    </w:p>
    <w:p>
      <w:pPr>
        <w:pStyle w:val="NormalTab"/>
      </w:pPr>
      <w:r>
        <w:t>-</w:t>
      </w:r>
      <w:r>
        <w:t xml:space="preserve">  :  </w:t>
      </w:r>
      <w:r>
        <w:t>contrari</w:t>
      </w:r>
    </w:p>
    <w:p>
      <w:pPr>
        <w:pStyle w:val="NormalTab"/>
      </w:pPr>
      <w:r>
        <w:t>0</w:t>
      </w:r>
      <w:r>
        <w:t xml:space="preserve">  :  </w:t>
      </w:r>
      <w:r>
        <w:t>astenuti</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787.655</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28</w:t>
    </w:r>
    <w:r>
      <w:fldChar w:fldCharType="end"/>
    </w:r>
    <w:r>
      <w:t>/</w:t>
    </w:r>
    <w:r>
      <w:fldChar w:fldCharType="begin"/>
    </w:r>
    <w:r>
      <w:instrText xml:space="preserve"> NUMPAGES </w:instrText>
    </w:r>
    <w:r>
      <w:fldChar w:fldCharType="separate"/>
    </w:r>
    <w:r>
      <w:t>29</w:t>
    </w:r>
    <w:r>
      <w:fldChar w:fldCharType="end"/>
    </w:r>
    <w:r>
      <w:tab/>
    </w:r>
    <w:r>
      <w:rPr>
        <w:rStyle w:val="HideTWBExt"/>
      </w:rPr>
      <w:t>&lt;PathFdR&gt;</w:t>
    </w:r>
    <w:r>
      <w:t>AD\1346087IT.docx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AD\1346087IT.docx</w:t>
    </w:r>
    <w:r>
      <w:rPr>
        <w:rStyle w:val="HideTWBExt"/>
      </w:rPr>
      <w:t>&lt;/PathFdR&gt;</w:t>
    </w:r>
    <w:r>
      <w:tab/>
    </w:r>
    <w:r>
      <w:fldChar w:fldCharType="begin"/>
    </w:r>
    <w:r>
      <w:instrText xml:space="preserve"> PAGE </w:instrText>
    </w:r>
    <w:r>
      <w:fldChar w:fldCharType="separate"/>
    </w:r>
    <w:r>
      <w:t>29</w:t>
    </w:r>
    <w:r>
      <w:fldChar w:fldCharType="end"/>
    </w:r>
    <w:r>
      <w:t>/</w:t>
    </w:r>
    <w:r>
      <w:fldChar w:fldCharType="begin"/>
    </w:r>
    <w:r>
      <w:instrText xml:space="preserve"> NUMPAGES </w:instrText>
    </w:r>
    <w:r>
      <w:fldChar w:fldCharType="separate"/>
    </w:r>
    <w:r>
      <w:t>29</w:t>
    </w:r>
    <w:r>
      <w:fldChar w:fldCharType="end"/>
    </w:r>
    <w:r>
      <w:tab/>
    </w:r>
    <w:r>
      <w:t>PE</w:t>
    </w:r>
    <w:r>
      <w:rPr>
        <w:rStyle w:val="HideTWBExt"/>
      </w:rPr>
      <w:t>&lt;NoPE&gt;</w:t>
    </w:r>
    <w:r>
      <w:t>787.655</w:t>
    </w:r>
    <w:r>
      <w:rPr>
        <w:rStyle w:val="HideTWBExt"/>
      </w:rPr>
      <w:t>&lt;/NoPE&gt;</w:t>
    </w:r>
    <w:r>
      <w:rPr>
        <w:rStyle w:val="HideTWBExt"/>
      </w:rPr>
      <w:t>&lt;Version&gt;</w:t>
    </w:r>
    <w:r>
      <w:t>v02-00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AD\1346087IT.docx</w:t>
    </w:r>
    <w:r>
      <w:rPr>
        <w:rStyle w:val="HideTWBExt"/>
      </w:rPr>
      <w:t>&lt;/PathFdR&gt;</w:t>
    </w:r>
    <w:r>
      <w:tab/>
    </w:r>
    <w:r>
      <w:tab/>
    </w:r>
    <w:r>
      <w:t>PE</w:t>
    </w:r>
    <w:r>
      <w:rPr>
        <w:rStyle w:val="HideTWBExt"/>
      </w:rPr>
      <w:t>&lt;NoPE&gt;</w:t>
    </w:r>
    <w:r>
      <w:t>787.655</w:t>
    </w:r>
    <w:r>
      <w:rPr>
        <w:rStyle w:val="HideTWBExt"/>
      </w:rPr>
      <w:t>&lt;/NoPE&gt;</w:t>
    </w:r>
    <w:r>
      <w:rPr>
        <w:rStyle w:val="HideTWBExt"/>
      </w:rPr>
      <w:t>&lt;Version&gt;</w:t>
    </w:r>
    <w:r>
      <w:t>v02-00</w:t>
    </w:r>
    <w:r>
      <w:rPr>
        <w:rStyle w:val="HideTWBExt"/>
      </w:rPr>
      <w:t>&lt;/Version&gt;</w:t>
    </w:r>
  </w:p>
  <w:p>
    <w:pPr>
      <w:pStyle w:val="EPFooter2"/>
    </w:pPr>
    <w:r>
      <w:t>IT</w:t>
    </w:r>
    <w:r>
      <w:tab/>
    </w:r>
    <w:r>
      <w:rPr>
        <w:rStyle w:val="EPFooter2Motto"/>
      </w:rPr>
      <w:t>Unita nella diversità</w:t>
    </w:r>
    <w:r>
      <w:tab/>
    </w:r>
    <w:r>
      <w:t>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Accordo interistituzionale del 20 maggio 2021 tra il Parlamento europeo, il Consiglio dell'Unione europea e la Commissione europea su un registro per la trasparenza obbligatorio (GU L 207 dell'11.6.2021, pag.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5\fbidi \froman\fcharset238\fprq2 Times New Roman CE;}{\f336\fbidi \froman\fcharset204\fprq2 Times New Roman Cyr;}{\f338\fbidi \froman\fcharset161\fprq2 Times New Roman Greek;}_x000d__x000a_{\f339\fbidi \froman\fcharset162\fprq2 Times New Roman Tur;}{\f340\fbidi \froman\fcharset177\fprq2 Times New Roman (Hebrew);}{\f341\fbidi \froman\fcharset178\fprq2 Times New Roman (Arabic);}{\f342\fbidi \froman\fcharset186\fprq2 Times New Roman Baltic;}_x000d__x000a_{\f343\fbidi \froman\fcharset163\fprq2 Times New Roman (Vietnamese);}{\f345\fbidi \fswiss\fcharset238\fprq2 Arial CE;}{\f346\fbidi \fswiss\fcharset204\fprq2 Arial Cyr;}{\f348\fbidi \fswiss\fcharset161\fprq2 Arial Greek;}_x000d__x000a_{\f349\fbidi \fswiss\fcharset162\fprq2 Arial Tur;}{\f350\fbidi \fswiss\fcharset177\fprq2 Arial (Hebrew);}{\f351\fbidi \fswiss\fcharset178\fprq2 Arial (Arabic);}{\f352\fbidi \fswiss\fcharset186\fprq2 Arial Baltic;}_x000d__x000a_{\f353\fbidi \fswiss\fcharset163\fprq2 Arial (Vietnamese);}{\f675\fbidi \froman\fcharset238\fprq2 Cambria Math CE;}{\f676\fbidi \froman\fcharset204\fprq2 Cambria Math Cyr;}{\f678\fbidi \froman\fcharset161\fprq2 Cambria Math Greek;}_x000d__x000a_{\f679\fbidi \froman\fcharset162\fprq2 Cambria Math Tur;}{\f682\fbidi \froman\fcharset186\fprq2 Cambria Math Baltic;}{\f683\fbidi \froman\fcharset163\fprq2 Cambria Math (Vietnamese);}_x000d__x000a_{\f717\fbidi \fswiss\fcharset0\fprq2 Yu Gothic Light Western{\*\falt \'9f\'e0\'83\'53\'83\'56\'83\'62\'83\'4e Light};}{\f715\fbidi \fswiss\fcharset238\fprq2 Yu Gothic Light CE{\*\falt \'9f\'e0\'83\'53\'83\'56\'83\'62\'83\'4e Light};}_x000d__x000a_{\f716\fbidi \fswiss\fcharset204\fprq2 Yu Gothic Light Cyr{\*\falt \'9f\'e0\'83\'53\'83\'56\'83\'62\'83\'4e Light};}{\f718\fbidi \fswiss\fcharset161\fprq2 Yu Gothic Light Greek{\*\falt \'9f\'e0\'83\'53\'83\'56\'83\'62\'83\'4e Light};}_x000d__x000a_{\f719\fbidi \fswiss\fcharset162\fprq2 Yu Gothic Light Tur{\*\falt \'9f\'e0\'83\'53\'83\'56\'83\'62\'83\'4e Light};}{\f722\fbidi \fswiss\fcharset186\fprq2 Yu Gothic Light Baltic{\*\falt \'9f\'e0\'83\'53\'83\'56\'83\'62\'83\'4e Light};}_x000d__x000a_{\f1967\fbidi \fswiss\fcharset0\fprq2 @Yu Gothic Light Western;}{\f1965\fbidi \fswiss\fcharset238\fprq2 @Yu Gothic Light CE;}{\f1966\fbidi \fswiss\fcharset204\fprq2 @Yu Gothic Light Cyr;}{\f1968\fbidi \fswiss\fcharset161\fprq2 @Yu Gothic Light Greek;}_x000d__x000a_{\f1969\fbidi \fswiss\fcharset162\fprq2 @Yu Gothic Light Tur;}{\f1972\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2834 HideTWBExt;}{_x000d__x000a_\s18\ql \li0\ri0\nowidctlpar\wrapdefault\aspalpha\aspnum\faauto\adjustright\rin0\lin0\itap0 \rtlch\fcs1 \af0\afs20\alang1025 \ltrch\fcs0 \b\fs24\lang2057\langfe2057\cgrid\langnp2057\langfenp2057 \sbasedon0 \snext18 \spriority0 \styrsid2242834 NormalBold;}_x000d__x000a_{\s19\qr \li0\ri0\sb240\sa240\nowidctlpar\wrapdefault\aspalpha\aspnum\faauto\adjustright\rin0\lin0\itap0 \rtlch\fcs1 \af0\afs20\alang1025 \ltrch\fcs0 \fs24\lang2057\langfe2057\cgrid\langnp2057\langfenp2057 \sbasedon0 \snext19 \spriority0 \styrsid2242834 _x000d__x000a_AmOrLang;}{\s20\ql \li0\ri0\sa120\nowidctlpar\wrapdefault\aspalpha\aspnum\faauto\adjustright\rin0\lin0\itap0 \rtlch\fcs1 \af0\afs20\alang1025 \ltrch\fcs0 \fs24\lang2057\langfe2057\cgrid\langnp2057\langfenp2057 _x000d__x000a_\sbasedon0 \snext20 \spriority0 \styrsid2242834 Normal6a;}{\s21\qc \li0\ri0\sa240\nowidctlpar\wrapdefault\aspalpha\aspnum\faauto\adjustright\rin0\lin0\itap0 \rtlch\fcs1 \af0\afs20\alang1025 \ltrch\fcs0 _x000d__x000a_\i\fs24\lang2057\langfe2057\cgrid\langnp2057\langfenp2057 \sbasedon0 \snext21 \spriority0 \styrsid224283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242834 AmNumberTabs;}{\s23\ql \li0\ri0\sb240\nowidctlpar\wrapdefault\aspalpha\aspnum\faauto\adjustright\rin0\lin0\itap0 \rtlch\fcs1 _x000d__x000a_\af0\afs20\alang1025 \ltrch\fcs0 \b\fs24\lang2057\langfe2057\cgrid\langnp2057\langfenp2057 \sbasedon0 \snext23 \spriority0 \styrsid2242834 NormalBold12b;}}{\*\rsidtbl \rsid24658\rsid223860\rsid735077\rsid1718133\rsid2242834\rsid2892074\rsid3565327_x000d__x000a_\rsid4666813\rsid6641733\rsid7823322\rsid958276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5\dy23\hr11\min2}{\revtim\yr2024\mo5\dy23\hr11\min2}{\version1}{\edmins0}{\nofpages1}_x000d__x000a_{\nofwords120}{\nofchars69}{\nofcharsws188}{\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2834\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582763 \chftnsep _x000d__x000a_\par }}{\*\ftnsepc \ltrpar \pard\plain \ltrpar\ql \li0\ri0\widctlpar\wrapdefault\aspalpha\aspnum\faauto\adjustright\rin0\lin0\itap0 \rtlch\fcs1 \af0\afs20\alang1025 \ltrch\fcs0 \fs24\lang2057\langfe2057\cgrid\langnp2057\langfenp2057 {\rtlch\fcs1 \af0 _x000d__x000a_\ltrch\fcs0 \insrsid9582763 \chftnsepc _x000d__x000a_\par }}{\*\aftnsep \ltrpar \pard\plain \ltrpar\ql \li0\ri0\widctlpar\wrapdefault\aspalpha\aspnum\faauto\adjustright\rin0\lin0\itap0 \rtlch\fcs1 \af0\afs20\alang1025 \ltrch\fcs0 \fs24\lang2057\langfe2057\cgrid\langnp2057\langfenp2057 {\rtlch\fcs1 \af0 _x000d__x000a_\ltrch\fcs0 \insrsid9582763 \chftnsep _x000d__x000a_\par }}{\*\aftnsepc \ltrpar \pard\plain \ltrpar\ql \li0\ri0\widctlpar\wrapdefault\aspalpha\aspnum\faauto\adjustright\rin0\lin0\itap0 \rtlch\fcs1 \af0\afs20\alang1025 \ltrch\fcs0 \fs24\lang2057\langfe2057\cgrid\langnp2057\langfenp2057 {\rtlch\fcs1 \af0 _x000d__x000a_\ltrch\fcs0 \insrsid95827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2242834\charrsid4291528 _x000d__x000a_{\*\bkmkstart restart}\hich\af1\dbch\af31501\loch\f1 &lt;Amend&gt;}{\rtlch\fcs1 \af0 \ltrch\fcs0 \lang1036\langfe2057\langnp1036\insrsid2242834\charrsid4291528 [ZAMENDMENT]\tab \tab }{\rtlch\fcs1 \af0 \ltrch\fcs0 _x000d__x000a_\cs17\b0\v\fs20\cf9\lang1024\langfe1024\loch\af1\hich\af1\dbch\af31501\noproof\langnp1036\insrsid2242834\charrsid4291528 \hich\af1\dbch\af31501\loch\f1 &lt;NumAm&gt;}{\rtlch\fcs1 \af0 \ltrch\fcs0 \lang1036\langfe2057\langnp1036\insrsid2242834\charrsid4291528 _x000d__x000a_[ZNRAM]}{\rtlch\fcs1 \af0 \ltrch\fcs0 \cs17\b0\v\fs20\cf9\lang1024\langfe1024\loch\af1\hich\af1\dbch\af31501\noproof\langnp1036\insrsid2242834\charrsid4291528 \hich\af1\dbch\af31501\loch\f1 &lt;/NumAm&gt;}{\rtlch\fcs1 \af0 \ltrch\fcs0 _x000d__x000a_\lang1036\langfe2057\langnp1036\insrsid2242834\charrsid4291528 _x000d__x000a_\par }\pard\plain \ltrpar\s23\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2242834\charrsid4291528 \hich\af1\dbch\af31501\loch\f1 &lt;DocAmend&gt;}{\rtlch\fcs1 \af0 \ltrch\fcs0 _x000d__x000a_\lang1036\langfe2057\langnp1036\insrsid2242834\charrsid4291528 [}{\rtlch\fcs1 \af0 \ltrch\fcs0 \lang1036\langfe2057\langnp1036\insrsid2242834\charrsid3548259 ZPROPOSAL}{\rtlch\fcs1 \af0 \ltrch\fcs0 _x000d__x000a_\lang1036\langfe2057\langnp1036\insrsid2242834\charrsid4291528 ]}{\rtlch\fcs1 \af0 \ltrch\fcs0 \cs17\b0\v\fs20\cf9\lang1024\langfe1024\loch\af1\hich\af1\dbch\af31501\noproof\langnp1036\insrsid2242834\charrsid4291528 \hich\af1\dbch\af31501\loch\f1 _x000d__x000a_&lt;/DocAmend&gt;}{\rtlch\fcs1 \af0 \ltrch\fcs0 \lang1036\langfe2057\langnp1036\insrsid2242834\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2242834\charrsid4291528 \hich\af1\dbch\af31501\loch\f1 &lt;Article&gt;}{\rtlch\fcs1 \af0 \ltrch\fcs0 _x000d__x000a_\lang1036\langfe2057\langnp1036\insrsid2242834\charrsid4291528 [ZAMPART]}{\rtlch\fcs1 \af0 \ltrch\fcs0 \cs17\b0\v\fs20\cf9\lang1024\langfe1024\loch\af1\hich\af1\dbch\af31501\noproof\langnp1036\insrsid2242834\charrsid4291528 \hich\af1\dbch\af31501\loch\f1 _x000d__x000a_&lt;/Article&gt;}{\rtlch\fcs1 \af0 \ltrch\fcs0 \lang1036\langfe2057\langnp1036\insrsid2242834\charrsid4291528 _x000d__x000a_\par \ltrrow}\trowd \irow0\irowband0\ltrrow\ts11\trqc\trgaph340\trleft0\trftsWidth3\trwWidth9752\trftsWidthB3\trpaddl340\trpaddr340\trpaddfl3\trpaddft3\trpaddfb3\trpaddfr3\tblrsid9505846\tblind0\tblindtype3 \clvertalt\clbrdrt\brdrtbl \clbrdrl\brdrtbl \clbrdrb_x000d__x000a_\brdrtbl \clbrdrr\brdrtbl \cltxlrtb\clftsWidth3\clwWidth9752\clshdrawnil \cellx9752\pard\plain \ltrpar\ql \li0\ri0\keepn\widctlpar\intbl\wrapdefault\aspalpha\aspnum\faauto\adjustright\rin0\lin0\pararsid9505846 \rtlch\fcs1 \af0\afs20\alang1025 \ltrch\fcs0 _x000d__x000a_\fs24\lang2057\langfe2057\cgrid\langnp2057\langfenp2057 {\rtlch\fcs1 \af0 \ltrch\fcs0 \lang1036\langfe2057\langnp1036\insrsid2242834\charrsid4291528 \cell }\pard\plain \ltrpar_x000d__x000a_\ql \li0\ri0\widctlpar\intbl\wrapdefault\aspalpha\aspnum\faauto\adjustright\rin0\lin0 \rtlch\fcs1 \af0\afs20\alang1025 \ltrch\fcs0 \fs24\lang2057\langfe2057\cgrid\langnp2057\langfenp2057 {\rtlch\fcs1 \af0 \ltrch\fcs0 \insrsid2242834\charrsid4291528 _x000d__x000a_\trowd \irow0\irowband0\ltrrow\ts11\trqc\trgaph340\trleft0\trftsWidth3\trwWidth9752\trftsWidthB3\trpaddl340\trpaddr340\trpaddfl3\trpaddft3\trpaddfb3\trpaddfr3\tblrsid9505846\tblind0\tblindtype3 \clvertalt\clbrdrt\brdrtbl \clbrdrl\brdrtbl \clbrdrb\brdrtbl _x000d__x000a_\clbrdrr\brdrtbl \cltxlrtb\clftsWidth3\clwWidth9752\clshdrawnil \cellx9752\row \ltrrow}\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9505846 \rtlch\fcs1 \af0\afs20\alang1025 \ltrch\fcs0 \i\fs24\lang2057\langfe2057\cgrid\langnp2057\langfenp2057 {\rtlch\fcs1 \af0 \ltrch\fcs0 _x000d__x000a_\insrsid2242834\charrsid6708014 [ZLEFT]\cell [ZRIGHT]\cell }\pard\plain \ltrpar\ql \li0\ri0\widctlpar\intbl\wrapdefault\aspalpha\aspnum\faauto\adjustright\rin0\lin0 \rtlch\fcs1 \af0\afs20\alang1025 \ltrch\fcs0 _x000d__x000a_\fs24\lang2057\langfe2057\cgrid\langnp2057\langfenp2057 {\rtlch\fcs1 \af0 \ltrch\fcs0 \insrsid2242834\charrsid6708014 \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9505846 \rtlch\fcs1 \af0\afs20\alang1025 \ltrch\fcs0 \fs24\lang2057\langfe2057\cgrid\langnp2057\langfenp2057 {\rtlch\fcs1 \af0 \ltrch\fcs0 _x000d__x000a_\insrsid2242834\charrsid6708014 [ZTEXTL]\cell [ZTEXTR]}{\rtlch\fcs1 \af0\afs24 \ltrch\fcs0 \insrsid2242834\charrsid6708014 \cell }\pard\plain \ltrpar\ql \li0\ri0\widctlpar\intbl\wrapdefault\aspalpha\aspnum\faauto\adjustright\rin0\lin0 \rtlch\fcs1 _x000d__x000a_\af0\afs20\alang1025 \ltrch\fcs0 \fs24\lang2057\langfe2057\cgrid\langnp2057\langfenp2057 {\rtlch\fcs1 \af0 \ltrch\fcs0 \insrsid2242834\charrsid6708014 \trowd \irow2\irowband2\lastrow \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2242834 \rtlch\fcs1 \af0\afs20\alang1025 \ltrch\fcs0 \fs24\lang2057\langfe2057\cgrid\langnp2057\langfenp2057 {\rtlch\fcs1 \af0 \ltrch\fcs0 _x000d__x000a_\insrsid2242834\charrsid6708014 Or. }{\rtlch\fcs1 \af0 \ltrch\fcs0 \cs17\v\fs20\cf9\lang1024\langfe1024\loch\af1\hich\af1\dbch\af31501\noproof\insrsid2242834\charrsid6708014 \hich\af1\dbch\af31501\loch\f1 &lt;Original&gt;}{\rtlch\fcs1 \af0 \ltrch\fcs0 _x000d__x000a_\insrsid2242834\charrsid6708014 [ZORLANG]}{\rtlch\fcs1 \af0 \ltrch\fcs0 \cs17\v\fs20\cf9\lang1024\langfe1024\loch\af1\hich\af1\dbch\af31501\noproof\insrsid2242834\charrsid6708014 \hich\af1\dbch\af31501\loch\f1 &lt;/Original&gt;}{\rtlch\fcs1 \af0 \ltrch\fcs0 _x000d__x000a_\insrsid2242834\charrsid6708014 _x000d__x000a_\par }\pard\plain \ltrpar\ql \li0\ri0\widctlpar\wrapdefault\aspalpha\aspnum\faauto\adjustright\rin0\lin0\itap0\pararsid2242834 \rtlch\fcs1 \af0\afs20\alang1025 \ltrch\fcs0 \fs24\lang2057\langfe2057\cgrid\langnp2057\langfenp2057 {\rtlch\fcs1 \af0 \ltrch\fcs0 _x000d__x000a_\cs17\v\fs20\cf9\lang1024\langfe1024\loch\af1\hich\af1\dbch\af31501\noproof\insrsid2242834\charrsid670801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4_x000d__x000a_ebf4efa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AMNumberTabs0">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after="0" w:line="240" w:lineRule="auto"/>
    </w:pPr>
    <w:rPr>
      <w:rFonts w:ascii="Times New Roman" w:eastAsia="Times New Roman" w:hAnsi="Times New Roman" w:cs="Times New Roman"/>
      <w:b/>
      <w:color w:val="000000"/>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29</Pages>
  <Words>6152</Words>
  <Characters>39441</Characters>
  <Application>Microsoft Office Word</Application>
  <DocSecurity>0</DocSecurity>
  <Lines>1</Lines>
  <Paragraphs>375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1346087</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566198</vt:lpwstr>
  </property>
  <property fmtid="{D5CDD505-2E9C-101B-9397-08002B2CF9AE}" pid="7" name="dmxml.render.traceId">
    <vt:lpwstr>6a4e63259e126d5124b944fe15d44ec8</vt:lpwstr>
  </property>
  <property fmtid="{D5CDD505-2E9C-101B-9397-08002B2CF9AE}" pid="8" name="FooterPath">
    <vt:lpwstr>AD\1346087IT.doc</vt:lpwstr>
  </property>
  <property fmtid="{D5CDD505-2E9C-101B-9397-08002B2CF9AE}" pid="9" name="PE Number">
    <vt:lpwstr>787.655</vt:lpwstr>
  </property>
  <property fmtid="{D5CDD505-2E9C-101B-9397-08002B2CF9AE}" pid="10" name="UID">
    <vt:lpwstr>eu.europa.europarl-DIN1-2026-0000179774_01.07-it-01.00_text-xml</vt:lpwstr>
  </property>
</Properties>
</file>