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Commissie burgerlijke vrijheden, justitie en binnenlandse zaken</w:t>
      </w:r>
      <w:r>
        <w:rPr>
          <w:rStyle w:val="HideTWBExt"/>
        </w:rPr>
        <w:t>&lt;/Commission&gt;</w:t>
      </w:r>
    </w:p>
    <w:p>
      <w:pPr>
        <w:pStyle w:val="LineBottom"/>
      </w:pPr>
      <w:r>
        <w:t xml:space="preserve"> </w:t>
      </w:r>
    </w:p>
    <w:p>
      <w:pPr>
        <w:pStyle w:val="CoverReference"/>
      </w:pPr>
      <w:r>
        <w:rPr>
          <w:rStyle w:val="HideTWBExt"/>
        </w:rPr>
        <w:t>&lt;RefProc&gt;</w:t>
      </w:r>
      <w:r>
        <w:t>2025/2118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{24/06/2026}</w:t>
      </w:r>
      <w:r>
        <w:t>24.06.2026</w:t>
      </w:r>
      <w:r>
        <w:rPr>
          <w:rStyle w:val="HideTWBExt"/>
        </w:rPr>
        <w:t>&lt;/Date&gt;</w:t>
      </w:r>
    </w:p>
    <w:p>
      <w:pPr>
        <w:pStyle w:val="CoverDocType24a"/>
      </w:pPr>
      <w:r>
        <w:rPr>
          <w:rStyle w:val="HideTWBExt"/>
        </w:rPr>
        <w:t>&lt;TitreType&gt;</w:t>
      </w:r>
      <w:r>
        <w:t>ADVIES</w:t>
      </w:r>
      <w:r>
        <w:rPr>
          <w:rStyle w:val="HideTWBExt"/>
        </w:rPr>
        <w:t>&lt;/TitreType&gt;</w:t>
      </w:r>
    </w:p>
    <w:p>
      <w:pPr>
        <w:pStyle w:val="CoverNormal24a"/>
      </w:pPr>
      <w:r>
        <w:rPr>
          <w:rStyle w:val="HideTWBExt"/>
        </w:rPr>
        <w:t>&lt;CommissionResp&gt;</w:t>
      </w:r>
      <w:r>
        <w:t>van de Commissie burgerlijke vrijheden, justitie en binnenlandse zaken</w:t>
      </w:r>
      <w:r>
        <w:rPr>
          <w:rStyle w:val="HideTWBExt"/>
        </w:rPr>
        <w:t>&lt;/CommissionResp&gt;</w:t>
      </w:r>
    </w:p>
    <w:p>
      <w:pPr>
        <w:pStyle w:val="CoverNormal24a"/>
      </w:pPr>
      <w:r>
        <w:rPr>
          <w:rStyle w:val="HideTWBExt"/>
        </w:rPr>
        <w:t>&lt;CommissionInt&gt;</w:t>
      </w:r>
      <w:r>
        <w:t>aan de Commissie constitutionele zaken</w:t>
      </w:r>
      <w:r>
        <w:rPr>
          <w:rStyle w:val="HideTWBExt"/>
        </w:rPr>
        <w:t>&lt;/CommissionInt&gt;</w:t>
      </w:r>
    </w:p>
    <w:p>
      <w:pPr>
        <w:pStyle w:val="CoverNormal"/>
      </w:pPr>
      <w:r>
        <w:rPr>
          <w:rStyle w:val="HideTWBExt"/>
        </w:rPr>
        <w:t>&lt;Titre&gt;</w:t>
      </w:r>
      <w:r>
        <w:t>over de institutionele aspecten van artificiële intelligentie in de context van Europese integratie</w:t>
      </w:r>
      <w:r>
        <w:rPr>
          <w:rStyle w:val="HideTWBExt"/>
        </w:rPr>
        <w:t>&lt;/Titre&gt;</w:t>
      </w:r>
    </w:p>
    <w:p>
      <w:pPr>
        <w:pStyle w:val="CoverNormal24a"/>
      </w:pPr>
      <w:r>
        <w:rPr>
          <w:rStyle w:val="HideTWBExt"/>
        </w:rPr>
        <w:t>&lt;DocRef&gt;</w:t>
      </w:r>
      <w:r>
        <w:t>(2025/2118(INI))</w:t>
      </w:r>
      <w:r>
        <w:rPr>
          <w:rStyle w:val="HideTWBExt"/>
        </w:rPr>
        <w:t>&lt;/DocRef&gt;</w:t>
      </w:r>
    </w:p>
    <w:p>
      <w:pPr>
        <w:pStyle w:val="CoverNormal24a"/>
      </w:pPr>
      <w:r>
        <w:t xml:space="preserve">Rapporteur voor advies: </w:t>
      </w:r>
      <w:r>
        <w:rPr>
          <w:rStyle w:val="HideTWBExt"/>
        </w:rPr>
        <w:t>&lt;Depute&gt;</w:t>
      </w:r>
      <w:r>
        <w:t>Lukas Mandl</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AMENDEMENTEN</w:t>
      </w:r>
    </w:p>
    <w:p>
      <w:pPr>
        <w:pStyle w:val="Normal12a"/>
      </w:pPr>
      <w:r>
        <w:t>De Commissie burgerlijke vrijheden, justitie en binnenlandse zaken</w:t>
      </w:r>
      <w:r>
        <w:t xml:space="preserve"> </w:t>
      </w:r>
      <w:r>
        <w:t>dient bij de bevoegde Commissie constitutionele zaken het volgende in</w:t>
      </w:r>
      <w:r>
        <w:t>:</w:t>
      </w:r>
    </w:p>
    <w:p>
      <w:pPr>
        <w:pStyle w:val="AmNumberTabs"/>
      </w:pP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gezien het Verdrag betreffende de werking van de Europese Unie (VWEU), en met name de artikelen 16, 114, 173, 179, 180 en 181,</w:t>
            </w:r>
          </w:p>
        </w:tc>
        <w:tc>
          <w:tcPr>
            <w:tcW w:w="4876" w:type="dxa"/>
            <w:tcBorders>
              <w:top w:val="nil"/>
              <w:left w:val="nil"/>
              <w:bottom w:val="nil"/>
              <w:right w:val="nil"/>
            </w:tcBorders>
          </w:tcPr>
          <w:p>
            <w:pPr>
              <w:pStyle w:val="Normal6a"/>
            </w:pPr>
            <w:r>
              <w:t>–</w:t>
            </w:r>
            <w:r>
              <w:tab/>
            </w:r>
            <w:r>
              <w:t xml:space="preserve">gezien het Verdrag betreffende de werking van de Europese Unie (VWEU), en met name de artikelen 16, </w:t>
            </w:r>
            <w:r>
              <w:rPr>
                <w:b/>
                <w:i/>
              </w:rPr>
              <w:t>26,</w:t>
            </w:r>
            <w:r>
              <w:t xml:space="preserve"> 114, 173, 179, 180 en 181,</w:t>
            </w:r>
          </w:p>
        </w:tc>
      </w:tr>
    </w:tbl>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gezien het Kaderverdrag van de Raad van Europa over artificiële intelligentie en de mensenrechten, de democratie en de rechtsstaat, dat op 5 september 2024 werd ondertekend,</w:t>
            </w:r>
          </w:p>
        </w:tc>
        <w:tc>
          <w:tcPr>
            <w:tcW w:w="4876" w:type="dxa"/>
            <w:tcBorders>
              <w:top w:val="nil"/>
              <w:left w:val="nil"/>
              <w:bottom w:val="nil"/>
              <w:right w:val="nil"/>
            </w:tcBorders>
          </w:tcPr>
          <w:p>
            <w:pPr>
              <w:pStyle w:val="Normal6a"/>
            </w:pPr>
            <w:r>
              <w:t>–</w:t>
            </w:r>
            <w:r>
              <w:tab/>
            </w:r>
            <w:r>
              <w:t xml:space="preserve">gezien het Kaderverdrag van de Raad van Europa over artificiële intelligentie en de mensenrechten, de democratie en de rechtsstaat, dat op 5 september 2024 werd ondertekend </w:t>
            </w:r>
            <w:r>
              <w:rPr>
                <w:b/>
                <w:i/>
              </w:rPr>
              <w:t>(Kaderverdrag van de Raad van Europa over AI)</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gezien Verordening (EU) 2024/1689 van het Europees Parlement en de Raad van 13</w:t>
            </w:r>
            <w:r>
              <w:rPr>
                <w:b/>
                <w:i/>
              </w:rPr>
              <w:t> </w:t>
            </w:r>
            <w:r>
              <w:t>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w:t>
            </w:r>
            <w:r>
              <w:rPr>
                <w:vertAlign w:val="superscript"/>
              </w:rPr>
              <w:t>1</w:t>
            </w:r>
            <w:r>
              <w:t>,</w:t>
            </w:r>
          </w:p>
        </w:tc>
        <w:tc>
          <w:tcPr>
            <w:tcW w:w="4876" w:type="dxa"/>
            <w:tcBorders>
              <w:top w:val="nil"/>
              <w:left w:val="nil"/>
              <w:bottom w:val="nil"/>
              <w:right w:val="nil"/>
            </w:tcBorders>
          </w:tcPr>
          <w:p>
            <w:pPr>
              <w:pStyle w:val="Normal6a"/>
            </w:pPr>
            <w:r>
              <w:t>–</w:t>
            </w:r>
            <w:r>
              <w:tab/>
            </w:r>
            <w:r>
              <w:t>gezien Verordening (EU) 2024/1689 van het Europees Parlement en de Raad van 13</w:t>
            </w:r>
            <w:r>
              <w:rPr>
                <w:b/>
                <w:i/>
              </w:rPr>
              <w:t> </w:t>
            </w:r>
            <w:r>
              <w:t>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w:t>
            </w:r>
            <w:r>
              <w:rPr>
                <w:vertAlign w:val="superscript"/>
              </w:rPr>
              <w:t>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PB L, 2024/1689, 12.7.2024, ELI: http://data.europa.eu/eli/reg/2024/1689/oj.</w:t>
            </w:r>
          </w:p>
        </w:tc>
        <w:tc>
          <w:tcPr>
            <w:tcW w:w="4876" w:type="dxa"/>
            <w:tcBorders>
              <w:top w:val="nil"/>
              <w:left w:val="nil"/>
              <w:bottom w:val="nil"/>
              <w:right w:val="nil"/>
            </w:tcBorders>
          </w:tcPr>
          <w:p>
            <w:pPr>
              <w:pStyle w:val="Normal6a"/>
            </w:pPr>
            <w:r>
              <w:rPr>
                <w:vertAlign w:val="superscript"/>
              </w:rPr>
              <w:t>1</w:t>
            </w:r>
            <w:r>
              <w:t xml:space="preserve"> </w:t>
            </w:r>
            <w:r>
              <w:t>PB L, 2024/1689, 12.7.2024, ELI: http://data.europa.eu/eli/reg/2024/1689/oj.</w:t>
            </w:r>
          </w:p>
        </w:tc>
      </w:tr>
    </w:tbl>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gezien het voorstel van de Commissie van 19 november 2025 voor een verordening van het Europees Parlement en de Raad tot wijziging van de Verordeningen (EU) 2024/1689 en (EU) 2018/1139 wat betreft vereenvoudiging van de uitvoering van geharmoniseerde regels betreffende artificiële intelligentie (digitale omnibus inzake AI) (</w:t>
            </w:r>
            <w:r>
              <w:rPr>
                <w:b/>
                <w:i/>
              </w:rPr>
              <w:t>COM (2025)0836),</w:t>
            </w:r>
          </w:p>
        </w:tc>
      </w:tr>
    </w:tbl>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gezien het voorstel van de Commissie van 19 november 2025 voor een verordening van het Europees Parlement en de Raad tot wijziging van Verordeningen (EU) 2016/679, (EU) 2018/1724, (EU) 2018/1725 en (EU) 2023/2854 en Richtlijnen 2002/58/EG, (EU) 2022/2555 en (EU) 2022/2557 wat betreft de vereenvoudiging van het digitale wetgevingskader en tot intrekking van de Verordeningen (EU) 2018/1807, (EU) 2019/1150, (EU) 2022/868 en Richtlijn (EU) 2019/1024 (digitale omnibus) (</w:t>
            </w:r>
            <w:r>
              <w:rPr>
                <w:b/>
                <w:i/>
              </w:rPr>
              <w:t>COM(2025)0837</w:t>
            </w:r>
            <w:r>
              <w:rPr>
                <w:b/>
                <w:i/>
              </w:rPr>
              <w:t>),</w:t>
            </w:r>
          </w:p>
        </w:tc>
      </w:tr>
    </w:tbl>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artikel 2 VEU </w:t>
            </w:r>
            <w:r>
              <w:rPr>
                <w:b/>
                <w:i/>
              </w:rPr>
              <w:t>betrekking heeft op de constitutionele identiteit van</w:t>
            </w:r>
            <w:r>
              <w:t xml:space="preserve"> de </w:t>
            </w:r>
            <w:r>
              <w:rPr>
                <w:b/>
                <w:i/>
              </w:rPr>
              <w:t>EU</w:t>
            </w:r>
            <w:r>
              <w:t xml:space="preserve"> en dat </w:t>
            </w:r>
            <w:r>
              <w:rPr>
                <w:b/>
                <w:i/>
              </w:rPr>
              <w:t>het daarom gerechtigd is dat</w:t>
            </w:r>
            <w:r>
              <w:t xml:space="preserve"> het </w:t>
            </w:r>
            <w:r>
              <w:rPr>
                <w:b/>
                <w:i/>
              </w:rPr>
              <w:t>Parlement</w:t>
            </w:r>
            <w:r>
              <w:t xml:space="preserve"> toezicht </w:t>
            </w:r>
            <w:r>
              <w:rPr>
                <w:b/>
                <w:i/>
              </w:rPr>
              <w:t>houdt</w:t>
            </w:r>
            <w:r>
              <w:t xml:space="preserve"> op artificiële intelligentie (AI) </w:t>
            </w:r>
            <w:r>
              <w:rPr>
                <w:b/>
                <w:i/>
              </w:rPr>
              <w:t>wanneer de uitrol daarvan mogelijk gevolgen heeft de</w:t>
            </w:r>
            <w:r>
              <w:t xml:space="preserve"> kernwaarden;</w:t>
            </w:r>
          </w:p>
        </w:tc>
        <w:tc>
          <w:tcPr>
            <w:tcW w:w="4876" w:type="dxa"/>
            <w:tcBorders>
              <w:top w:val="nil"/>
              <w:left w:val="nil"/>
              <w:bottom w:val="nil"/>
              <w:right w:val="nil"/>
            </w:tcBorders>
          </w:tcPr>
          <w:p>
            <w:pPr>
              <w:pStyle w:val="Normal6a"/>
            </w:pPr>
            <w:r>
              <w:t>A.</w:t>
            </w:r>
            <w:r>
              <w:tab/>
            </w:r>
            <w:r>
              <w:t xml:space="preserve">overwegende dat </w:t>
            </w:r>
            <w:r>
              <w:rPr>
                <w:b/>
                <w:i/>
              </w:rPr>
              <w:t>in</w:t>
            </w:r>
            <w:r>
              <w:t xml:space="preserve"> artikel 2 VEU </w:t>
            </w:r>
            <w:r>
              <w:rPr>
                <w:b/>
                <w:i/>
              </w:rPr>
              <w:t>de fundamentele gemeenschappelijke waarden zijn vastgelegd waarop</w:t>
            </w:r>
            <w:r>
              <w:t xml:space="preserve"> de </w:t>
            </w:r>
            <w:r>
              <w:rPr>
                <w:b/>
                <w:i/>
              </w:rPr>
              <w:t>Unie is gegrondvest,</w:t>
            </w:r>
            <w:r>
              <w:t xml:space="preserve"> en dat </w:t>
            </w:r>
            <w:r>
              <w:rPr>
                <w:b/>
                <w:i/>
              </w:rPr>
              <w:t>dit artikel voorziet in een belangrijk constitutioneel kader voor</w:t>
            </w:r>
            <w:r>
              <w:t xml:space="preserve"> het toezicht </w:t>
            </w:r>
            <w:r>
              <w:rPr>
                <w:b/>
                <w:i/>
              </w:rPr>
              <w:t>van het Parlement</w:t>
            </w:r>
            <w:r>
              <w:t xml:space="preserve"> op artificiële intelligentie (AI) </w:t>
            </w:r>
            <w:r>
              <w:rPr>
                <w:b/>
                <w:i/>
              </w:rPr>
              <w:t>op basis van die</w:t>
            </w:r>
            <w:r>
              <w:t xml:space="preserve"> kernwaarden;</w:t>
            </w:r>
          </w:p>
        </w:tc>
      </w:tr>
    </w:tbl>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AA.</w:t>
            </w:r>
            <w:r>
              <w:tab/>
            </w:r>
            <w:r>
              <w:rPr>
                <w:b/>
                <w:i/>
              </w:rPr>
              <w:t>overwegende dat de Verdragen en het Handvest van de grondrechten van de Europese Unie de basis vormen voor de bescherming van de grondrechten in de EU; overwegende dat deze beginselen een belangrijk richtinggevend kader vormen voor de beleidsvorming van de EU, onder meer op het gebied van AI;</w:t>
            </w:r>
          </w:p>
        </w:tc>
      </w:tr>
    </w:tbl>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het Parlement overeenkomstig de artikelen 10, 11 en 14 VEU de bijzondere taak heeft om te zorgen voor democratische verantwoordingsplicht, transparantie en doeltreffend toezicht op technologische ontwikkelingen die van invloed zijn op de werking van de instellingen van de Unie; overwegende dat er voor een veilige, ethische en rechtmatige ontwikkeling en toepassing van AI robuuste governancekaders nodig zijn die gebaseerd zijn op de EU-Verdragen;</w:t>
            </w:r>
          </w:p>
        </w:tc>
        <w:tc>
          <w:tcPr>
            <w:tcW w:w="4876" w:type="dxa"/>
            <w:tcBorders>
              <w:top w:val="nil"/>
              <w:left w:val="nil"/>
              <w:bottom w:val="nil"/>
              <w:right w:val="nil"/>
            </w:tcBorders>
          </w:tcPr>
          <w:p>
            <w:pPr>
              <w:pStyle w:val="Normal6a"/>
            </w:pPr>
            <w:r>
              <w:t>B.</w:t>
            </w:r>
            <w:r>
              <w:tab/>
            </w:r>
            <w:r>
              <w:t xml:space="preserve">overwegende dat het Parlement overeenkomstig de artikelen 10, 11 en 14 VEU de bijzondere taak heeft om te zorgen voor democratische verantwoordingsplicht, transparantie en doeltreffend toezicht op technologische ontwikkelingen die van invloed zijn op de werking van de instellingen van de Unie; overwegende dat er voor een veilige, ethische en rechtmatige ontwikkeling en toepassing van AI robuuste governancekaders nodig zijn die gebaseerd zijn op </w:t>
            </w:r>
            <w:r>
              <w:rPr>
                <w:b/>
                <w:i/>
              </w:rPr>
              <w:t>EU-wetgeving,</w:t>
            </w:r>
            <w:r>
              <w:t xml:space="preserve"> de EU-Verdragen,</w:t>
            </w:r>
            <w:r>
              <w:rPr>
                <w:b/>
                <w:i/>
              </w:rPr>
              <w:t xml:space="preserve"> en internationale verdragen</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BA.</w:t>
            </w:r>
            <w:r>
              <w:tab/>
            </w:r>
            <w:r>
              <w:rPr>
                <w:b/>
                <w:i/>
              </w:rPr>
              <w:t>overwegende dat bij de institutionele aanpak van de EU op het gebied van AI moet worden gewaarborgd dat de regelgevingskaders evenredig blijven en geen onnodige administratieve lasten met zich meebrengen; overwegende dat de governancestructuren van de EU op het gebied van AI op actieve wijze een klimaat moeten bevorderen dat innovatie mogelijk maakt en Europese innovatoren helpt om wereldwijd te concurreren, met inachtneming van de grondrechten; overwegende dat een dergelijke benadering van AI niet alleen van het grootste belang is voor het concurrentievermogen van de EU, maar ook voor haar veiligheid, technologische soevereiniteit en strategische autonomie;</w:t>
            </w:r>
          </w:p>
        </w:tc>
      </w:tr>
    </w:tbl>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de verordening artificiële intelligentie het eerste uitgebreide wetgevingskader voor AI ter wereld is; overwegende dat de ontwikkelingen op het gebied van AI ongekend snel gaan en radicale veranderingen met zich meebrengen voor de economische activiteiten, het openbaar bestuur en maatschappelijke interacties;</w:t>
            </w:r>
          </w:p>
        </w:tc>
        <w:tc>
          <w:tcPr>
            <w:tcW w:w="4876" w:type="dxa"/>
            <w:tcBorders>
              <w:top w:val="nil"/>
              <w:left w:val="nil"/>
              <w:bottom w:val="nil"/>
              <w:right w:val="nil"/>
            </w:tcBorders>
          </w:tcPr>
          <w:p>
            <w:pPr>
              <w:pStyle w:val="Normal6a"/>
            </w:pPr>
            <w:r>
              <w:t>C.</w:t>
            </w:r>
            <w:r>
              <w:tab/>
            </w:r>
            <w:r>
              <w:t xml:space="preserve">overwegende dat de verordening artificiële intelligentie </w:t>
            </w:r>
            <w:r>
              <w:rPr>
                <w:b/>
                <w:i/>
              </w:rPr>
              <w:t>(AI-verordening)</w:t>
            </w:r>
            <w:r>
              <w:t xml:space="preserve"> het eerste uitgebreide wetgevingskader voor AI ter wereld is;</w:t>
            </w:r>
            <w:r>
              <w:rPr>
                <w:b/>
                <w:i/>
              </w:rPr>
              <w:t xml:space="preserve"> </w:t>
            </w:r>
            <w:r>
              <w:rPr>
                <w:b/>
                <w:i/>
              </w:rPr>
              <w:t>overwegende dat dit kader bestaat uit een gedegen set regels voor het aanbieden en uitrollen van AI op de interne markt, die innovatie ondersteunen en het gebruik van mensgerichte en betrouwbare AI bevorderen, en daarmee wereldwijd een hoge norm stellen;</w:t>
            </w:r>
            <w:r>
              <w:t xml:space="preserve"> overwegende dat de ontwikkelingen op het gebied van AI ongekend snel gaan en radicale veranderingen met zich meebrengen voor de economische activiteiten, het openbaar bestuur en maatschappelijke interacties;</w:t>
            </w:r>
          </w:p>
        </w:tc>
      </w:tr>
    </w:tbl>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CA.</w:t>
            </w:r>
            <w:r>
              <w:tab/>
            </w:r>
            <w:r>
              <w:rPr>
                <w:b/>
                <w:i/>
              </w:rPr>
              <w:t>overwegende dat met de digitale omnibus inzake AI gerichte vereenvoudigingsmaatregelen zijn ingevoerd die een tijdige, soepele en evenredige uitvoering van sommige bepalingen van de AI-verordening moeten waarborgen; overwegende dat in het afzonderlijke voorstel voor de digitale omnibus verder wordt ingegaan op de noodzaak om te verduidelijken hoe persoonsgegevens mogen worden gebruikt voor het trainen en ontwikkelen van AI; overwegende dat beide voorstellen tegemoetkomen aan de noodzaak om het rechtskader van de EU aan te passen in het licht van de snelle ontwikkeling van AI in de EU en wereldwijd;</w:t>
            </w:r>
          </w:p>
        </w:tc>
      </w:tr>
    </w:tbl>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CB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CB.</w:t>
            </w:r>
            <w:r>
              <w:tab/>
            </w:r>
            <w:r>
              <w:rPr>
                <w:b/>
                <w:i/>
              </w:rPr>
              <w:t xml:space="preserve">overwegende dat in het Kaderverdrag van de Raad van Europa over AI regels worden voorgesteld om ervoor te zorgen dat AI-systemen gedurende hun hele levenscyclus aan strikte ethische normen voldoen, transparantie, controleerbaarheid en doeltreffend toezicht bevorderen en de waarborgen ter bescherming van de grondrechten, de democratie en de rechtsstaat versterken; overwegende dat het Kaderverdrag, dat openstaat voor toetreding door niet-Europese landen, een mondiale basis voor AI-governance bevordert die gericht is op de bescherming van rechten; overwegende dat de beginselen en verplichtingen van het Kaderverdrag op EU-niveau reeds ten uitvoer worden gelegd door middel van een samenhangend geheel van wetgeving dat voorziet in een hoger en gedetailleerder beschermingsniveau, waaronder met name de AI-verordening; </w:t>
            </w:r>
          </w:p>
        </w:tc>
      </w:tr>
    </w:tbl>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CC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CC.</w:t>
            </w:r>
            <w:r>
              <w:tab/>
            </w:r>
            <w:r>
              <w:rPr>
                <w:b/>
                <w:i/>
              </w:rPr>
              <w:t>overwegende dat de bevordering van betrouwbare en mensgerichte AI van essentieel belang is voor het versterken van het concurrentie- en het innovatievermogen, de technologische soevereiniteit en de strategische autonomie van de EU in een steeds concurrerender mondiale omgeving;</w:t>
            </w:r>
          </w:p>
        </w:tc>
      </w:tr>
    </w:tbl>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daarbij voor het Parlement, als representatieve democratische instelling van de EU, een legitieme rol is weggelegd, aangezien het, overeenkomstig de artikelen 10, 11 en 13 VEU, aan dergelijke mondiale besprekingen kan bijdragen en het de taak heeft om de democratische verantwoordingsplicht en de institutionele samenhang in het externe optreden van de EU te waarborgen;</w:t>
            </w:r>
          </w:p>
        </w:tc>
        <w:tc>
          <w:tcPr>
            <w:tcW w:w="4876" w:type="dxa"/>
            <w:tcBorders>
              <w:top w:val="nil"/>
              <w:left w:val="nil"/>
              <w:bottom w:val="nil"/>
              <w:right w:val="nil"/>
            </w:tcBorders>
          </w:tcPr>
          <w:p>
            <w:pPr>
              <w:pStyle w:val="Normal6a"/>
            </w:pPr>
            <w:r>
              <w:t>E.</w:t>
            </w:r>
            <w:r>
              <w:tab/>
            </w:r>
            <w:r>
              <w:t xml:space="preserve">overwegende dat daarbij voor het Parlement, als </w:t>
            </w:r>
            <w:r>
              <w:rPr>
                <w:b/>
                <w:i/>
              </w:rPr>
              <w:t>rechtstreeks verkozen,</w:t>
            </w:r>
            <w:r>
              <w:t xml:space="preserve"> representatieve democratische instelling van de EU, een legitieme rol is weggelegd, aangezien het, overeenkomstig de artikelen 10, 11 en 13 VEU, aan dergelijke mondiale besprekingen kan bijdragen en het de taak heeft om de democratische verantwoordingsplicht en de institutionele samenhang in het externe optreden van de EU te waarborgen, </w:t>
            </w:r>
            <w:r>
              <w:rPr>
                <w:b/>
                <w:i/>
              </w:rPr>
              <w:t>en tegelijkertijd het vermogen van Europese technologiebedrijven om AI te ontwikkelen en in te zetten te waarborgen, innovatie, concurrentievermogen en het technologische leiderschap van Europa te bevorderen en de grondrechten en de rechtsorde te beschermen</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overwegende dat het monitoren van mondiale AI-ontwikkelingen op </w:t>
            </w:r>
            <w:r>
              <w:rPr>
                <w:b/>
                <w:i/>
              </w:rPr>
              <w:t>EU-niveau</w:t>
            </w:r>
            <w:r>
              <w:t>, in nauwe samenwerking met het AI-bureau van de Commissie, de Europese raad voor artificiële intelligentie (AI-board) en de nationale bevoegde autoriteiten, het monitoren van ontwikkelingen in de lidstaten</w:t>
            </w:r>
            <w:r>
              <w:rPr>
                <w:b/>
                <w:i/>
              </w:rPr>
              <w:t>,</w:t>
            </w:r>
            <w:r>
              <w:t xml:space="preserve"> het geregeld uitwisselen van informatie </w:t>
            </w:r>
            <w:r>
              <w:rPr>
                <w:b/>
                <w:i/>
              </w:rPr>
              <w:t>met</w:t>
            </w:r>
            <w:r>
              <w:t xml:space="preserve"> nationale parlementen en het in kaart brengen van mogelijke sectoroverschrijdende overlappingen en lacunes in het EU-rechtskader voor AI van het grootste belang zullen zijn; overwegende dat </w:t>
            </w:r>
            <w:r>
              <w:rPr>
                <w:b/>
                <w:i/>
              </w:rPr>
              <w:t>aan</w:t>
            </w:r>
            <w:r>
              <w:t xml:space="preserve"> het </w:t>
            </w:r>
            <w:r>
              <w:rPr>
                <w:b/>
                <w:i/>
              </w:rPr>
              <w:t>voorgestelde AI-waarnemingscentrum</w:t>
            </w:r>
            <w:r>
              <w:t xml:space="preserve"> van het </w:t>
            </w:r>
            <w:r>
              <w:rPr>
                <w:b/>
                <w:i/>
              </w:rPr>
              <w:t>Europees</w:t>
            </w:r>
            <w:r>
              <w:t xml:space="preserve"> Parlement in </w:t>
            </w:r>
            <w:r>
              <w:rPr>
                <w:b/>
                <w:i/>
              </w:rPr>
              <w:t>dat opzicht</w:t>
            </w:r>
            <w:r>
              <w:t xml:space="preserve"> een </w:t>
            </w:r>
            <w:r>
              <w:rPr>
                <w:b/>
                <w:i/>
              </w:rPr>
              <w:t>centrale rol toekomt</w:t>
            </w:r>
            <w:r>
              <w:t>;</w:t>
            </w:r>
          </w:p>
        </w:tc>
        <w:tc>
          <w:tcPr>
            <w:tcW w:w="4876" w:type="dxa"/>
            <w:tcBorders>
              <w:top w:val="nil"/>
              <w:left w:val="nil"/>
              <w:bottom w:val="nil"/>
              <w:right w:val="nil"/>
            </w:tcBorders>
          </w:tcPr>
          <w:p>
            <w:pPr>
              <w:pStyle w:val="Normal6a"/>
            </w:pPr>
            <w:r>
              <w:t>H.</w:t>
            </w:r>
            <w:r>
              <w:tab/>
            </w:r>
            <w:r>
              <w:t xml:space="preserve">overwegende dat het monitoren van mondiale AI-ontwikkelingen op </w:t>
            </w:r>
            <w:r>
              <w:rPr>
                <w:b/>
                <w:i/>
              </w:rPr>
              <w:t>EU- en lidstaatniveau</w:t>
            </w:r>
            <w:r>
              <w:t xml:space="preserve">, in nauwe samenwerking met het AI-bureau van de Commissie, de Europese raad voor artificiële intelligentie (AI-board) en de nationale bevoegde autoriteiten, het monitoren van ontwikkelingen in de lidstaten </w:t>
            </w:r>
            <w:r>
              <w:rPr>
                <w:b/>
                <w:i/>
              </w:rPr>
              <w:t>en</w:t>
            </w:r>
            <w:r>
              <w:t xml:space="preserve"> het geregeld uitwisselen van informatie </w:t>
            </w:r>
            <w:r>
              <w:rPr>
                <w:b/>
                <w:i/>
              </w:rPr>
              <w:t>tussen het Europees Parlement en</w:t>
            </w:r>
            <w:r>
              <w:t xml:space="preserve"> nationale parlementen en het in kaart brengen van mogelijke sectoroverschrijdende overlappingen en lacunes in het EU-rechtskader voor AI </w:t>
            </w:r>
            <w:r>
              <w:rPr>
                <w:b/>
                <w:i/>
              </w:rPr>
              <w:t>met als doel de samenhang, de rechtszekerheid en een innovatievriendelijke uitvoering in de hele EU te verbeteren,</w:t>
            </w:r>
            <w:r>
              <w:t xml:space="preserve"> van het grootste belang zullen zijn; overwegende dat </w:t>
            </w:r>
            <w:r>
              <w:rPr>
                <w:b/>
                <w:i/>
              </w:rPr>
              <w:t>de inspanningen van het Parlement om zijn interne analytische en governancecapaciteit met betrekking tot AI te vergroten, onder meer door een specifieke administratieve afdeling op te richten, kunnen voortbouwen op de werkzaamheden van de werkgroep voor de AI-verordening en verder een centrale rol kunnen spelen in de institutionele AI-governance van het Parlement met betrekking tot verantwoordingsplicht en de verklaarbaarheid van de gevolgen van de AI-systemen die binnen de instelling worden ingezet;</w:t>
            </w:r>
            <w:r>
              <w:rPr>
                <w:b/>
                <w:i/>
              </w:rPr>
              <w:t xml:space="preserve"> </w:t>
            </w:r>
            <w:r>
              <w:rPr>
                <w:b/>
                <w:i/>
              </w:rPr>
              <w:t>overwegende dat dit ook kan bijdragen tot</w:t>
            </w:r>
            <w:r>
              <w:t xml:space="preserve"> het </w:t>
            </w:r>
            <w:r>
              <w:rPr>
                <w:b/>
                <w:i/>
              </w:rPr>
              <w:t>bereiken van een passend niveau</w:t>
            </w:r>
            <w:r>
              <w:t xml:space="preserve"> van </w:t>
            </w:r>
            <w:r>
              <w:rPr>
                <w:b/>
                <w:i/>
              </w:rPr>
              <w:t>AI-geletterdheid onder</w:t>
            </w:r>
            <w:r>
              <w:t xml:space="preserve"> het </w:t>
            </w:r>
            <w:r>
              <w:rPr>
                <w:b/>
                <w:i/>
              </w:rPr>
              <w:t>personeel van het</w:t>
            </w:r>
            <w:r>
              <w:t xml:space="preserve"> Parlement;</w:t>
            </w:r>
            <w:r>
              <w:rPr>
                <w:b/>
                <w:i/>
              </w:rPr>
              <w:t xml:space="preserve"> </w:t>
            </w:r>
            <w:r>
              <w:rPr>
                <w:b/>
                <w:i/>
              </w:rPr>
              <w:t>overwegende dat deze administratieve afdeling ook moet voortbouwen op de ervaring van het panel voor de toekomst van wetenschap en technologie (STOA), dat</w:t>
            </w:r>
            <w:r>
              <w:t xml:space="preserve"> in </w:t>
            </w:r>
            <w:r>
              <w:rPr>
                <w:b/>
                <w:i/>
              </w:rPr>
              <w:t>1988 als permanent orgaan is opgericht en waarvan AI</w:t>
            </w:r>
            <w:r>
              <w:t xml:space="preserve"> een </w:t>
            </w:r>
            <w:r>
              <w:rPr>
                <w:b/>
                <w:i/>
              </w:rPr>
              <w:t>van de belangrijkste thematische prioriteiten is, alsook van de Onderzoeksdienst van het Europees Parlement (EPRS);</w:t>
            </w:r>
          </w:p>
        </w:tc>
      </w:tr>
    </w:tbl>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H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HA.</w:t>
            </w:r>
            <w:r>
              <w:tab/>
            </w:r>
            <w:r>
              <w:rPr>
                <w:b/>
                <w:i/>
              </w:rPr>
              <w:t>overwegende dat de Commissie interne markt en consumentenbescherming (IMCO) van het Parlement samen met de Commissie burgerlijke vrijheden, justitie en binnenlandse zaken (LIBE) een gezamenlijke IMCO-LIBE-werkgroep voor de uitvoering en handhaving van de AI-verordening (werkgroep AI-verordening) heeft opgericht, die als platform dient om met de Commissie, met name het AI-bureau van de Commissie, en andere relevante belanghebbenden van gedachten te wisselen over de stand van zaken met betrekking tot de uitvoering van de AI-verordening en om de ontwikkelingen op het gebied van AI in bredere zin te monitoren;</w:t>
            </w:r>
          </w:p>
        </w:tc>
      </w:tr>
    </w:tbl>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overwegende dat het voorgestelde AI-waarnemingscentrum van het Europees Parlement kan worden aangemerkt als een EU-orgaan dat kan worden uitgenodigd voor de vergaderingen van de AI-board, overeenkomstig artikel 65, lid 2, van de verordening artificiële intelligentie;</w:t>
            </w:r>
          </w:p>
        </w:tc>
        <w:tc>
          <w:tcPr>
            <w:tcW w:w="4876" w:type="dxa"/>
            <w:tcBorders>
              <w:top w:val="nil"/>
              <w:left w:val="nil"/>
              <w:bottom w:val="nil"/>
              <w:right w:val="nil"/>
            </w:tcBorders>
          </w:tcPr>
          <w:p>
            <w:pPr>
              <w:pStyle w:val="Normal6a"/>
            </w:pPr>
            <w:r>
              <w:rPr>
                <w:b/>
                <w:i/>
              </w:rPr>
              <w:t>Schrappen</w:t>
            </w:r>
          </w:p>
        </w:tc>
      </w:tr>
    </w:tbl>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overwegende dat AI kan helpen bij de parlementaire controle op de uitvoering en toepassing van het EU-recht door informatieasymmetrieën te verminderen en de terugkerende problemen die het Parlement ondervindt bij de toegang tot de betreffende gegevens te beperken, alsook door bij te dragen aan de verbetering van wetgevingsprocessen in de EU;</w:t>
            </w:r>
          </w:p>
        </w:tc>
        <w:tc>
          <w:tcPr>
            <w:tcW w:w="4876" w:type="dxa"/>
            <w:tcBorders>
              <w:top w:val="nil"/>
              <w:left w:val="nil"/>
              <w:bottom w:val="nil"/>
              <w:right w:val="nil"/>
            </w:tcBorders>
          </w:tcPr>
          <w:p>
            <w:pPr>
              <w:pStyle w:val="Normal6a"/>
            </w:pPr>
            <w:r>
              <w:t>J.</w:t>
            </w:r>
            <w:r>
              <w:tab/>
            </w:r>
            <w:r>
              <w:t>overwegende dat AI</w:t>
            </w:r>
            <w:r>
              <w:rPr>
                <w:b/>
                <w:i/>
              </w:rPr>
              <w:t>, onder doeltreffend menselijk toezicht,</w:t>
            </w:r>
            <w:r>
              <w:t xml:space="preserve"> kan helpen bij de parlementaire controle op de uitvoering en toepassing van het EU-recht door informatieasymmetrieën te verminderen en de terugkerende problemen die het Parlement ondervindt bij de toegang tot de betreffende gegevens te beperken, alsook door bij te dragen aan de verbetering van wetgevingsprocessen in de EU</w:t>
            </w:r>
            <w:r>
              <w:rPr>
                <w:b/>
                <w:i/>
              </w:rPr>
              <w:t>, onder meer door deze te stroomlijnen en efficiënter en responsiever te maken;</w:t>
            </w:r>
          </w:p>
        </w:tc>
      </w:tr>
    </w:tbl>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J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JA.</w:t>
            </w:r>
            <w:r>
              <w:tab/>
            </w:r>
            <w:r>
              <w:rPr>
                <w:b/>
                <w:i/>
              </w:rPr>
              <w:t>overwegende dat een verantwoord gebruik van AI-systemen de kwaliteit, toegankelijkheid en efficiëntie van wetgevings- en administratieve processen kan verbeteren door empirisch onderbouwde beleidsvorming te ondersteunen, de analyse van complexe regelgevingskaders te vergemakkelijken en de toegang tot informatie die relevant is voor democratische controle te verbeteren;</w:t>
            </w:r>
          </w:p>
        </w:tc>
      </w:tr>
    </w:tbl>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overwegende dat er gezien de snelle ontwikkeling van AI-technologieën voortdurend analytische capaciteit nodig is om te bepalen wat de institutionele, democratische en juridische gevolgen daarvan zijn voor de werking van de EU; overwegende dat het Parlement daarom zijn interne deskundigheid en monitoringcapaciteit op dit gebied moet versterken;</w:t>
            </w:r>
          </w:p>
        </w:tc>
        <w:tc>
          <w:tcPr>
            <w:tcW w:w="4876" w:type="dxa"/>
            <w:tcBorders>
              <w:top w:val="nil"/>
              <w:left w:val="nil"/>
              <w:bottom w:val="nil"/>
              <w:right w:val="nil"/>
            </w:tcBorders>
          </w:tcPr>
          <w:p>
            <w:pPr>
              <w:pStyle w:val="Normal6a"/>
            </w:pPr>
            <w:r>
              <w:t>K.</w:t>
            </w:r>
            <w:r>
              <w:tab/>
            </w:r>
            <w:r>
              <w:t>overwegende dat er gezien de snelle ontwikkeling van AI-technologieën voortdurend analytische capaciteit nodig is om te bepalen wat de institutionele, democratische en juridische gevolgen daarvan zijn voor de werking van de EU; overwegende dat het Parlement daarom zijn interne deskundigheid en monitoringcapaciteit op dit gebied moet versterken,</w:t>
            </w:r>
            <w:r>
              <w:rPr>
                <w:b/>
                <w:i/>
              </w:rPr>
              <w:t xml:space="preserve"> onder meer door middel van grondige opleiding op het gebied van AI-geletterdheid, en het geïnformeerde, efficiënte en verantwoorde gebruik van AI-technologieën moet ondersteunen;</w:t>
            </w:r>
          </w:p>
        </w:tc>
      </w:tr>
    </w:tbl>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K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KA.</w:t>
            </w:r>
            <w:r>
              <w:tab/>
            </w:r>
            <w:r>
              <w:rPr>
                <w:b/>
                <w:i/>
              </w:rPr>
              <w:t>overwegende dat verschillen in de nationale interpretatie en uitvoering van de wetgeving van de EU in verband met AI versnipperde regelgeving, rechtsonzekerheid en belemmeringen voor de grensoverschrijdende uitrol van AI op de interne markt in de hand kunnen werken, met name voor in verschillende lidstaten actieve kmo’s en start-ups; overwegende dat AI, onder passend menselijk toezicht, de capaciteit van het Parlement voor doeltreffend en empirisch onderbouwd toezicht op de uitvoering en toepassing van het EU-recht kan versterken door informatieasymmetrieën te verminderen, de analyse van relevante informatie te verbeteren en terugkerende moeilijkheden bij de toegang tot de gegevens die nodig zijn voor democratisch toezicht aan te pakken;</w:t>
            </w:r>
          </w:p>
        </w:tc>
      </w:tr>
    </w:tbl>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overwegende dat verkiezingscampagnes en politieke communicatie ingrijpend veranderen door de snelle uitbreiding van AI-technologieën; overwegende dat dergelijke technologieën afbreuk kunnen doen aan de integriteit van verkiezingsprocessen en het vertrouwen in democratische instellingen kunnen ondermijnen, onder meer bij Europese verkiezingen;</w:t>
            </w:r>
          </w:p>
        </w:tc>
        <w:tc>
          <w:tcPr>
            <w:tcW w:w="4876" w:type="dxa"/>
            <w:tcBorders>
              <w:top w:val="nil"/>
              <w:left w:val="nil"/>
              <w:bottom w:val="nil"/>
              <w:right w:val="nil"/>
            </w:tcBorders>
          </w:tcPr>
          <w:p>
            <w:pPr>
              <w:pStyle w:val="Normal6a"/>
            </w:pPr>
            <w:r>
              <w:t>L.</w:t>
            </w:r>
            <w:r>
              <w:tab/>
            </w:r>
            <w:r>
              <w:t>overwegende dat verkiezingscampagnes en politieke communicatie ingrijpend veranderen door de snelle uitbreiding van AI-technologieën,</w:t>
            </w:r>
            <w:r>
              <w:rPr>
                <w:b/>
                <w:i/>
              </w:rPr>
              <w:t xml:space="preserve"> vaak tegen zeer lage kosten;</w:t>
            </w:r>
            <w:r>
              <w:t xml:space="preserve"> overwegende dat dergelijke technologieën afbreuk kunnen doen aan de integriteit van verkiezingsprocessen en het vertrouwen in democratische instellingen kunnen ondermijnen</w:t>
            </w:r>
            <w:r>
              <w:rPr>
                <w:b/>
                <w:i/>
              </w:rPr>
              <w:t>, met name wanneer zij worden uitgebuit door vijandige actoren,</w:t>
            </w:r>
            <w:r>
              <w:t xml:space="preserve"> onder meer bij Europese verkiezingen;</w:t>
            </w:r>
          </w:p>
        </w:tc>
      </w:tr>
    </w:tbl>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M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MA.</w:t>
            </w:r>
            <w:r>
              <w:tab/>
            </w:r>
            <w:r>
              <w:rPr>
                <w:b/>
                <w:i/>
              </w:rPr>
              <w:t>overwegende dat artikel 77 van de AI-verordening voorziet in een sleutelrol voor nationale overheidsinstanties of -organen bij de controle op of de handhaving van de nakoming van de verplichtingen krachtens het EU-recht ter bescherming van de grondrechten, waaronder het recht op non-discriminatie;</w:t>
            </w:r>
          </w:p>
        </w:tc>
      </w:tr>
    </w:tbl>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 bis.</w:t>
            </w:r>
            <w:r>
              <w:tab/>
            </w:r>
            <w:r>
              <w:rPr>
                <w:b/>
                <w:i/>
              </w:rPr>
              <w:t>benadrukt dat de snelle uitrol van geavanceerde AI-systemen geen grijze juridische gebieden mag creëren en de handhaving van de bestaande wetgeving niet mag verzwakken; benadrukt dat technologische innovatie nooit ten koste mag gaan van de rechtsstaat, de openbare veiligheid of de democratische verantwoordingsplicht; dringt erop aan dat de AI-governancestructuren van de EU mechanismen omvatten om gestructureerd overleg met Europese innovatoren mogelijk te maken, en benadrukt dat het bevorderen van AI-innovatie van het grootste belang is, niet alleen om het concurrentievermogen van de EU te versterken, maar ook om haar veiligheid, technologische soevereiniteit en strategische autonomie te waarborgen; verzoekt de Commissie ervoor te zorgen dat de AI-verordening op systematische en transparante wijze wordt uitgevoerd;</w:t>
            </w:r>
          </w:p>
        </w:tc>
      </w:tr>
    </w:tbl>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bevestigt nogmaals dat de aanpak van de EU ten aanzien van AI volledig in overeenstemming moet zijn met de waarden waarin artikel 2 VEU voorziet, waaronder democratie, de rechtsstaat en de grondrechten, en dat </w:t>
            </w:r>
            <w:r>
              <w:rPr>
                <w:b/>
                <w:i/>
              </w:rPr>
              <w:t>bij</w:t>
            </w:r>
            <w:r>
              <w:t xml:space="preserve"> het gebruik van AI door instellingen </w:t>
            </w:r>
            <w:r>
              <w:rPr>
                <w:b/>
                <w:i/>
              </w:rPr>
              <w:t>de mens centraal moet</w:t>
            </w:r>
            <w:r>
              <w:t xml:space="preserve"> blijven staan;</w:t>
            </w:r>
          </w:p>
        </w:tc>
        <w:tc>
          <w:tcPr>
            <w:tcW w:w="4876" w:type="dxa"/>
            <w:tcBorders>
              <w:top w:val="nil"/>
              <w:left w:val="nil"/>
              <w:bottom w:val="nil"/>
              <w:right w:val="nil"/>
            </w:tcBorders>
          </w:tcPr>
          <w:p>
            <w:pPr>
              <w:pStyle w:val="Normal6a"/>
            </w:pPr>
            <w:r>
              <w:t>2.</w:t>
            </w:r>
            <w:r>
              <w:tab/>
            </w:r>
            <w:r>
              <w:t xml:space="preserve">bevestigt nogmaals dat de aanpak van de EU ten aanzien van AI volledig in overeenstemming moet zijn met de waarden waarin artikel 2 VEU voorziet, waaronder democratie, de rechtsstaat en de grondrechten, en dat </w:t>
            </w:r>
            <w:r>
              <w:rPr>
                <w:b/>
                <w:i/>
              </w:rPr>
              <w:t>de uitrol en</w:t>
            </w:r>
            <w:r>
              <w:t xml:space="preserve"> het gebruik van AI door instellingen </w:t>
            </w:r>
            <w:r>
              <w:rPr>
                <w:b/>
                <w:i/>
              </w:rPr>
              <w:t>onder volledig menselijk toezicht moeten</w:t>
            </w:r>
            <w:r>
              <w:t xml:space="preserve"> blijven staan,</w:t>
            </w:r>
            <w:r>
              <w:rPr>
                <w:b/>
                <w:i/>
              </w:rPr>
              <w:t xml:space="preserve"> wat betekent dat een natuurlijke persoon doeltreffend toezicht moet houden op elk AI-instrument terwijl het in gebruik is, zodat het wordt ingezet als middel om het vertrouwen van de burgers in democratische instellingen en het openbaar bestuur te versterken;</w:t>
            </w:r>
          </w:p>
        </w:tc>
      </w:tr>
    </w:tbl>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pleit voor een gestructureerde en </w:t>
            </w:r>
            <w:r>
              <w:rPr>
                <w:b/>
                <w:i/>
              </w:rPr>
              <w:t>regelmatige</w:t>
            </w:r>
            <w:r>
              <w:t xml:space="preserve"> interinstitutionele dialoog tussen het Parlement, de Commissie en de Raad over de institutionele gevolgen van AI;</w:t>
            </w:r>
          </w:p>
        </w:tc>
        <w:tc>
          <w:tcPr>
            <w:tcW w:w="4876" w:type="dxa"/>
            <w:tcBorders>
              <w:top w:val="nil"/>
              <w:left w:val="nil"/>
              <w:bottom w:val="nil"/>
              <w:right w:val="nil"/>
            </w:tcBorders>
          </w:tcPr>
          <w:p>
            <w:pPr>
              <w:pStyle w:val="Normal6a"/>
            </w:pPr>
            <w:r>
              <w:t>4.</w:t>
            </w:r>
            <w:r>
              <w:tab/>
            </w:r>
            <w:r>
              <w:t>pleit voor een gestructureerde,</w:t>
            </w:r>
            <w:r>
              <w:rPr>
                <w:b/>
                <w:i/>
              </w:rPr>
              <w:t xml:space="preserve"> regelmatige</w:t>
            </w:r>
            <w:r>
              <w:t xml:space="preserve"> en </w:t>
            </w:r>
            <w:r>
              <w:rPr>
                <w:b/>
                <w:i/>
              </w:rPr>
              <w:t>transparante</w:t>
            </w:r>
            <w:r>
              <w:t xml:space="preserve"> interinstitutionele dialoog tussen het Parlement, de Commissie en de Raad over de institutionele gevolgen van AI,</w:t>
            </w:r>
            <w:r>
              <w:rPr>
                <w:b/>
                <w:i/>
              </w:rPr>
              <w:t xml:space="preserve"> met inbegrip van regelmatige uitwisselingen over de uitvoering van de AI-wetgeving van de EU, administratieve coördinatie en de gevolgen van AI-systemen voor de samenhang van de interne markt;</w:t>
            </w:r>
          </w:p>
        </w:tc>
      </w:tr>
    </w:tbl>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acht het van belang dat </w:t>
            </w:r>
            <w:r>
              <w:rPr>
                <w:b/>
                <w:i/>
              </w:rPr>
              <w:t>het Parlement</w:t>
            </w:r>
            <w:r>
              <w:t xml:space="preserve"> deelneemt aan besprekingen over mondiale AI-governance,</w:t>
            </w:r>
            <w:r>
              <w:rPr>
                <w:b/>
                <w:i/>
              </w:rPr>
              <w:t xml:space="preserve"> en</w:t>
            </w:r>
            <w:r>
              <w:t xml:space="preserve"> spreekt daarom zijn </w:t>
            </w:r>
            <w:r>
              <w:rPr>
                <w:b/>
                <w:i/>
              </w:rPr>
              <w:t>krachtige</w:t>
            </w:r>
            <w:r>
              <w:t xml:space="preserve"> steun uit voor de betrokkenheid van het Parlement bij multilaterale fora zoals de jaarlijkse VN-top “AI for Good”; acht het voor de democratische rol en de geloofwaardigheid van het Parlement alleen maar goed als het zich wereldwijd inzet voor een duidelijke reeks waarden en ethische beginselen en daarbij volledig rekening houdt met de bevoegdheden van de Commissie op dit gebied en met het beginsel van loyale samenwerking, zoals bepaald in artikel 13, lid 2, VEU;</w:t>
            </w:r>
          </w:p>
        </w:tc>
        <w:tc>
          <w:tcPr>
            <w:tcW w:w="4876" w:type="dxa"/>
            <w:tcBorders>
              <w:top w:val="nil"/>
              <w:left w:val="nil"/>
              <w:bottom w:val="nil"/>
              <w:right w:val="nil"/>
            </w:tcBorders>
          </w:tcPr>
          <w:p>
            <w:pPr>
              <w:pStyle w:val="Normal6a"/>
            </w:pPr>
            <w:r>
              <w:t>6.</w:t>
            </w:r>
            <w:r>
              <w:tab/>
            </w:r>
            <w:r>
              <w:t xml:space="preserve">acht het van belang dat </w:t>
            </w:r>
            <w:r>
              <w:rPr>
                <w:b/>
                <w:i/>
              </w:rPr>
              <w:t>een brede Europese vertegenwoordiging</w:t>
            </w:r>
            <w:r>
              <w:t xml:space="preserve"> deelneemt aan besprekingen over mondiale AI-governance;</w:t>
            </w:r>
            <w:r>
              <w:rPr>
                <w:b/>
                <w:i/>
              </w:rPr>
              <w:t xml:space="preserve"> </w:t>
            </w:r>
            <w:r>
              <w:t>spreekt daarom zijn steun uit voor de betrokkenheid van het Parlement bij multilaterale fora zoals de jaarlijkse VN-top “AI for Good”; acht het voor de democratische rol en de geloofwaardigheid van het Parlement alleen maar goed als het zich wereldwijd inzet voor een duidelijke reeks waarden en ethische beginselen en daarbij volledig rekening houdt met de bevoegdheden van de Commissie op dit gebied en met het beginsel van loyale samenwerking, zoals bepaald in artikel 13, lid 2, VEU;</w:t>
            </w:r>
          </w:p>
        </w:tc>
      </w:tr>
    </w:tbl>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benadrukt dat de deelname van het Parlement aan internationale fora van essentieel belang is gezien het huidige klimaat van grote geopolitieke concurrentie; wijst erop dat </w:t>
            </w:r>
            <w:r>
              <w:rPr>
                <w:b/>
                <w:i/>
              </w:rPr>
              <w:t>bij</w:t>
            </w:r>
            <w:r>
              <w:t xml:space="preserve"> extern gedeelde AI-praktijken en -technologieën </w:t>
            </w:r>
            <w:r>
              <w:rPr>
                <w:b/>
                <w:i/>
              </w:rPr>
              <w:t>moeten worden voldaan aan de toezeggingen van het Parlement</w:t>
            </w:r>
            <w:r>
              <w:t xml:space="preserve"> op het gebied van transparantie, duurzaamheid, </w:t>
            </w:r>
            <w:r>
              <w:rPr>
                <w:b/>
                <w:i/>
              </w:rPr>
              <w:t>gegevensbescherming</w:t>
            </w:r>
            <w:r>
              <w:t xml:space="preserve"> en democratisch toezicht; acht het bovendien van belang dat in plaats van louter technologische excellentie te bevorderen, systeemrisico’s in verband met AI worden aangepakt, waaronder </w:t>
            </w:r>
            <w:r>
              <w:rPr>
                <w:b/>
                <w:i/>
              </w:rPr>
              <w:t>de verspreiding</w:t>
            </w:r>
            <w:r>
              <w:t xml:space="preserve"> van </w:t>
            </w:r>
            <w:r>
              <w:rPr>
                <w:b/>
                <w:i/>
              </w:rPr>
              <w:t>zogenaamde hallucinaties</w:t>
            </w:r>
            <w:r>
              <w:t xml:space="preserve">, die de nauwkeurigheid en betrouwbaarheid van </w:t>
            </w:r>
            <w:r>
              <w:rPr>
                <w:b/>
                <w:i/>
              </w:rPr>
              <w:t>informatie kunnen</w:t>
            </w:r>
            <w:r>
              <w:t xml:space="preserve"> ondermijnen, en dat er ook wordt gekeken naar de potentiële sociaal-economische gevolgen van AI, met name als het gaat om het afstoten van werkgelegenheid;</w:t>
            </w:r>
          </w:p>
        </w:tc>
        <w:tc>
          <w:tcPr>
            <w:tcW w:w="4876" w:type="dxa"/>
            <w:tcBorders>
              <w:top w:val="nil"/>
              <w:left w:val="nil"/>
              <w:bottom w:val="nil"/>
              <w:right w:val="nil"/>
            </w:tcBorders>
          </w:tcPr>
          <w:p>
            <w:pPr>
              <w:pStyle w:val="Normal6a"/>
            </w:pPr>
            <w:r>
              <w:t>7.</w:t>
            </w:r>
            <w:r>
              <w:tab/>
            </w:r>
            <w:r>
              <w:t xml:space="preserve">benadrukt dat de deelname van het Parlement aan internationale fora van essentieel belang is gezien het huidige klimaat van grote geopolitieke concurrentie; wijst erop dat extern gedeelde AI-praktijken en -technologieën </w:t>
            </w:r>
            <w:r>
              <w:rPr>
                <w:b/>
                <w:i/>
              </w:rPr>
              <w:t>innovatie en het concurrentievermogen moeten ondersteunen en moeten voldoen aan strikte normen</w:t>
            </w:r>
            <w:r>
              <w:t xml:space="preserve"> op het gebied van transparantie, duurzaamheid, </w:t>
            </w:r>
            <w:r>
              <w:rPr>
                <w:b/>
                <w:i/>
              </w:rPr>
              <w:t>privacy en de bescherming van persoonsgegevens,</w:t>
            </w:r>
            <w:r>
              <w:t xml:space="preserve"> en </w:t>
            </w:r>
            <w:r>
              <w:rPr>
                <w:b/>
                <w:i/>
              </w:rPr>
              <w:t>cyberbeveiliging, alsook</w:t>
            </w:r>
            <w:r>
              <w:t xml:space="preserve"> democratisch toezicht; acht het bovendien van belang dat in plaats van louter technologische excellentie te bevorderen, </w:t>
            </w:r>
            <w:r>
              <w:rPr>
                <w:b/>
                <w:i/>
              </w:rPr>
              <w:t>betrouwbare en mensgerichte AI wordt bevorderd en tegelijkertijd de</w:t>
            </w:r>
            <w:r>
              <w:t xml:space="preserve"> systeemrisico’s in verband met AI worden aangepakt, waaronder </w:t>
            </w:r>
            <w:r>
              <w:rPr>
                <w:b/>
                <w:i/>
              </w:rPr>
              <w:t>zogenaamde hallucinaties en risico’s</w:t>
            </w:r>
            <w:r>
              <w:t xml:space="preserve"> van </w:t>
            </w:r>
            <w:r>
              <w:rPr>
                <w:b/>
                <w:i/>
              </w:rPr>
              <w:t>AI-vergiftiging of grooming door large language models</w:t>
            </w:r>
            <w:r>
              <w:t xml:space="preserve">, die de nauwkeurigheid en betrouwbaarheid van </w:t>
            </w:r>
            <w:r>
              <w:rPr>
                <w:b/>
                <w:i/>
              </w:rPr>
              <w:t>de output ervan</w:t>
            </w:r>
            <w:r>
              <w:t xml:space="preserve"> ondermijnen, en dat er ook wordt gekeken naar de potentiële sociaal-economische gevolgen van AI, met name als het gaat om het afstoten van werkgelegenheid;</w:t>
            </w:r>
          </w:p>
        </w:tc>
      </w:tr>
    </w:tbl>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7 bis.</w:t>
            </w:r>
            <w:r>
              <w:tab/>
            </w:r>
            <w:r>
              <w:rPr>
                <w:b/>
                <w:i/>
              </w:rPr>
              <w:t>neemt met bezorgdheid kennis van de toenemende afhankelijkheid van niet-Europese grensverleggende AI-systemen, het gebrek aan gecoördineerde toegang tot dergelijke systemen voor veiligheidsevaluatie en de daaruit voortvloeiende capaciteitskloof op het gebied van AI-gestuurde cyberdefensie, wat aanleiding geeft tot bezorgdheid over strategische afhankelijkheden en asymmetrische toegang tot kritieke AI-infrastructuur; waarschuwt dat geavanceerde grensverleggende AI-modellen volgens veiligheidsfunctionarissen hun gedrag dynamisch kunnen aanpassen, wat betekent dat zij kunnen worden gebruikt voor de geautomatiseerde ontdekking en uitbuiting van kwetsbaarheden, waardoor de belemmeringen voor geavanceerde cyberaanvallen aanzienlijk worden verlaagd, kwaadwillige operaties snel kunnen worden opgeschaald en de omvang en snelheid van cyberrisico’s fundamenteel worden veranderd; dringt aan op strenger toezicht en robuuste paraatheid, met inbegrip van regelmatige stresstests en op scenario’s gebaseerde oefeningen, om op AI gebaseerde cyberaanvallen tegen te gaan en strategische afhankelijkheden van niet-Europese infrastructuur, clouddiensten en basismodellen aan te pakken; benadrukt dat de EU bij de ontwikkeling en uitrol van geavanceerde AI-systemen een alomvattende agenda voor technologische soevereiniteit moet nastreven;</w:t>
            </w:r>
          </w:p>
        </w:tc>
      </w:tr>
    </w:tbl>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onderstreept dat AI </w:t>
            </w:r>
            <w:r>
              <w:rPr>
                <w:b/>
                <w:i/>
              </w:rPr>
              <w:t>vanwege haar omvang, snelheid en grensoverschrijdende gevolgen een systemische mondiale uitdaging vormt</w:t>
            </w:r>
            <w:r>
              <w:t xml:space="preserve"> en </w:t>
            </w:r>
            <w:r>
              <w:rPr>
                <w:b/>
                <w:i/>
              </w:rPr>
              <w:t>dat een verantwoorde governance tijdige onderhandelingen</w:t>
            </w:r>
            <w:r>
              <w:t xml:space="preserve"> en de </w:t>
            </w:r>
            <w:r>
              <w:rPr>
                <w:b/>
                <w:i/>
              </w:rPr>
              <w:t>vaststelling van een speciaal internationaal verdrag of een AI-verdrag op mondiaal niveau vereist, net zoals dat bij eerdere transformatieve technologieën, bijvoorbeeld bij kernenergie in het midden van de 20e eeuw, het geval was;</w:t>
            </w:r>
          </w:p>
        </w:tc>
        <w:tc>
          <w:tcPr>
            <w:tcW w:w="4876" w:type="dxa"/>
            <w:tcBorders>
              <w:top w:val="nil"/>
              <w:left w:val="nil"/>
              <w:bottom w:val="nil"/>
              <w:right w:val="nil"/>
            </w:tcBorders>
          </w:tcPr>
          <w:p>
            <w:pPr>
              <w:pStyle w:val="Normal6a"/>
            </w:pPr>
            <w:r>
              <w:t>8.</w:t>
            </w:r>
            <w:r>
              <w:tab/>
            </w:r>
            <w:r>
              <w:t xml:space="preserve">onderstreept dat AI </w:t>
            </w:r>
            <w:r>
              <w:rPr>
                <w:b/>
                <w:i/>
              </w:rPr>
              <w:t>het potentieel biedt om de economische groei aanzienlijk te stimuleren, de productiviteit te verhogen</w:t>
            </w:r>
            <w:r>
              <w:t xml:space="preserve"> en </w:t>
            </w:r>
            <w:r>
              <w:rPr>
                <w:b/>
                <w:i/>
              </w:rPr>
              <w:t>verschillende industrieën te transformeren door taken te automatiseren</w:t>
            </w:r>
            <w:r>
              <w:t xml:space="preserve"> en de </w:t>
            </w:r>
            <w:r>
              <w:rPr>
                <w:b/>
                <w:i/>
              </w:rPr>
              <w:t>besluitvorming te verbeteren;</w:t>
            </w:r>
            <w:r>
              <w:rPr>
                <w:b/>
                <w:i/>
              </w:rPr>
              <w:t xml:space="preserve"> </w:t>
            </w:r>
            <w:r>
              <w:rPr>
                <w:b/>
                <w:i/>
              </w:rPr>
              <w:t>benadrukt echter dat het vanwege de omvang, de snelheid van de uitrol en de grensoverschrijdende impact ervan ook een transformatieve mondiale technologie met verstrekkende gevolgen is, die verantwoorde governance noodzakelijk maakt;</w:t>
            </w:r>
          </w:p>
        </w:tc>
      </w:tr>
    </w:tbl>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neemt kennis van</w:t>
            </w:r>
            <w:r>
              <w:t xml:space="preserve"> het Kaderverdrag van de Raad van Europa over </w:t>
            </w:r>
            <w:r>
              <w:rPr>
                <w:b/>
                <w:i/>
              </w:rPr>
              <w:t>artificiële intelligentie</w:t>
            </w:r>
            <w:r>
              <w:t xml:space="preserve">; is van mening dat, gezien het mondiale systemische karakter van AI-technologieën, </w:t>
            </w:r>
            <w:r>
              <w:rPr>
                <w:b/>
                <w:i/>
              </w:rPr>
              <w:t>verder</w:t>
            </w:r>
            <w:r>
              <w:t xml:space="preserve"> moet worden nagedacht over de </w:t>
            </w:r>
            <w:r>
              <w:rPr>
                <w:b/>
                <w:i/>
              </w:rPr>
              <w:t>vaststelling</w:t>
            </w:r>
            <w:r>
              <w:t xml:space="preserve"> van </w:t>
            </w:r>
            <w:r>
              <w:rPr>
                <w:b/>
                <w:i/>
              </w:rPr>
              <w:t>een mondiaal multilateraal kader of verdrag dat gericht is</w:t>
            </w:r>
            <w:r>
              <w:t xml:space="preserve"> op </w:t>
            </w:r>
            <w:r>
              <w:rPr>
                <w:b/>
                <w:i/>
              </w:rPr>
              <w:t>het voorkomen</w:t>
            </w:r>
            <w:r>
              <w:t xml:space="preserve"> van </w:t>
            </w:r>
            <w:r>
              <w:rPr>
                <w:b/>
                <w:i/>
              </w:rPr>
              <w:t>systeemrisico’s en het waarborgen</w:t>
            </w:r>
            <w:r>
              <w:t xml:space="preserve"> van </w:t>
            </w:r>
            <w:r>
              <w:rPr>
                <w:b/>
                <w:i/>
              </w:rPr>
              <w:t>democratische verantwoordingsplicht</w:t>
            </w:r>
            <w:r>
              <w:t xml:space="preserve"> op mondiaal niveau;</w:t>
            </w:r>
          </w:p>
        </w:tc>
        <w:tc>
          <w:tcPr>
            <w:tcW w:w="4876" w:type="dxa"/>
            <w:tcBorders>
              <w:top w:val="nil"/>
              <w:left w:val="nil"/>
              <w:bottom w:val="nil"/>
              <w:right w:val="nil"/>
            </w:tcBorders>
          </w:tcPr>
          <w:p>
            <w:pPr>
              <w:pStyle w:val="Normal6a"/>
            </w:pPr>
            <w:r>
              <w:t>9.</w:t>
            </w:r>
            <w:r>
              <w:tab/>
            </w:r>
            <w:r>
              <w:rPr>
                <w:b/>
                <w:i/>
              </w:rPr>
              <w:t xml:space="preserve">wijst op het Kaderverdrag van de Raad van Europa over AI, waarbij een mondiaal basisniveau voor AI-governance is vastgesteld; </w:t>
            </w:r>
            <w:r>
              <w:rPr>
                <w:b/>
                <w:i/>
              </w:rPr>
              <w:t>benadrukt dat de AI-verordening en andere relevante EU-wetgeving reeds voorzien in een hoger, gedetailleerder niveau van bescherming en harmonisatie binnen de interne markt;</w:t>
            </w:r>
            <w:r>
              <w:rPr>
                <w:b/>
                <w:i/>
              </w:rPr>
              <w:t xml:space="preserve"> </w:t>
            </w:r>
            <w:r>
              <w:rPr>
                <w:b/>
                <w:i/>
              </w:rPr>
              <w:t>verzoekt landen overal ter wereld zich bij het Kaderverdrag aan te sluiten en de wereldwijde ontwikkeling van mensgerichte en betrouwbare AI te bevorderen;</w:t>
            </w:r>
            <w:r>
              <w:t xml:space="preserve"> is van mening dat, gezien het mondiale systemische karakter van AI-technologieën, </w:t>
            </w:r>
            <w:r>
              <w:rPr>
                <w:b/>
                <w:i/>
              </w:rPr>
              <w:t>regelmatig</w:t>
            </w:r>
            <w:r>
              <w:t xml:space="preserve"> moet worden nagedacht over </w:t>
            </w:r>
            <w:r>
              <w:rPr>
                <w:b/>
                <w:i/>
              </w:rPr>
              <w:t>het bevorderen van internationale samenwerking en doeltreffende, innovatievriendelijke governance, waarbij</w:t>
            </w:r>
            <w:r>
              <w:t xml:space="preserve"> de </w:t>
            </w:r>
            <w:r>
              <w:rPr>
                <w:b/>
                <w:i/>
              </w:rPr>
              <w:t>eerbiediging</w:t>
            </w:r>
            <w:r>
              <w:t xml:space="preserve"> van </w:t>
            </w:r>
            <w:r>
              <w:rPr>
                <w:b/>
                <w:i/>
              </w:rPr>
              <w:t>bestaande rechtskaders moet worden gewaarborgd, systeemrisico’s moeten worden voorkomen en de democratische verantwoordingsplicht</w:t>
            </w:r>
            <w:r>
              <w:t xml:space="preserve"> op </w:t>
            </w:r>
            <w:r>
              <w:rPr>
                <w:b/>
                <w:i/>
              </w:rPr>
              <w:t>mondiaal niveau moet worden versterkt;</w:t>
            </w:r>
            <w:r>
              <w:rPr>
                <w:b/>
                <w:i/>
              </w:rPr>
              <w:t xml:space="preserve"> is van mening dat de deelname van de EU aan internationale verdragen moet dienen om haar visie op AI, haar regelgevingsaanpak en haar concurrentievermogen op mondiaal niveau te bevorderen;</w:t>
            </w:r>
          </w:p>
        </w:tc>
      </w:tr>
    </w:tbl>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wijst er nogmaals op dat het Parlement overeenkomstig de artikelen 10, 13 en 14 VEU democratische controle uitoefent op de werking van de EU en haar instellingen; benadrukt dat gezien de toenemende uitrol van AI-systemen binnen overheidsdiensten en EU-instellingen de analysecapaciteit van het Parlement </w:t>
            </w:r>
            <w:r>
              <w:rPr>
                <w:b/>
                <w:i/>
              </w:rPr>
              <w:t>moet</w:t>
            </w:r>
            <w:r>
              <w:t xml:space="preserve"> worden versterkt om transparantie, democratische verantwoordingsplicht en doeltreffend toezicht in overeenstemming met de Verdragen te waarborgen;</w:t>
            </w:r>
          </w:p>
        </w:tc>
        <w:tc>
          <w:tcPr>
            <w:tcW w:w="4876" w:type="dxa"/>
            <w:tcBorders>
              <w:top w:val="nil"/>
              <w:left w:val="nil"/>
              <w:bottom w:val="nil"/>
              <w:right w:val="nil"/>
            </w:tcBorders>
          </w:tcPr>
          <w:p>
            <w:pPr>
              <w:pStyle w:val="Normal6a"/>
            </w:pPr>
            <w:r>
              <w:t>10.</w:t>
            </w:r>
            <w:r>
              <w:tab/>
            </w:r>
            <w:r>
              <w:t xml:space="preserve">wijst er nogmaals op dat het Parlement overeenkomstig de artikelen 10, 13 en 14 VEU democratische controle uitoefent op de werking van de EU en haar instellingen; benadrukt dat gezien de toenemende uitrol van AI-systemen binnen overheidsdiensten en EU-instellingen de analysecapaciteit </w:t>
            </w:r>
            <w:r>
              <w:rPr>
                <w:b/>
                <w:i/>
              </w:rPr>
              <w:t>en de AI-geletterdheid</w:t>
            </w:r>
            <w:r>
              <w:t xml:space="preserve"> van het Parlement </w:t>
            </w:r>
            <w:r>
              <w:rPr>
                <w:b/>
                <w:i/>
              </w:rPr>
              <w:t>moeten</w:t>
            </w:r>
            <w:r>
              <w:t xml:space="preserve"> worden versterkt om transparantie, democratische verantwoordingsplicht en doeltreffend toezicht in overeenstemming met de Verdragen te waarborgen;</w:t>
            </w:r>
          </w:p>
        </w:tc>
      </w:tr>
    </w:tbl>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pleit voor</w:t>
            </w:r>
            <w:r>
              <w:t xml:space="preserve"> de </w:t>
            </w:r>
            <w:r>
              <w:rPr>
                <w:b/>
                <w:i/>
              </w:rPr>
              <w:t>oprichting</w:t>
            </w:r>
            <w:r>
              <w:t xml:space="preserve"> van een </w:t>
            </w:r>
            <w:r>
              <w:rPr>
                <w:b/>
                <w:i/>
              </w:rPr>
              <w:t>AI-waarnemingscentrum in het Europees Parlement, in de vorm van</w:t>
            </w:r>
            <w:r>
              <w:t xml:space="preserve"> een </w:t>
            </w:r>
            <w:r>
              <w:rPr>
                <w:b/>
                <w:i/>
              </w:rPr>
              <w:t>permanente analytische structuur binnen de administratie</w:t>
            </w:r>
            <w:r>
              <w:t xml:space="preserve"> van </w:t>
            </w:r>
            <w:r>
              <w:rPr>
                <w:b/>
                <w:i/>
              </w:rPr>
              <w:t>het Parlement</w:t>
            </w:r>
            <w:r>
              <w:t xml:space="preserve">, </w:t>
            </w:r>
            <w:r>
              <w:rPr>
                <w:b/>
                <w:i/>
              </w:rPr>
              <w:t>die</w:t>
            </w:r>
            <w:r>
              <w:t xml:space="preserve"> als dienst binnen alle parlementaire commissies </w:t>
            </w:r>
            <w:r>
              <w:rPr>
                <w:b/>
                <w:i/>
              </w:rPr>
              <w:t>fungeert</w:t>
            </w:r>
            <w:r>
              <w:t xml:space="preserve"> en de commissies ondersteunt bij aangelegenheden die verband houden met AI en AI-governance, het institutionele evenwicht en het democratisch toezicht; benadrukt dat </w:t>
            </w:r>
            <w:r>
              <w:rPr>
                <w:b/>
                <w:i/>
              </w:rPr>
              <w:t>door te putten uit bestaande deskundigheid</w:t>
            </w:r>
            <w:r>
              <w:t xml:space="preserve"> en </w:t>
            </w:r>
            <w:r>
              <w:rPr>
                <w:b/>
                <w:i/>
              </w:rPr>
              <w:t>diensten de oprichting van een dergelijke structuur op begrotingsneutrale wijze kan plaatsvinden binnen de administratieve structuren</w:t>
            </w:r>
            <w:r>
              <w:t xml:space="preserve"> van het Parlement;</w:t>
            </w:r>
          </w:p>
        </w:tc>
        <w:tc>
          <w:tcPr>
            <w:tcW w:w="4876" w:type="dxa"/>
            <w:tcBorders>
              <w:top w:val="nil"/>
              <w:left w:val="nil"/>
              <w:bottom w:val="nil"/>
              <w:right w:val="nil"/>
            </w:tcBorders>
          </w:tcPr>
          <w:p>
            <w:pPr>
              <w:pStyle w:val="Normal6a"/>
            </w:pPr>
            <w:r>
              <w:t>11.</w:t>
            </w:r>
            <w:r>
              <w:tab/>
            </w:r>
            <w:r>
              <w:rPr>
                <w:b/>
                <w:i/>
              </w:rPr>
              <w:t>beveelt aan</w:t>
            </w:r>
            <w:r>
              <w:t xml:space="preserve"> de </w:t>
            </w:r>
            <w:r>
              <w:rPr>
                <w:b/>
                <w:i/>
              </w:rPr>
              <w:t>interne analytische en governancecapaciteit</w:t>
            </w:r>
            <w:r>
              <w:t xml:space="preserve"> van </w:t>
            </w:r>
            <w:r>
              <w:rPr>
                <w:b/>
                <w:i/>
              </w:rPr>
              <w:t>het Parlement binnen zijn administratie die specifiek verband houdt met AI te versterken met</w:t>
            </w:r>
            <w:r>
              <w:t xml:space="preserve"> een </w:t>
            </w:r>
            <w:r>
              <w:rPr>
                <w:b/>
                <w:i/>
              </w:rPr>
              <w:t>specifieke administratieve afdeling;</w:t>
            </w:r>
            <w:r>
              <w:rPr>
                <w:b/>
                <w:i/>
              </w:rPr>
              <w:t xml:space="preserve"> </w:t>
            </w:r>
            <w:r>
              <w:rPr>
                <w:b/>
                <w:i/>
              </w:rPr>
              <w:t>benadrukt dat de afdeling moet voortbouwen en</w:t>
            </w:r>
            <w:r>
              <w:t xml:space="preserve"> een </w:t>
            </w:r>
            <w:r>
              <w:rPr>
                <w:b/>
                <w:i/>
              </w:rPr>
              <w:t>aanvulling moet vormen op bestaande deskundigheid en diensten, waaronder die</w:t>
            </w:r>
            <w:r>
              <w:t xml:space="preserve"> van </w:t>
            </w:r>
            <w:r>
              <w:rPr>
                <w:b/>
                <w:i/>
              </w:rPr>
              <w:t>de EPRS en STOA</w:t>
            </w:r>
            <w:r>
              <w:t xml:space="preserve">, </w:t>
            </w:r>
            <w:r>
              <w:rPr>
                <w:b/>
                <w:i/>
              </w:rPr>
              <w:t>zodat zij begrotingsneutraal kan worden georganiseerd, en dat zij</w:t>
            </w:r>
            <w:r>
              <w:t xml:space="preserve"> als dienst binnen alle parlementaire commissies </w:t>
            </w:r>
            <w:r>
              <w:rPr>
                <w:b/>
                <w:i/>
              </w:rPr>
              <w:t>moet fungeren</w:t>
            </w:r>
            <w:r>
              <w:t xml:space="preserve"> en de commissies ondersteunt bij aangelegenheden die verband houden met AI en AI-governance, het institutionele evenwicht en het democratisch toezicht</w:t>
            </w:r>
            <w:r>
              <w:rPr>
                <w:b/>
                <w:i/>
              </w:rPr>
              <w:t>, en bij de versterking van AI-geletterdheid en de technische deskundigheid;</w:t>
            </w:r>
            <w:r>
              <w:t xml:space="preserve"> benadrukt </w:t>
            </w:r>
            <w:r>
              <w:rPr>
                <w:b/>
                <w:i/>
              </w:rPr>
              <w:t>voorts</w:t>
            </w:r>
            <w:r>
              <w:t xml:space="preserve"> dat </w:t>
            </w:r>
            <w:r>
              <w:rPr>
                <w:b/>
                <w:i/>
              </w:rPr>
              <w:t>de afdeling een duidelijke analytische en governancestructuur moet hebben om haar prioriteiten te sturen</w:t>
            </w:r>
            <w:r>
              <w:t xml:space="preserve"> en </w:t>
            </w:r>
            <w:r>
              <w:rPr>
                <w:b/>
                <w:i/>
              </w:rPr>
              <w:t>te zorgen voor horizontale capaciteitsopbouw en relevantie voor alle commissies;</w:t>
            </w:r>
            <w:r>
              <w:rPr>
                <w:b/>
                <w:i/>
              </w:rPr>
              <w:t xml:space="preserve"> </w:t>
            </w:r>
            <w:r>
              <w:rPr>
                <w:b/>
                <w:i/>
              </w:rPr>
              <w:t>stelt voor om de afdeling het AI-waarnemingscentrum</w:t>
            </w:r>
            <w:r>
              <w:t xml:space="preserve"> van het </w:t>
            </w:r>
            <w:r>
              <w:rPr>
                <w:b/>
                <w:i/>
              </w:rPr>
              <w:t>Europees</w:t>
            </w:r>
            <w:r>
              <w:t xml:space="preserve"> Parlement </w:t>
            </w:r>
            <w:r>
              <w:rPr>
                <w:b/>
                <w:i/>
              </w:rPr>
              <w:t>te noemen;</w:t>
            </w:r>
          </w:p>
        </w:tc>
      </w:tr>
    </w:tbl>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11 bis.</w:t>
            </w:r>
            <w:r>
              <w:tab/>
            </w:r>
            <w:r>
              <w:rPr>
                <w:b/>
                <w:i/>
              </w:rPr>
              <w:t>herinnert aan de bestaande analytische werkzaamheden die binnen het Parlement zijn verricht, onder meer door de werkgroep voor de AI-verordening, die werd opgezet om de uitvoering en handhaving van de AI-verordening te monitoren en te controleren, bij te dragen tot het in kaart brengen van sectoroverschrijdende lacunes, overlappingen en inconsistenties in het bredere rechtskader van de EU voor AI, en nieuwe AI-gerelateerde ontwikkelingen en uitdagingen te monitoren;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(Verplaatst van punt 15)</w:t>
            </w:r>
          </w:p>
        </w:tc>
      </w:tr>
    </w:tbl>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benadrukt dat het versterken van de interne analytische en governancecapaciteit van het Parlement verder zou kunnen bijdragen tot de monitoring van institutionele AI-governance, de verantwoordingsplicht en verklaarbaarheid en van de gevolgen van AI-systemen die binnen de instelling worden ingezet, alsook tot het bereiken van een passend niveau van AI-geletterdheid onder zijn personeel, en de follow-up van het Parlement van de desbetreffende conclusies van de Raad zou kunnen ondersteunen;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(Verplaatst van lid 16)</w:t>
            </w:r>
          </w:p>
        </w:tc>
      </w:tr>
    </w:tbl>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wijst erop dat </w:t>
            </w:r>
            <w:r>
              <w:rPr>
                <w:b/>
                <w:i/>
              </w:rPr>
              <w:t>er</w:t>
            </w:r>
            <w:r>
              <w:t xml:space="preserve"> vanwege de verdere uitrol van AI-systemen bij overheidsdiensten en EU-instellingen belangrijke vragen rijzen in verband met transparantie, democratische verantwoordingsplicht en de juiste administratieve procedures; is van mening dat het Parlement intern over voldoende analytische capaciteit moet blijven beschikken om dergelijke ontwikkelingen onafhankelijk te beoordelen en zo zijn institutionele prerogatieven en toezichtsfuncties te waarborgen en zijn eigen institutioneel geheugen op dit vlak op te bouwen;</w:t>
            </w:r>
          </w:p>
        </w:tc>
        <w:tc>
          <w:tcPr>
            <w:tcW w:w="4876" w:type="dxa"/>
            <w:tcBorders>
              <w:top w:val="nil"/>
              <w:left w:val="nil"/>
              <w:bottom w:val="nil"/>
              <w:right w:val="nil"/>
            </w:tcBorders>
          </w:tcPr>
          <w:p>
            <w:pPr>
              <w:pStyle w:val="Normal6a"/>
            </w:pPr>
            <w:r>
              <w:t>12.</w:t>
            </w:r>
            <w:r>
              <w:tab/>
            </w:r>
            <w:r>
              <w:t xml:space="preserve">wijst erop dat vanwege de verdere uitrol van AI-systemen bij overheidsdiensten en EU-instellingen </w:t>
            </w:r>
            <w:r>
              <w:rPr>
                <w:b/>
                <w:i/>
              </w:rPr>
              <w:t>interne processen efficiënter zijn geworden, maar ook dat er</w:t>
            </w:r>
            <w:r>
              <w:t xml:space="preserve"> belangrijke vragen rijzen in verband met transparantie, democratische verantwoordingsplicht,</w:t>
            </w:r>
            <w:r>
              <w:rPr>
                <w:b/>
                <w:i/>
              </w:rPr>
              <w:t xml:space="preserve"> de beveiliging van systemen</w:t>
            </w:r>
            <w:r>
              <w:t xml:space="preserve"> en de juiste administratieve procedures; is van mening dat het Parlement intern over voldoende analytische capaciteit moet blijven beschikken om dergelijke ontwikkelingen onafhankelijk te beoordelen en zo zijn institutionele prerogatieven en toezichtsfuncties te waarborgen en zijn eigen institutioneel geheugen op dit vlak op te bouwen,</w:t>
            </w:r>
            <w:r>
              <w:rPr>
                <w:b/>
                <w:i/>
              </w:rPr>
              <w:t xml:space="preserve"> waar mogelijk met gebruikmaking van bestaande parlementaire diensten en deskundigheid, en om volledige controle te houden over zijn cyberbeveiliging en de beveiliging van alle infrastructuur en systemen;</w:t>
            </w:r>
            <w:r>
              <w:rPr>
                <w:b/>
                <w:i/>
              </w:rPr>
              <w:t xml:space="preserve"> benadrukt dat deze inspanning moet worden aangevuld met grondige opleidingsprogramma’s op het gebied van AI-geletterdheid; </w:t>
            </w:r>
            <w:r>
              <w:rPr>
                <w:b/>
                <w:i/>
              </w:rPr>
              <w:t>pleit voorts voor regelmatige beoordelingen van de effecten van de uitrol van AI op de grondrechten en de privacy;</w:t>
            </w:r>
          </w:p>
        </w:tc>
      </w:tr>
    </w:tbl>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12 bis.</w:t>
            </w:r>
            <w:r>
              <w:tab/>
            </w:r>
            <w:r>
              <w:rPr>
                <w:b/>
                <w:i/>
              </w:rPr>
              <w:t>wijst op het potentieel van AI om de controle- en toezichtscapaciteit van het Parlement te versterken door de toegang tot relevante informatie te vergemakkelijken, de analyse van complexe ontwikkelingen op wet- en regelgevingsgebied te verbeteren en het toezicht op de uitvoering en handhaving van het Unierecht te ondersteunen; onderstreept dat verantwoord AI-gebruik zou kunnen bijdragen tot het verminderen van informatieasymmetrieën, het vergroten van de samenhang van de wetgeving en het verbeteren van de kwaliteit, efficiëntie en voorspelbaarheid van de besluitvormingsprocessen van de EU, met volledige inachtneming van de democratische verantwoordingsplicht, transparantie en betekenisvol menselijk toezicht;</w:t>
            </w:r>
          </w:p>
        </w:tc>
      </w:tr>
    </w:tbl>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dringt erop aan dat AI-instrumenten worden ingezet om de monitoring en uitvoering van reeds vastgestelde EU-wetgeving te ondersteunen, </w:t>
            </w:r>
            <w:r>
              <w:rPr>
                <w:b/>
                <w:i/>
              </w:rPr>
              <w:t>met name</w:t>
            </w:r>
            <w:r>
              <w:t xml:space="preserve"> door nationale en regionale rechtshandelingen in kaart te brengen die moeten worden aangepast, en door mogelijke inconsistenties, overlappingen of risico’s van juridische versnippering op te sporen en zo de juridische samenhang tussen bestuursniveaus te vergroten, lacunes in de uitvoering in de lidstaten </w:t>
            </w:r>
            <w:r>
              <w:rPr>
                <w:b/>
                <w:i/>
              </w:rPr>
              <w:t>aan</w:t>
            </w:r>
            <w:r>
              <w:t xml:space="preserve"> te </w:t>
            </w:r>
            <w:r>
              <w:rPr>
                <w:b/>
                <w:i/>
              </w:rPr>
              <w:t>pakken</w:t>
            </w:r>
            <w:r>
              <w:t xml:space="preserve"> en de doeltreffendheid en voorspelbaarheid van het EU-recht te verbeteren; onderstreept in dit verband het belang van </w:t>
            </w:r>
            <w:r>
              <w:rPr>
                <w:b/>
                <w:i/>
              </w:rPr>
              <w:t>een mensgerichte aanpak</w:t>
            </w:r>
            <w:r>
              <w:t xml:space="preserve"> bij de inzet van dergelijke instrumenten;</w:t>
            </w:r>
          </w:p>
        </w:tc>
        <w:tc>
          <w:tcPr>
            <w:tcW w:w="4876" w:type="dxa"/>
            <w:tcBorders>
              <w:top w:val="nil"/>
              <w:left w:val="nil"/>
              <w:bottom w:val="nil"/>
              <w:right w:val="nil"/>
            </w:tcBorders>
          </w:tcPr>
          <w:p>
            <w:pPr>
              <w:pStyle w:val="Normal6a"/>
            </w:pPr>
            <w:r>
              <w:t>13.</w:t>
            </w:r>
            <w:r>
              <w:tab/>
            </w:r>
            <w:r>
              <w:t xml:space="preserve">dringt erop aan dat AI-instrumenten worden ingezet om de monitoring en uitvoering van reeds vastgestelde EU-wetgeving te ondersteunen, door nationale en regionale rechtshandelingen in kaart te </w:t>
            </w:r>
            <w:r>
              <w:rPr>
                <w:b/>
                <w:i/>
              </w:rPr>
              <w:t>helpen</w:t>
            </w:r>
            <w:r>
              <w:t xml:space="preserve"> brengen die moeten worden aangepast, en door mogelijke inconsistenties, overlappingen of risico’s van juridische versnippering op te sporen en zo de juridische samenhang tussen bestuursniveaus te vergroten </w:t>
            </w:r>
            <w:r>
              <w:rPr>
                <w:b/>
                <w:i/>
              </w:rPr>
              <w:t>en de kosten daarvan te verlagen,</w:t>
            </w:r>
            <w:r>
              <w:t xml:space="preserve"> lacunes in de uitvoering in de lidstaten </w:t>
            </w:r>
            <w:r>
              <w:rPr>
                <w:b/>
                <w:i/>
              </w:rPr>
              <w:t>helpen vast</w:t>
            </w:r>
            <w:r>
              <w:t xml:space="preserve"> te </w:t>
            </w:r>
            <w:r>
              <w:rPr>
                <w:b/>
                <w:i/>
              </w:rPr>
              <w:t>stellen</w:t>
            </w:r>
            <w:r>
              <w:t xml:space="preserve"> en de doeltreffendheid en voorspelbaarheid van het EU-recht te verbeteren; </w:t>
            </w:r>
            <w:r>
              <w:rPr>
                <w:b/>
                <w:i/>
              </w:rPr>
              <w:t xml:space="preserve">beklemtoont dat AI-instrumenten ook empirisch onderbouwde beleidsvorming, vereenvoudigingsinspanningen en evaluatie achteraf van EU-wetgeving kunnen ondersteunen, onder meer door onevenredige administratieve lasten voor burgers, bedrijven en overheidsdiensten te verminderen; </w:t>
            </w:r>
            <w:r>
              <w:t xml:space="preserve">onderstreept in dit verband het belang van </w:t>
            </w:r>
            <w:r>
              <w:rPr>
                <w:b/>
                <w:i/>
              </w:rPr>
              <w:t>sterk menselijk toezicht</w:t>
            </w:r>
            <w:r>
              <w:t xml:space="preserve"> bij de inzet van dergelijke instrumenten;</w:t>
            </w:r>
            <w:r>
              <w:rPr>
                <w:b/>
                <w:i/>
              </w:rPr>
              <w:t xml:space="preserve"> benadrukt dat AI-systemen nooit in de plaats mogen komen van de politieke verantwoordelijkheid of democratische verantwoordingsplicht van mensen;</w:t>
            </w:r>
          </w:p>
        </w:tc>
      </w:tr>
    </w:tbl>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13 bis.</w:t>
            </w:r>
            <w:r>
              <w:tab/>
            </w:r>
            <w:r>
              <w:rPr>
                <w:b/>
                <w:i/>
              </w:rPr>
              <w:t>verzoekt de Commissie en de lidstaten te zorgen voor een uniforme, evenredige en coherente uitvoering van het AI-kader van de EU op een wijze die innovatie en concurrentievermogen ondersteunt, met volledige inachtneming van de grondrechten en de regels inzake intellectuele-eigendomsrechten en auteursrechten, en waarbij onnodige administratieve lasten, overlappende rapportageverplichtingen en nationale overregulering die kunnen leiden tot een versnippering van de interne markt en de opschaling van betrouwbare Europese AI-oplossingen kunnen belemmeren, worden vermeden;</w:t>
            </w:r>
          </w:p>
        </w:tc>
      </w:tr>
    </w:tbl>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dringt erop aan een analyse te maken van de lacunes in en de overlappingen en inconsistenties tussen de vele wetgevings- en beleidsinstrumenten op het gebied van AI en de toepassing daarvan, teneinde versnippering tegen te gaan en een coherent gebruik op alle sectorale gebieden en ook een coherente institutionele uitvoering te waarborgen;</w:t>
            </w:r>
          </w:p>
        </w:tc>
        <w:tc>
          <w:tcPr>
            <w:tcW w:w="4876" w:type="dxa"/>
            <w:tcBorders>
              <w:top w:val="nil"/>
              <w:left w:val="nil"/>
              <w:bottom w:val="nil"/>
              <w:right w:val="nil"/>
            </w:tcBorders>
          </w:tcPr>
          <w:p>
            <w:pPr>
              <w:pStyle w:val="Normal6a"/>
            </w:pPr>
            <w:r>
              <w:t>14.</w:t>
            </w:r>
            <w:r>
              <w:tab/>
            </w:r>
            <w:r>
              <w:t xml:space="preserve">dringt erop aan een analyse te maken van de lacunes in en de overlappingen en inconsistenties tussen de vele wetgevings- en beleidsinstrumenten op het gebied van AI en de toepassing daarvan, teneinde versnippering </w:t>
            </w:r>
            <w:r>
              <w:rPr>
                <w:b/>
                <w:i/>
              </w:rPr>
              <w:t>en buitensporige lasten</w:t>
            </w:r>
            <w:r>
              <w:t xml:space="preserve"> tegen te gaan en </w:t>
            </w:r>
            <w:r>
              <w:rPr>
                <w:b/>
                <w:i/>
              </w:rPr>
              <w:t>tegelijkertijd</w:t>
            </w:r>
            <w:r>
              <w:t xml:space="preserve"> een coherent gebruik op alle sectorale gebieden en ook een coherente institutionele uitvoering te waarborgen;</w:t>
            </w:r>
          </w:p>
        </w:tc>
      </w:tr>
    </w:tbl>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benadrukt dat de door het Parlement uitgevoerde analyses, onder meer door het voorgestelde AI-waarnemingscentrum van het Europees Parlement, kunnen helpen om sectoroverschrijdende lacunes, overlappingen en inconsistenties in het bredere rechtskader van de EU voor AI in kaart te brengen;</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(Verplaatst naar lid 11 bis)</w:t>
            </w:r>
          </w:p>
        </w:tc>
      </w:tr>
    </w:tbl>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wijst erop dat het AI-waarnemingscentrum van het Europees Parlement een bijdrage kan leveren als het gaat om het monitoren van institutionele AI-governance, verantwoordingsplicht en verklaarbaarheid en van de gevolgen van AI-systemen die binnen de instelling worden ingezet, en ondersteuning kan bieden bij de follow-up van het Parlement van de desbetreffende conclusies van de Raad;</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(Verplaatst naar lid 11, punt b))</w:t>
            </w:r>
          </w:p>
        </w:tc>
      </w:tr>
    </w:tbl>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verzoekt de voorzitter van de AI-board het AI-waarnemingscentrum van het Europees Parlement, zodra het is opgericht, uit te nodigen voor de vergaderingen van de board om zodoende parlementaire controle en interinstitutionele samenhang in het AI-beleid van de EU te waarborgen;</w:t>
            </w:r>
          </w:p>
        </w:tc>
        <w:tc>
          <w:tcPr>
            <w:tcW w:w="4876" w:type="dxa"/>
            <w:tcBorders>
              <w:top w:val="nil"/>
              <w:left w:val="nil"/>
              <w:bottom w:val="nil"/>
              <w:right w:val="nil"/>
            </w:tcBorders>
          </w:tcPr>
          <w:p>
            <w:pPr>
              <w:pStyle w:val="Normal6a"/>
            </w:pPr>
            <w:r>
              <w:rPr>
                <w:b/>
                <w:i/>
              </w:rPr>
              <w:t>Schrappen</w:t>
            </w:r>
          </w:p>
        </w:tc>
      </w:tr>
    </w:tbl>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onderstreept dat nauwere samenwerking op het gebied van AI-governance tussen het Parlement, de nationale parlementen en de nationale bevoegde autoriteiten, overeenkomstig artikel 70 van de </w:t>
            </w:r>
            <w:r>
              <w:rPr>
                <w:b/>
                <w:i/>
              </w:rPr>
              <w:t>verordening artificiële intelligentie</w:t>
            </w:r>
            <w:r>
              <w:t>, van essentieel belang is om beste praktijken uit te wisselen, de samenhang van de wetgeving te verbeteren en de parlementaire controle op de uitrol van AI in de hele EU te ondersteunen;</w:t>
            </w:r>
          </w:p>
        </w:tc>
        <w:tc>
          <w:tcPr>
            <w:tcW w:w="4876" w:type="dxa"/>
            <w:tcBorders>
              <w:top w:val="nil"/>
              <w:left w:val="nil"/>
              <w:bottom w:val="nil"/>
              <w:right w:val="nil"/>
            </w:tcBorders>
          </w:tcPr>
          <w:p>
            <w:pPr>
              <w:pStyle w:val="Normal6a"/>
            </w:pPr>
            <w:r>
              <w:t>18.</w:t>
            </w:r>
            <w:r>
              <w:tab/>
            </w:r>
            <w:r>
              <w:t xml:space="preserve">Onderstreept dat nauwere samenwerking op het gebied van AI-governance tussen het </w:t>
            </w:r>
            <w:r>
              <w:rPr>
                <w:b/>
                <w:i/>
              </w:rPr>
              <w:t>Europees</w:t>
            </w:r>
            <w:r>
              <w:t xml:space="preserve"> Parlement, de nationale parlementen en de nationale bevoegde autoriteiten, </w:t>
            </w:r>
            <w:r>
              <w:rPr>
                <w:b/>
                <w:i/>
              </w:rPr>
              <w:t>die is ingesteld</w:t>
            </w:r>
            <w:r>
              <w:t xml:space="preserve"> overeenkomstig artikel 70 van de </w:t>
            </w:r>
            <w:r>
              <w:rPr>
                <w:b/>
                <w:i/>
              </w:rPr>
              <w:t>AI-verordening</w:t>
            </w:r>
            <w:r>
              <w:t>, van essentieel belang is om beste praktijken uit te wisselen, de samenhang van de wetgeving te verbeteren,</w:t>
            </w:r>
            <w:r>
              <w:rPr>
                <w:b/>
                <w:i/>
              </w:rPr>
              <w:t xml:space="preserve"> bij te dragen tot het in kaart brengen en wegnemen van overlappingen en onnodige bureaucratie,</w:t>
            </w:r>
            <w:r>
              <w:t xml:space="preserve"> en de parlementaire controle op de uitrol van AI in de hele EU te ondersteunen;</w:t>
            </w:r>
          </w:p>
        </w:tc>
      </w:tr>
    </w:tbl>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pleit ervoor dat het Parlement systematisch in kaart brengt wat de AI-gerelateerde risico’s zijn voor democratische processen, waaronder de integriteit van verkiezingen, en </w:t>
            </w:r>
            <w:r>
              <w:rPr>
                <w:b/>
                <w:i/>
              </w:rPr>
              <w:t>verzoekt het AI-waarnemingscentrum van het Europees Parlement</w:t>
            </w:r>
            <w:r>
              <w:t xml:space="preserve"> de </w:t>
            </w:r>
            <w:r>
              <w:rPr>
                <w:b/>
                <w:i/>
              </w:rPr>
              <w:t>monitoring</w:t>
            </w:r>
            <w:r>
              <w:t xml:space="preserve"> van </w:t>
            </w:r>
            <w:r>
              <w:rPr>
                <w:b/>
                <w:i/>
              </w:rPr>
              <w:t>verkiezingen en Europese</w:t>
            </w:r>
            <w:r>
              <w:t xml:space="preserve"> politieke </w:t>
            </w:r>
            <w:r>
              <w:rPr>
                <w:b/>
                <w:i/>
              </w:rPr>
              <w:t>partijen te ondersteunen</w:t>
            </w:r>
            <w:r>
              <w:t xml:space="preserve">, aangezien politieke communicatie, verkiezingsprocessen, het publieke debat en de besluitvorming </w:t>
            </w:r>
            <w:r>
              <w:rPr>
                <w:b/>
                <w:i/>
              </w:rPr>
              <w:t>steeds</w:t>
            </w:r>
            <w:r>
              <w:t xml:space="preserve"> meer door AI worden </w:t>
            </w:r>
            <w:r>
              <w:rPr>
                <w:b/>
                <w:i/>
              </w:rPr>
              <w:t>bepaald</w:t>
            </w:r>
            <w:r>
              <w:t>;</w:t>
            </w:r>
          </w:p>
        </w:tc>
        <w:tc>
          <w:tcPr>
            <w:tcW w:w="4876" w:type="dxa"/>
            <w:tcBorders>
              <w:top w:val="nil"/>
              <w:left w:val="nil"/>
              <w:bottom w:val="nil"/>
              <w:right w:val="nil"/>
            </w:tcBorders>
          </w:tcPr>
          <w:p>
            <w:pPr>
              <w:pStyle w:val="Normal6a"/>
            </w:pPr>
            <w:r>
              <w:t>19.</w:t>
            </w:r>
            <w:r>
              <w:tab/>
            </w:r>
            <w:r>
              <w:t xml:space="preserve">pleit ervoor dat het Parlement systematisch in kaart brengt wat de AI-gerelateerde risico’s zijn voor democratische processen, waaronder de integriteit van verkiezingen, </w:t>
            </w:r>
            <w:r>
              <w:rPr>
                <w:b/>
                <w:i/>
              </w:rPr>
              <w:t>de fundamentele vrijheden</w:t>
            </w:r>
            <w:r>
              <w:t xml:space="preserve"> en </w:t>
            </w:r>
            <w:r>
              <w:rPr>
                <w:b/>
                <w:i/>
              </w:rPr>
              <w:t xml:space="preserve">het recht op privacy, en dat het Parlement </w:t>
            </w:r>
            <w:r>
              <w:t xml:space="preserve">de </w:t>
            </w:r>
            <w:r>
              <w:rPr>
                <w:b/>
                <w:i/>
              </w:rPr>
              <w:t>analyse</w:t>
            </w:r>
            <w:r>
              <w:t xml:space="preserve"> van </w:t>
            </w:r>
            <w:r>
              <w:rPr>
                <w:b/>
                <w:i/>
              </w:rPr>
              <w:t>relevante AI-ontwikkelingen die van invloed zijn op democratische processen, met inbegrip van het gebruik van AI in</w:t>
            </w:r>
            <w:r>
              <w:t xml:space="preserve"> politieke </w:t>
            </w:r>
            <w:r>
              <w:rPr>
                <w:b/>
                <w:i/>
              </w:rPr>
              <w:t>communicatie en het publieke debat,</w:t>
            </w:r>
            <w:r>
              <w:t xml:space="preserve"> ondersteunt, aangezien </w:t>
            </w:r>
            <w:r>
              <w:rPr>
                <w:b/>
                <w:i/>
              </w:rPr>
              <w:t>door AI aangedreven toepassingen steeds meer vorm geven aan</w:t>
            </w:r>
            <w:r>
              <w:t xml:space="preserve"> politieke communicatie, verkiezingsprocessen, het publieke debat en de besluitvorming,</w:t>
            </w:r>
            <w:r>
              <w:rPr>
                <w:b/>
                <w:i/>
              </w:rPr>
              <w:t xml:space="preserve"> onder</w:t>
            </w:r>
            <w:r>
              <w:t xml:space="preserve"> meer </w:t>
            </w:r>
            <w:r>
              <w:rPr>
                <w:b/>
                <w:i/>
              </w:rPr>
              <w:t>via deepfakes, synthetische media en gecoördineerde desinformatiecampagnes;</w:t>
            </w:r>
            <w:r>
              <w:rPr>
                <w:b/>
                <w:i/>
              </w:rPr>
              <w:t xml:space="preserve"> benadrukt dat de transparantieverplichtingen van de AI-verordening met betrekking tot door AI gegenereerde inhoud in dit verband moeten worden gehandhaafd; </w:t>
            </w:r>
            <w:r>
              <w:rPr>
                <w:b/>
                <w:i/>
              </w:rPr>
              <w:t>erkent dat AI ook de democratische participatie kan vergroten, de toegang tot informatie kan verbeteren en empirisch onderbouwde beleidsvorming kan versterken, en benadrukt dat ervoor moet worden gezorgd dat AI wordt gebruikt op een transparante, controleerbare manier die in overeenstemming blijft met het EU-recht;</w:t>
            </w:r>
          </w:p>
        </w:tc>
      </w:tr>
    </w:tbl>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benadrukt dat door de snelle ontwikkelingen in het governancelandschap van de EU, met name in antwoord op de digitale transformatie, de opkomst van AI en de steeds complexere regelgevingskaders, steeds meer de vraag rijst of de bestaande Verdragsbepalingen inzake institutionele bevoegdheden, democratische verantwoordingsplicht en parlementaire controle nog voldoen;</w:t>
            </w:r>
          </w:p>
        </w:tc>
        <w:tc>
          <w:tcPr>
            <w:tcW w:w="4876" w:type="dxa"/>
            <w:tcBorders>
              <w:top w:val="nil"/>
              <w:left w:val="nil"/>
              <w:bottom w:val="nil"/>
              <w:right w:val="nil"/>
            </w:tcBorders>
          </w:tcPr>
          <w:p>
            <w:pPr>
              <w:pStyle w:val="Normal6a"/>
            </w:pPr>
            <w:r>
              <w:t>21.</w:t>
            </w:r>
            <w:r>
              <w:tab/>
            </w:r>
            <w:r>
              <w:t>benadrukt dat door de snelle ontwikkelingen in het governancelandschap van de EU, met name in antwoord op de digitale transformatie, de opkomst van AI en de steeds complexere regelgevingskaders, steeds meer de vraag rijst of de bestaande Verdragsbepalingen inzake institutionele bevoegdheden, democratische verantwoordingsplicht en parlementaire controle nog voldoen,</w:t>
            </w:r>
            <w:r>
              <w:rPr>
                <w:b/>
                <w:i/>
              </w:rPr>
              <w:t xml:space="preserve"> en wijst er tegelijkertijd op dat er gezorgd moet worden voor transparantie en dat de complexiteit van de regelgeving moet worden verminderd</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21 bis.</w:t>
            </w:r>
            <w:r>
              <w:tab/>
            </w:r>
            <w:r>
              <w:rPr>
                <w:b/>
                <w:i/>
              </w:rPr>
              <w:t>benadrukt dat de snelle vooruitgang op het gebied van AI-ontwikkelingen op korte tot middellange termijn op regelgevingsniveau tot uiting komt in de onlangs vastgestelde AI-verordening, die nog niet volledig van toepassing is en waarvan de gevolgen nog niet volledig zichtbaar zijn; beklemtoont dat de meest recente vooruitgang op het gebied van AI ook aan de orde wordt gesteld in de digitale omnibus inzake AI, als reactie op de noodzaak om een aantal bepalingen van de AI-verordening te vereenvoudigen en te verduidelijken door middel van een aantal gerichte maatregelen om de tijdige, soepele en evenredige uitvoering ervan te waarborgen; wijst erop dat de digitale omnibus inzake AI recht doet aan de noodzaak om in te spelen op de snelle ontwikkeling van AI en ervoor te zorgen dat het EU-rechtskader een efficiënte en concurrerende omgeving bevordert voor organisaties die in de EU actief zijn; herinnert aan het afzonderlijke voorstel voor de digitale omnibus, waarin nader wordt toegelicht hoe persoonsgegevens mogen worden gebruikt voor het trainen en ontwikkelen van kunstmatige intelligentie; onderstreept in dit verband dat de AI-verordening en de rest van het digitale wetgevingskader van de EU moeten worden uitgevoerd en gehandhaafd en zo nodig moeten worden geactualiseerd in het licht van de technologische ontwikkelingen, waarbij onnodige administratieve lasten, overlappende rapportageverplichtingen en nationale overregulering die de interne markt kunnen versnipperen en de opschaling van betrouwbare Europese AI-oplossingen kunnen belemmeren, moeten worden vermeden; benadrukt de noodzaak van een transparante aanpak in dit verband;</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BIJLAGE: BEKENDMAKING VAN INPUT</w:t>
      </w:r>
    </w:p>
    <w:p>
      <w:pPr>
        <w:pStyle w:val="Normal12a"/>
      </w:pPr>
      <w:r>
        <w:rPr>
          <w:rStyle w:val="HideTWBExt"/>
        </w:rPr>
        <w:t>&lt;FootprintIntro&gt;</w:t>
      </w:r>
      <w:r>
        <w:rPr>
          <w:rStyle w:val="HideTWBExt"/>
        </w:rPr>
        <w:t>&lt;/FootprintIntro&gt;</w:t>
      </w:r>
    </w:p>
    <w:p>
      <w:pPr>
        <w:pStyle w:val="Normal12a"/>
      </w:pPr>
      <w:r>
        <w:t>Overeenkomstig artikel 8 van bijlage I bij het Reglement verklaart de rapporteur in het verslag input te hebben opgenomen over aangelegenheden in verband met het onderwerp van het dossier die in het kader van de opstelling van het ontwerpverslag door hem is ontvangen van de volgende belangenvertegenwoordigers die binnen het toepassingsgebied van het Interinstitutioneel Akkoord over een verplicht transparantieregister</w:t>
      </w:r>
      <w:r>
        <w:rPr>
          <w:rStyle w:val="FootnoteReference"/>
        </w:rPr>
        <w:footnoteReference w:customMarkFollows="1" w:id="2"/>
        <w:t xml:space="preserve">1</w:t>
      </w:r>
      <w:r>
        <w:t xml:space="preserve"> vallen, of van de volgende vertegenwoordigers van overheidsinstanties van derde landen, met inbegrip van hun diplomatieke vertegenwoordigingen en ambassades: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Belangenvertegenwoordigers die binnen het toepassingsgebied van het Interinstitutioneel Akkoord over een verplicht transparantieregister vallen</w:t>
            </w:r>
          </w:p>
        </w:tc>
      </w:tr>
      <w:tr>
        <w:tblPrEx>
          <w:tblW w:w="0" w:type="auto"/>
          <w:tblLayout w:type="fixed"/>
          <w:tblCellMar>
            <w:left w:w="140" w:type="dxa"/>
            <w:right w:w="140" w:type="dxa"/>
          </w:tblCellMar>
        </w:tblPrEx>
        <w:tc>
          <w:tcPr>
            <w:tcW w:w="9080" w:type="dxa"/>
          </w:tcPr>
          <w:p>
            <w:r>
              <w:t>Pour Demain Europe TI 172933491707-16</w:t>
            </w:r>
          </w:p>
        </w:tc>
      </w:tr>
    </w:tbl>
    <w:p/>
    <w:p>
      <w:pPr>
        <w:pStyle w:val="Normal12a"/>
      </w:pPr>
      <w:r>
        <w:t>De bovenstaande lijst is opgesteld onder de exclusieve verantwoordelijkheid van de rapporteur.</w:t>
      </w:r>
    </w:p>
    <w:p>
      <w:pPr>
        <w:pStyle w:val="Normal12a"/>
      </w:pPr>
      <w:r>
        <w:t>De rapporteur verklaart dat aan natuurlijke personen die met hun naam en/of functie in de lijst worden vermeld privacyverklaring nr. 484 van het Europees Parlement (</w:t>
      </w:r>
      <w:hyperlink r:id="rId9" w:tgtFrame="https://www.europarl.europa.eu/data-protect/index.do" w:history="1">
        <w:r>
          <w:rPr>
            <w:rStyle w:val="Hyperlink"/>
          </w:rPr>
          <w:t>https://www.europarl.europa.eu/data-protect/index.do</w:t>
        </w:r>
      </w:hyperlink>
      <w:r>
        <w:t>) is verstrekt, waarin de voorwaarden voor de verwerking van hun persoonsgegevens en de rechten in verband met die verwerking worden toegelicht.</w:t>
      </w:r>
    </w:p>
    <w:p>
      <w:pPr>
        <w:sectPr>
          <w:footnotePr>
            <w:numRestart w:val="eachSect"/>
          </w:footnotePr>
          <w:type w:val="nextPage"/>
          <w:pgSz w:w="11909" w:h="16834"/>
          <w:pgMar w:top="1134" w:right="1417" w:bottom="1417" w:left="1417" w:header="1134" w:footer="567"/>
          <w:cols w:space="720"/>
        </w:sectPr>
      </w:pPr>
    </w:p>
    <w:p>
      <w:pPr>
        <w:pStyle w:val="PageHeadingNotTOC"/>
      </w:pPr>
      <w:r>
        <w:t>INFORMATIE OVER DE GOEDKEURING IN DE ADVISERENDE COMMISSIE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Datum goedkeuring</w:t>
            </w:r>
          </w:p>
        </w:tc>
        <w:tc>
          <w:tcPr>
            <w:tcW w:w="6400" w:type="dxa"/>
            <w:tcBorders>
              <w:left w:val="dotted" w:sz="4" w:space="0" w:color="auto"/>
            </w:tcBorders>
          </w:tcPr>
          <w:p>
            <w:pPr>
              <w:pStyle w:val="ProcedureTable"/>
            </w:pPr>
            <w:r>
              <w:t>24.6.2026</w:t>
            </w:r>
          </w:p>
        </w:tc>
      </w:tr>
      <w:tr>
        <w:tblPrEx>
          <w:tblW w:w="0" w:type="auto"/>
          <w:tblLayout w:type="fixed"/>
          <w:tblCellMar>
            <w:left w:w="140" w:type="dxa"/>
            <w:right w:w="140" w:type="dxa"/>
          </w:tblCellMar>
        </w:tblPrEx>
        <w:tc>
          <w:tcPr>
            <w:tcW w:w="3600" w:type="dxa"/>
          </w:tcPr>
          <w:p>
            <w:pPr>
              <w:pStyle w:val="ProcedureTableBold"/>
            </w:pPr>
            <w:r>
              <w:t>Uitslag eindstemming</w:t>
            </w:r>
          </w:p>
        </w:tc>
        <w:tc>
          <w:tcPr>
            <w:tcW w:w="6400" w:type="dxa"/>
            <w:tcBorders>
              <w:left w:val="dotted" w:sz="4" w:space="0" w:color="auto"/>
            </w:tcBorders>
          </w:tcPr>
          <w:p>
            <w:r>
              <w:t>+</w:t>
            </w:r>
            <w:r>
              <w:tab/>
            </w:r>
            <w:r>
              <w:t>:</w:t>
            </w:r>
            <w:r>
              <w:tab/>
            </w:r>
            <w:r>
              <w:t>66</w:t>
            </w:r>
          </w:p>
          <w:p>
            <w:r>
              <w:t>-</w:t>
            </w:r>
            <w:r>
              <w:tab/>
            </w:r>
            <w:r>
              <w:t>:</w:t>
            </w:r>
            <w:r>
              <w:tab/>
            </w:r>
            <w:r>
              <w:t>0</w:t>
            </w:r>
          </w:p>
          <w:p>
            <w:r>
              <w:t>0</w:t>
            </w:r>
            <w:r>
              <w:tab/>
            </w:r>
            <w:r>
              <w:t>:</w:t>
            </w:r>
            <w:r>
              <w:tab/>
            </w:r>
            <w:r>
              <w:t>4</w:t>
            </w:r>
          </w:p>
        </w:tc>
      </w:tr>
    </w:tbl>
    <w:p>
      <w:pPr>
        <w:sectPr>
          <w:type w:val="nextPage"/>
          <w:pgSz w:w="11909" w:h="16834"/>
          <w:pgMar w:top="1134" w:right="1417" w:bottom="1417" w:left="1417" w:header="1134" w:footer="567"/>
          <w:cols w:space="720"/>
        </w:sectPr>
      </w:pPr>
    </w:p>
    <w:p>
      <w:pPr>
        <w:pStyle w:val="PageHeadingNotTOC"/>
      </w:pPr>
      <w:r>
        <w:t>HOOFDELIJKE EINDSTEMMING IN DE ADVISERENDE COMMISSIE</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66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Alessandro Ciriani, Geadis Geadi, Paolo Inselvini, Assita Kanko, Georgiana Teodorescu, Maciej Wasik</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Erik Kalinák</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Georgios Aftias, Krzysztof Brejza, Caterina Chinnici, Paulo Cunha, Lena Düpont, Loucas Fourlas, Ondrej Kolár, Marie-Sophie Lanig, Jeroen Lenaers, Verena Mertens, Ana Miguel Pedro, Emil Radev, Karlo Ressler, Bartlomiej Sienkiewicz, Tomas Tobé, Loránt Vincze, Isabel Wiseler-Lima, Javier Zarzalejos, Tomás Zdechovský</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Jaroslav Bzoch, Mélanie Disdier, Marieke Ehlers, Catherine Griset, András László, Fabrice Leggeri, António Tânger Corrêa, Tom Vandendriessche</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Malik Azmani, Veronika Cifrová Ostrihonová, Raquel García Hermida-Van Der Walle, Fabienne Keller, Moritz Körner, Michael McNamara, Marjan Sarec, Hilde Vautmans, Lucia Yar</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Vytenis Povilas Andriukaitis, Francisco Assis, Katarina Barley, Hannes Heide, Alicia Homs Ginel, Evin Incir, Murielle Laurent, Ana Catarina Mendes, Birgit Sippel, Krzysztof Smiszek, Cecilia Strada, Kristian Vigenin, Alessandro Zan</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Giuseppe Antoci, Pernando Barrena Arza, Gaetano Pedulla', Ilaria Salis</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Jaume Asens Llodrà, Saskia Bricmont, Mélissa Camara, Markéta Gregorová, Leoluca Orlando, Tineke Strik</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4</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Alexander Sell, Milan Uhrík, Roberto Vannacci</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Jorge Buxadé Villalba</w:t>
            </w:r>
          </w:p>
        </w:tc>
      </w:tr>
    </w:tbl>
    <w:p/>
    <w:p>
      <w:r>
        <w:t>Verklaring van de gebruikte tekens:</w:t>
      </w:r>
    </w:p>
    <w:p>
      <w:pPr>
        <w:pStyle w:val="NormalTab"/>
      </w:pPr>
      <w:r>
        <w:t>+</w:t>
      </w:r>
      <w:r>
        <w:t xml:space="preserve">  :  </w:t>
      </w:r>
      <w:r>
        <w:t>voor</w:t>
      </w:r>
    </w:p>
    <w:p>
      <w:pPr>
        <w:pStyle w:val="NormalTab"/>
      </w:pPr>
      <w:r>
        <w:t>-</w:t>
      </w:r>
      <w:r>
        <w:t xml:space="preserve">  :  </w:t>
      </w:r>
      <w:r>
        <w:t>tegen</w:t>
      </w:r>
    </w:p>
    <w:p>
      <w:pPr>
        <w:pStyle w:val="NormalTab"/>
      </w:pPr>
      <w:r>
        <w:t>0</w:t>
      </w:r>
      <w:r>
        <w:t xml:space="preserve">  :  </w:t>
      </w:r>
      <w:r>
        <w:t>onthouding(en)</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787.655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30</w:t>
    </w:r>
    <w:r>
      <w:fldChar w:fldCharType="end"/>
    </w:r>
    <w:r>
      <w:t>/</w:t>
    </w:r>
    <w:r>
      <w:fldChar w:fldCharType="begin"/>
    </w:r>
    <w:r>
      <w:instrText xml:space="preserve"> NUMPAGES </w:instrText>
    </w:r>
    <w:r>
      <w:fldChar w:fldCharType="separate"/>
    </w:r>
    <w:r>
      <w:t>30</w:t>
    </w:r>
    <w:r>
      <w:fldChar w:fldCharType="end"/>
    </w:r>
    <w:r>
      <w:tab/>
    </w:r>
    <w:r>
      <w:rPr>
        <w:rStyle w:val="HideTWBExt"/>
      </w:rPr>
      <w:t>&lt;PathFdR&gt;</w:t>
    </w:r>
    <w:r>
      <w:t>AD\1346087NL.docx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AD\1346087NL.docx</w:t>
    </w:r>
    <w:r>
      <w:rPr>
        <w:rStyle w:val="HideTWBExt"/>
      </w:rPr>
      <w:t>&lt;/PathFdR&gt;</w:t>
    </w:r>
    <w:r>
      <w:tab/>
    </w:r>
    <w:r>
      <w:fldChar w:fldCharType="begin"/>
    </w:r>
    <w:r>
      <w:instrText xml:space="preserve"> PAGE </w:instrText>
    </w:r>
    <w:r>
      <w:fldChar w:fldCharType="separate"/>
    </w:r>
    <w:r>
      <w:t>29</w:t>
    </w:r>
    <w:r>
      <w:fldChar w:fldCharType="end"/>
    </w:r>
    <w:r>
      <w:t>/</w:t>
    </w:r>
    <w:r>
      <w:fldChar w:fldCharType="begin"/>
    </w:r>
    <w:r>
      <w:instrText xml:space="preserve"> NUMPAGES </w:instrText>
    </w:r>
    <w:r>
      <w:fldChar w:fldCharType="separate"/>
    </w:r>
    <w:r>
      <w:t>30</w:t>
    </w:r>
    <w:r>
      <w:fldChar w:fldCharType="end"/>
    </w:r>
    <w:r>
      <w:tab/>
    </w:r>
    <w:r>
      <w:t>PE</w:t>
    </w:r>
    <w:r>
      <w:rPr>
        <w:rStyle w:val="HideTWBExt"/>
      </w:rPr>
      <w:t>&lt;NoPE&gt;</w:t>
    </w:r>
    <w:r>
      <w:t>787.655</w:t>
    </w:r>
    <w:r>
      <w:rPr>
        <w:rStyle w:val="HideTWBExt"/>
      </w:rPr>
      <w:t>&lt;/NoPE&gt;</w:t>
    </w:r>
    <w:r>
      <w:rPr>
        <w:rStyle w:val="HideTWBExt"/>
      </w:rPr>
      <w:t>&lt;Version&gt;</w:t>
    </w:r>
    <w:r>
      <w:t>v02-00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AD\1346087NL.docx</w:t>
    </w:r>
    <w:r>
      <w:rPr>
        <w:rStyle w:val="HideTWBExt"/>
      </w:rPr>
      <w:t>&lt;/PathFdR&gt;</w:t>
    </w:r>
    <w:r>
      <w:tab/>
    </w:r>
    <w:r>
      <w:tab/>
    </w:r>
    <w:r>
      <w:t>PE</w:t>
    </w:r>
    <w:r>
      <w:rPr>
        <w:rStyle w:val="HideTWBExt"/>
      </w:rPr>
      <w:t>&lt;NoPE&gt;</w:t>
    </w:r>
    <w:r>
      <w:t>787.655</w:t>
    </w:r>
    <w:r>
      <w:rPr>
        <w:rStyle w:val="HideTWBExt"/>
      </w:rPr>
      <w:t>&lt;/NoPE&gt;</w:t>
    </w:r>
    <w:r>
      <w:rPr>
        <w:rStyle w:val="HideTWBExt"/>
      </w:rPr>
      <w:t>&lt;Version&gt;</w:t>
    </w:r>
    <w:r>
      <w:t>v02-00</w:t>
    </w:r>
    <w:r>
      <w:rPr>
        <w:rStyle w:val="HideTWBExt"/>
      </w:rPr>
      <w:t>&lt;/Version&gt;</w:t>
    </w:r>
  </w:p>
  <w:p>
    <w:pPr>
      <w:pStyle w:val="EPFooter2"/>
    </w:pPr>
    <w:r>
      <w:t>NL</w:t>
    </w:r>
    <w:r>
      <w:tab/>
    </w:r>
    <w:r>
      <w:rPr>
        <w:rStyle w:val="EPFooter2Motto"/>
      </w:rPr>
      <w:t>In verscheidenheid verenigd</w:t>
    </w:r>
    <w:r>
      <w:tab/>
    </w:r>
    <w:r>
      <w:t>NL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Interinstitutioneel Akkoord van 20 mei 2021 tussen het Europees Parlement, de Raad van de Europese Unie en de Europese Commissie over een verplicht transparantieregister (PB L 207 van 11.6.2021, blz.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30</Pages>
  <Words>6337</Words>
  <Characters>40419</Characters>
  <Application>Microsoft Office Word</Application>
  <DocSecurity>0</DocSecurity>
  <Lines>1</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1346087</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565067</vt:lpwstr>
  </property>
  <property fmtid="{D5CDD505-2E9C-101B-9397-08002B2CF9AE}" pid="7" name="dmxml.render.traceId">
    <vt:lpwstr>6a4e4470085585832e211891976ca2ec</vt:lpwstr>
  </property>
  <property fmtid="{D5CDD505-2E9C-101B-9397-08002B2CF9AE}" pid="8" name="FooterPath">
    <vt:lpwstr>AD\1346087NL.doc</vt:lpwstr>
  </property>
  <property fmtid="{D5CDD505-2E9C-101B-9397-08002B2CF9AE}" pid="9" name="PE Number">
    <vt:lpwstr>787.655</vt:lpwstr>
  </property>
  <property fmtid="{D5CDD505-2E9C-101B-9397-08002B2CF9AE}" pid="10" name="UID">
    <vt:lpwstr>eu.europa.europarl-DIN1-2026-0000179774_01.07-nl-01.00_text-xml</vt:lpwstr>
  </property>
</Properties>
</file>