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4.2.0 --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4"/>
        <w:gridCol w:w="2268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EPName"/>
            </w:pPr>
            <w:r>
              <w:t>Parlament Europejski</w:t>
            </w:r>
          </w:p>
          <w:p>
            <w:pPr>
              <w:pStyle w:val="EPTerm"/>
              <w:jc w:val="left"/>
            </w:pPr>
            <w:r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EPLogo"/>
              <w:jc w:val="right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56pt;height:51.46pt">
                  <v:imagedata r:id="rId5" o:title=""/>
                </v:shape>
              </w:pict>
            </w:r>
          </w:p>
        </w:tc>
      </w:tr>
    </w:tbl>
    <w:p>
      <w:pPr>
        <w:pStyle w:val="LineTop"/>
      </w:pPr>
      <w:r>
        <w:t xml:space="preserve"> </w:t>
      </w:r>
    </w:p>
    <w:p>
      <w:pPr>
        <w:pStyle w:val="EPBody"/>
      </w:pPr>
      <w:r>
        <w:rPr>
          <w:rStyle w:val="HideTWBExt"/>
        </w:rPr>
        <w:t>&lt;Commission&gt;</w:t>
      </w:r>
      <w:r>
        <w:rPr>
          <w:rStyle w:val="HideTWBInt"/>
        </w:rPr>
        <w:t>{LIBE}</w:t>
      </w:r>
      <w:r>
        <w:t>Komisja Wolności Obywatelskich, Sprawiedliwości i Spraw Wewnętrznych</w:t>
      </w:r>
      <w:r>
        <w:rPr>
          <w:rStyle w:val="HideTWBExt"/>
        </w:rPr>
        <w:t>&lt;/Commission&gt;</w:t>
      </w:r>
    </w:p>
    <w:p>
      <w:pPr>
        <w:pStyle w:val="LineBottom"/>
      </w:pPr>
      <w:r>
        <w:t xml:space="preserve"> </w:t>
      </w:r>
    </w:p>
    <w:p>
      <w:pPr>
        <w:pStyle w:val="CoverReference"/>
      </w:pPr>
      <w:r>
        <w:rPr>
          <w:rStyle w:val="HideTWBExt"/>
        </w:rPr>
        <w:t>&lt;RefProc&gt;</w:t>
      </w:r>
      <w:r>
        <w:t>2025/2118</w:t>
      </w:r>
      <w:r>
        <w:rPr>
          <w:rStyle w:val="HideTWBExt"/>
        </w:rPr>
        <w:t>&lt;/RefProc&gt;</w:t>
      </w:r>
      <w:r>
        <w:rPr>
          <w:rStyle w:val="HideTWBExt"/>
        </w:rPr>
        <w:t>&lt;RefTypeProc&gt;</w:t>
      </w:r>
      <w:r>
        <w:t>(INI)</w:t>
      </w:r>
      <w:r>
        <w:rPr>
          <w:rStyle w:val="HideTWBExt"/>
        </w:rPr>
        <w:t>&lt;/RefTypeProc&gt;</w:t>
      </w:r>
    </w:p>
    <w:p>
      <w:pPr>
        <w:pStyle w:val="CoverDate"/>
      </w:pPr>
      <w:r>
        <w:rPr>
          <w:rStyle w:val="HideTWBExt"/>
        </w:rPr>
        <w:t>&lt;Date&gt;</w:t>
      </w:r>
      <w:r>
        <w:rPr>
          <w:rStyle w:val="HideTWBInt"/>
        </w:rPr>
        <w:t>{24/06/2026}</w:t>
      </w:r>
      <w:r>
        <w:t>24.06.2026</w:t>
      </w:r>
      <w:r>
        <w:rPr>
          <w:rStyle w:val="HideTWBExt"/>
        </w:rPr>
        <w:t>&lt;/Date&gt;</w:t>
      </w:r>
    </w:p>
    <w:p>
      <w:pPr>
        <w:pStyle w:val="CoverDocType24a"/>
      </w:pPr>
      <w:r>
        <w:rPr>
          <w:rStyle w:val="HideTWBExt"/>
        </w:rPr>
        <w:t>&lt;TitreType&gt;</w:t>
      </w:r>
      <w:r>
        <w:t>OPINIA</w:t>
      </w:r>
      <w:r>
        <w:rPr>
          <w:rStyle w:val="HideTWBExt"/>
        </w:rPr>
        <w:t>&lt;/TitreType&gt;</w:t>
      </w:r>
    </w:p>
    <w:p>
      <w:pPr>
        <w:pStyle w:val="CoverNormal24a"/>
      </w:pPr>
      <w:r>
        <w:rPr>
          <w:rStyle w:val="HideTWBExt"/>
        </w:rPr>
        <w:t>&lt;CommissionResp&gt;</w:t>
      </w:r>
      <w:r>
        <w:t>Komisji Wolności Obywatelskich, Sprawiedliwości i Spraw Wewnętrznych</w:t>
      </w:r>
      <w:r>
        <w:rPr>
          <w:rStyle w:val="HideTWBExt"/>
        </w:rPr>
        <w:t>&lt;/CommissionResp&gt;</w:t>
      </w:r>
    </w:p>
    <w:p>
      <w:pPr>
        <w:pStyle w:val="CoverNormal24a"/>
      </w:pPr>
      <w:r>
        <w:rPr>
          <w:rStyle w:val="HideTWBExt"/>
        </w:rPr>
        <w:t>&lt;CommissionInt&gt;</w:t>
      </w:r>
      <w:r>
        <w:t>dla Komisji Spraw Konstytucyjnych</w:t>
      </w:r>
      <w:r>
        <w:rPr>
          <w:rStyle w:val="HideTWBExt"/>
        </w:rPr>
        <w:t>&lt;/CommissionInt&gt;</w:t>
      </w:r>
    </w:p>
    <w:p>
      <w:pPr>
        <w:pStyle w:val="CoverNormal"/>
      </w:pPr>
      <w:r>
        <w:rPr>
          <w:rStyle w:val="HideTWBExt"/>
        </w:rPr>
        <w:t>&lt;Titre&gt;</w:t>
      </w:r>
      <w:r>
        <w:t>w sprawie aspektów instytucjonalnych związanych ze sztuczną inteligencją w kontekście integracji europejskiej</w:t>
      </w:r>
      <w:r>
        <w:rPr>
          <w:rStyle w:val="HideTWBExt"/>
        </w:rPr>
        <w:t>&lt;/Titre&gt;</w:t>
      </w:r>
    </w:p>
    <w:p>
      <w:pPr>
        <w:pStyle w:val="CoverNormal24a"/>
      </w:pPr>
      <w:r>
        <w:rPr>
          <w:rStyle w:val="HideTWBExt"/>
        </w:rPr>
        <w:t>&lt;DocRef&gt;</w:t>
      </w:r>
      <w:r>
        <w:t>(2025/2118(INI))</w:t>
      </w:r>
      <w:r>
        <w:rPr>
          <w:rStyle w:val="HideTWBExt"/>
        </w:rPr>
        <w:t>&lt;/DocRef&gt;</w:t>
      </w:r>
    </w:p>
    <w:p>
      <w:pPr>
        <w:pStyle w:val="CoverNormal24a"/>
      </w:pPr>
      <w:r>
        <w:t xml:space="preserve">Sprawozdawca komisji opiniodawczej: </w:t>
      </w:r>
      <w:r>
        <w:rPr>
          <w:rStyle w:val="HideTWBExt"/>
        </w:rPr>
        <w:t>&lt;Depute&gt;</w:t>
      </w:r>
      <w:r>
        <w:t>Lukas Mandl</w:t>
      </w:r>
      <w:r>
        <w:rPr>
          <w:rStyle w:val="HideTWBExt"/>
        </w:rPr>
        <w:t>&lt;/Depute&gt;</w:t>
      </w:r>
    </w:p>
    <w:p>
      <w:r>
        <w:br w:type="page"/>
      </w:r>
      <w:r>
        <w:t>PA_NonLeg</w:t>
      </w:r>
    </w:p>
    <w:p>
      <w:pPr>
        <w:sectPr>
          <w:footerReference w:type="even" r:id="rId6"/>
          <w:footerReference w:type="default" r:id="rId7"/>
          <w:footerReference w:type="first" r:id="rId8"/>
          <w:footnotePr>
            <w:numRestart w:val="eachSect"/>
          </w:footnotePr>
          <w:pgSz w:w="11909" w:h="16834"/>
          <w:pgMar w:top="1134" w:right="1417" w:bottom="1417" w:left="1417" w:header="1134" w:footer="567"/>
          <w:cols w:space="720"/>
          <w:titlePg/>
        </w:sectPr>
      </w:pPr>
    </w:p>
    <w:p>
      <w:pPr>
        <w:pStyle w:val="PageHeadingNotTOC"/>
      </w:pPr>
      <w:r>
        <w:t>POPRAWKI</w:t>
      </w:r>
    </w:p>
    <w:p>
      <w:pPr>
        <w:pStyle w:val="Normal12a"/>
      </w:pPr>
      <w:r>
        <w:t>Komisja Wolności Obywatelskich, Sprawiedliwości i Spraw Wewnętrznych</w:t>
      </w:r>
      <w:r>
        <w:t xml:space="preserve"> </w:t>
      </w:r>
      <w:r>
        <w:t>przedstawia Komisji Spraw Konstytucyjnych, jako komisji przedmiotowo właściwej, co następuje</w:t>
      </w:r>
      <w:r>
        <w:t>:</w:t>
      </w:r>
    </w:p>
    <w:p>
      <w:pPr>
        <w:pStyle w:val="AmNumberTabs"/>
      </w:pPr>
      <w:r>
        <w:rPr>
          <w:rStyle w:val="HideTWBExt"/>
        </w:rPr>
        <w:t>&lt;RepeatBlock-Amend&gt;</w:t>
      </w: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</w:t>
      </w:r>
      <w:r>
        <w:rPr>
          <w:rStyle w:val="HideTWBExt"/>
        </w:rPr>
        <w:t>&lt;/NumAm&gt;</w:t>
      </w:r>
    </w:p>
    <w:p>
      <w:pPr>
        <w:pStyle w:val="NormalBold12b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Umocowanie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–</w:t>
            </w:r>
            <w:r>
              <w:tab/>
            </w:r>
            <w:r>
              <w:t>uwzględniając Traktat o funkcjonowaniu Unii Europejskiej (TFUE), w szczególności jego art. 16, 114, 173, 179, 180 oraz art. 181,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–</w:t>
            </w:r>
            <w:r>
              <w:tab/>
            </w:r>
            <w:r>
              <w:t xml:space="preserve">uwzględniając Traktat o funkcjonowaniu Unii Europejskiej (TFUE), w szczególności jego art. 16, </w:t>
            </w:r>
            <w:r>
              <w:rPr>
                <w:b/>
                <w:i/>
              </w:rPr>
              <w:t>26,</w:t>
            </w:r>
            <w:r>
              <w:t xml:space="preserve"> 114, 173, 179, 180 oraz art. 181,</w:t>
            </w:r>
          </w:p>
        </w:tc>
      </w:tr>
    </w:tbl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</w:t>
      </w:r>
      <w:r>
        <w:rPr>
          <w:rStyle w:val="HideTWBExt"/>
        </w:rPr>
        <w:t>&lt;/NumAm&gt;</w:t>
      </w:r>
    </w:p>
    <w:p>
      <w:pPr>
        <w:pStyle w:val="NormalBold12b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Umocowanie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–</w:t>
            </w:r>
            <w:r>
              <w:tab/>
            </w:r>
            <w:r>
              <w:t>uwzględniając Konwencję ramową Rady Europy w sprawie sztucznej inteligencji, praw człowieka, demokracji i praworządności zawartą 5 września 2024 r.,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–</w:t>
            </w:r>
            <w:r>
              <w:tab/>
            </w:r>
            <w:r>
              <w:t>uwzględniając Konwencję ramową Rady Europy w sprawie sztucznej inteligencji, praw człowieka, demokracji i praworządności zawartą 5 września 2024 r.,</w:t>
            </w:r>
            <w:r>
              <w:rPr>
                <w:b/>
                <w:i/>
              </w:rPr>
              <w:t xml:space="preserve"> (konwencja ramowa Rady Europy w sprawie AI)</w:t>
            </w:r>
            <w:r>
              <w:t>,</w:t>
            </w:r>
          </w:p>
        </w:tc>
      </w:tr>
    </w:tbl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</w:t>
      </w:r>
      <w:r>
        <w:rPr>
          <w:rStyle w:val="HideTWBExt"/>
        </w:rPr>
        <w:t>&lt;/NumAm&gt;</w:t>
      </w:r>
    </w:p>
    <w:p>
      <w:pPr>
        <w:pStyle w:val="NormalBold12b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Umocowanie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–</w:t>
            </w:r>
            <w:r>
              <w:tab/>
            </w:r>
            <w:r>
              <w:t>uwzględniając rozporządzenie Parlamentu Europejskiego i Rady (UE) 2024/1689 z dnia 13 czerwca 2024 r. w sprawie ustanowienia zharmonizowanych przepisów dotyczących sztucznej inteligencji oraz zmiany rozporządzeń (WE) nr 300/2008, (UE) nr 167/2013, (UE) nr 168/2013, (UE) 2018/858, (UE) 2018/1139 i (UE) 2019/2144 oraz dyrektyw 2014/90/UE, (UE) 2016/797 i (UE) 2020/1828 (akt w sprawie sztucznej inteligencji)</w:t>
            </w:r>
            <w:r>
              <w:rPr>
                <w:vertAlign w:val="superscript"/>
              </w:rPr>
              <w:t>1</w:t>
            </w:r>
            <w:r>
              <w:t>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i/>
              </w:rPr>
              <w:t>(Nie dotyczy polskiej wersji językowej)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1</w:t>
            </w:r>
            <w:r>
              <w:t xml:space="preserve"> </w:t>
            </w:r>
            <w:r>
              <w:t>Dz.U. L, 2024/1689, 12.7.2024, ELI: http://data.europa.eu/eli/reg/2024/1689/oj.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</w:t>
      </w:r>
      <w:r>
        <w:rPr>
          <w:rStyle w:val="HideTWBExt"/>
        </w:rPr>
        <w:t>&lt;/NumAm&gt;</w:t>
      </w:r>
    </w:p>
    <w:p>
      <w:pPr>
        <w:pStyle w:val="NormalBold12b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Umocowanie 5 a (nowe)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–</w:t>
            </w:r>
            <w:r>
              <w:tab/>
            </w:r>
            <w:r>
              <w:rPr>
                <w:b/>
                <w:i/>
              </w:rPr>
              <w:t>uwzględniając wniosek Komisji z dnia 19 listopada 2025 r. dotyczący rozporządzenia Parlamentu Europejskiego i Rady zmieniającego rozporządzenia (UE) 2024/1689 i (UE) 2018/1139 w odniesieniu do uproszczenia wdrażania zharmonizowanych przepisów dotyczących sztucznej inteligencji (akt zbiorczy prawa cyfrowego dotyczący AI) (</w:t>
            </w:r>
            <w:r>
              <w:rPr>
                <w:b/>
                <w:i/>
              </w:rPr>
              <w:t>COM(2025)0836</w:t>
            </w:r>
            <w:r>
              <w:rPr>
                <w:b/>
                <w:i/>
              </w:rPr>
              <w:t>),</w:t>
            </w:r>
          </w:p>
        </w:tc>
      </w:tr>
    </w:tbl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5</w:t>
      </w:r>
      <w:r>
        <w:rPr>
          <w:rStyle w:val="HideTWBExt"/>
        </w:rPr>
        <w:t>&lt;/NumAm&gt;</w:t>
      </w:r>
    </w:p>
    <w:p>
      <w:pPr>
        <w:pStyle w:val="NormalBold12b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Umocowanie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–</w:t>
            </w:r>
            <w:r>
              <w:tab/>
            </w:r>
            <w:r>
              <w:rPr>
                <w:b/>
                <w:i/>
              </w:rPr>
              <w:t>uwzględniając wniosek Komisji z dnia 19 listopada 2025 r. dotyczący rozporządzenia Parlamentu Europejskiego i Rady w sprawie zmiany rozporządzeń (UE) 2016/679, (UE) 2018/1724, (UE) 2018/1725, (UE) 2023/2854 oraz dyrektyw 2002/58/WE, (UE) 2022/2555 i (UE) 2022/2557 w odniesieniu do uproszczenia cyfrowych ram prawnych oraz uchylenia rozporządzeń (UE) 2018/1807, (UE) 2019/1150, (UE) 2022/868 i dyrektywy (UE) 2019/1024 (akt zbiorczy prawa cyfrowego) (</w:t>
            </w:r>
            <w:r>
              <w:rPr>
                <w:b/>
                <w:i/>
              </w:rPr>
              <w:t>COM(2025)0837</w:t>
            </w:r>
            <w:r>
              <w:rPr>
                <w:b/>
                <w:i/>
              </w:rPr>
              <w:t>),</w:t>
            </w:r>
          </w:p>
        </w:tc>
      </w:tr>
    </w:tbl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6</w:t>
      </w:r>
      <w:r>
        <w:rPr>
          <w:rStyle w:val="HideTWBExt"/>
        </w:rPr>
        <w:t>&lt;/NumAm&gt;</w:t>
      </w:r>
    </w:p>
    <w:p>
      <w:pPr>
        <w:pStyle w:val="NormalBold12b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Motyw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 xml:space="preserve">mając na uwadze, że art. 2 TUE </w:t>
            </w:r>
            <w:r>
              <w:rPr>
                <w:b/>
                <w:i/>
              </w:rPr>
              <w:t>odnosi się do tożsamości konstytucyjnej UE i legitymizuje kontrolę</w:t>
            </w:r>
            <w:r>
              <w:t xml:space="preserve"> Parlamentu nad sztuczną inteligencją (AI), w przypadku gdy jej wdrożenie może mieć wpływ na podstawowe wartości;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 xml:space="preserve">mając na uwadze, że art. 2 TUE </w:t>
            </w:r>
            <w:r>
              <w:rPr>
                <w:b/>
                <w:i/>
              </w:rPr>
              <w:t xml:space="preserve">określa podstawowe wspólne wartości, na których opiera się Unia, oraz ustanawia istotne ramy konstytucyjne dla kontroli </w:t>
            </w:r>
            <w:r>
              <w:t>Parlamentu nad sztuczną inteligencją (AI) w oparciu o te podstawowe wartości;</w:t>
            </w:r>
          </w:p>
        </w:tc>
      </w:tr>
    </w:tbl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7</w:t>
      </w:r>
      <w:r>
        <w:rPr>
          <w:rStyle w:val="HideTWBExt"/>
        </w:rPr>
        <w:t>&lt;/NumAm&gt;</w:t>
      </w:r>
    </w:p>
    <w:p>
      <w:pPr>
        <w:pStyle w:val="NormalBold12b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Motyw A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AA.</w:t>
            </w:r>
            <w:r>
              <w:tab/>
            </w:r>
            <w:r>
              <w:rPr>
                <w:b/>
                <w:i/>
              </w:rPr>
              <w:t>mając na uwadze, że traktaty oraz Karta praw podstawowych Unii Europejskiej stanowią fundament ochrony praw podstawowych w UE; mając na uwadze, że zasady te tworzą istotne ramy przewodnie kształtowania polityki UE, w tym w dziedzinie AI;</w:t>
            </w:r>
          </w:p>
        </w:tc>
      </w:tr>
    </w:tbl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8</w:t>
      </w:r>
      <w:r>
        <w:rPr>
          <w:rStyle w:val="HideTWBExt"/>
        </w:rPr>
        <w:t>&lt;/NumAm&gt;</w:t>
      </w:r>
    </w:p>
    <w:p>
      <w:pPr>
        <w:pStyle w:val="NormalBold12b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Motyw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>mając na uwadze, że zgodnie z art. 10, 11 i 14 TUE Parlament ponosi szczególną odpowiedzialność za zapewnienie demokratycznej rozliczalności, przejrzystości i skutecznej kontroli rozwoju technologicznego mającego wpływ na funkcjonowanie instytucji UE; mając na uwadze, że bezpieczny, etyczny i zgodny z prawem rozwój i wdrażanie AI wymaga solidnych ram zarządzania opartych na traktatach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mając na uwadze, że zgodnie z art. 10, 11 i 14 TUE Parlament ponosi szczególną odpowiedzialność za zapewnienie demokratycznej rozliczalności, przejrzystości i skutecznej kontroli rozwoju technologicznego mającego wpływ na funkcjonowanie instytucji UE; mając na uwadze, że bezpieczny, etyczny i zgodny z prawem rozwój i wdrażanie AI wymaga solidnych ram zarządzania opartych na </w:t>
            </w:r>
            <w:r>
              <w:rPr>
                <w:b/>
                <w:i/>
              </w:rPr>
              <w:t>prawodawstwie UE,</w:t>
            </w:r>
            <w:r>
              <w:t xml:space="preserve"> traktatach UE </w:t>
            </w:r>
            <w:r>
              <w:rPr>
                <w:b/>
                <w:i/>
              </w:rPr>
              <w:t>i konwencjach międzynarodowych</w:t>
            </w:r>
            <w:r>
              <w:t>;</w:t>
            </w:r>
          </w:p>
        </w:tc>
      </w:tr>
    </w:tbl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9</w:t>
      </w:r>
      <w:r>
        <w:rPr>
          <w:rStyle w:val="HideTWBExt"/>
        </w:rPr>
        <w:t>&lt;/NumAm&gt;</w:t>
      </w:r>
    </w:p>
    <w:p>
      <w:pPr>
        <w:pStyle w:val="NormalBold12b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Motyw B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BA.</w:t>
            </w:r>
            <w:r>
              <w:tab/>
            </w:r>
            <w:r>
              <w:rPr>
                <w:b/>
                <w:i/>
              </w:rPr>
              <w:t>mając na uwadze, że instytucjonalne podejście UE do AI musi gwarantować, iż ramy regulacyjne pozostaną proporcjonalne i nie będą tworzyć niepotrzebnych obciążeń administracyjnych; mając na uwadze, że unijne struktury zarządzania AI powinny aktywnie propagować otoczenie sprzyjające innowacjom, które umożliwia europejskim innowatorom konkurowanie na arenie międzynarodowej, przy jednoczesnym poszanowaniu praw podstawowych; mając na uwadze, że takie podejście do AI ma zasadnicze znaczenie nie tylko dla konkurencyjności UE, lecz także dla jej bezpieczeństwa, suwerenności technologicznej i autonomii strategicznej;</w:t>
            </w:r>
          </w:p>
        </w:tc>
      </w:tr>
    </w:tbl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10</w:t>
      </w:r>
      <w:r>
        <w:rPr>
          <w:rStyle w:val="HideTWBExt"/>
        </w:rPr>
        <w:t>&lt;/NumAm&gt;</w:t>
      </w:r>
    </w:p>
    <w:p>
      <w:pPr>
        <w:pStyle w:val="NormalBold12b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Motyw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>mając na uwadze, że akt w sprawie sztucznej inteligencji wprowadza pierwsze na świecie kompleksowe ramy regulacyjne dotyczące AI; mając na uwadze, że AI rozwija się w niespotykanym dotąd tempie, prowadząc do zmian w prowadzeniu działalności gospodarczej, administracji publicznej i interakcjach społecznych;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 xml:space="preserve">mając na uwadze, że akt w sprawie sztucznej inteligencji </w:t>
            </w:r>
            <w:r>
              <w:rPr>
                <w:b/>
                <w:i/>
              </w:rPr>
              <w:t>(</w:t>
            </w:r>
            <w:r>
              <w:rPr>
                <w:b/>
                <w:i/>
              </w:rPr>
              <w:t>akt w sprawie AI)</w:t>
            </w:r>
            <w:r>
              <w:t xml:space="preserve"> wprowadza pierwsze na świecie kompleksowe ramy regulacyjne dotyczące AI;</w:t>
            </w:r>
            <w:r>
              <w:rPr>
                <w:b/>
                <w:i/>
              </w:rPr>
              <w:t xml:space="preserve"> mając na uwadze, że obejmuje on kompleksowy zbiór przepisów, które regulują dostarczanie i wdrażanie AI na rynku wewnętrznym, wspierają innowacje i propagują wykorzystanie ukierunkowanej na człowieka i godnej zaufania AI, a jednocześnie ustanawiają wysoki standard na całym świecie;</w:t>
            </w:r>
            <w:r>
              <w:t xml:space="preserve"> mając na uwadze, że AI rozwija się w niespotykanym dotąd tempie, prowadząc do zmian w prowadzeniu działalności gospodarczej, administracji publicznej i interakcjach społecznych;</w:t>
            </w:r>
          </w:p>
        </w:tc>
      </w:tr>
    </w:tbl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11</w:t>
      </w:r>
      <w:r>
        <w:rPr>
          <w:rStyle w:val="HideTWBExt"/>
        </w:rPr>
        <w:t>&lt;/NumAm&gt;</w:t>
      </w:r>
    </w:p>
    <w:p>
      <w:pPr>
        <w:pStyle w:val="NormalBold12b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Motyw C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CA.</w:t>
            </w:r>
            <w:r>
              <w:tab/>
            </w:r>
            <w:r>
              <w:rPr>
                <w:b/>
                <w:i/>
              </w:rPr>
              <w:t>mając na uwadze, że w akcie zbiorczym prawa cyfrowego dotyczącym AI wprowadzono ukierunkowane środki upraszczające mające zapewnić terminowe, sprawne i proporcjonalne wdrożenie niektórych przepisów aktu w sprawie AI; mając na uwadze, że w odrębnym wniosku dotyczącym aktu zbiorczego prawa cyfrowego przeanalizowano ponadto potrzebę wyjaśnienia, w jaki sposób dane osobowe mogą być wykorzystywane do trenowania i rozwoju AI; mając na uwadze, że oba wnioski odzwierciedlają potrzebę dostosowania ram prawnych UE w związku z szybkim rozwojem AI w UE i na świecie;</w:t>
            </w:r>
          </w:p>
        </w:tc>
      </w:tr>
    </w:tbl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12</w:t>
      </w:r>
      <w:r>
        <w:rPr>
          <w:rStyle w:val="HideTWBExt"/>
        </w:rPr>
        <w:t>&lt;/NumAm&gt;</w:t>
      </w:r>
    </w:p>
    <w:p>
      <w:pPr>
        <w:pStyle w:val="NormalBold12b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Motyw C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CB.</w:t>
            </w:r>
            <w:r>
              <w:tab/>
            </w:r>
            <w:r>
              <w:rPr>
                <w:b/>
                <w:i/>
              </w:rPr>
              <w:t xml:space="preserve">mając na uwadze, że w konwencji ramowej Rady Europy w sprawie AI przedstawiono przepisy mające zapewnić, aby systemy AI spełniały rygorystyczne normy etyczne w całym cyklu życia, propagowały przejrzystość, możliwość kontroli i skuteczny nadzór oraz wzmacniały zabezpieczenia w celu ochrony praw podstawowych, demokracji i praworządności; mając na uwadze, że konwencja ramowa, do której mogą przystąpić państwa spoza Europy, propaguje globalny punkt odniesienia dla zarządzania AI ukierunkowanego na ochronę praw; mając na uwadze, że na szczeblu UE zasady i obowiązki określone w konwencji ramowej są już wdrażane za pośrednictwem spójnego zbioru przepisów, który ustanawia wyższy i bardziej szczegółowy poziom ochrony, w tym w szczególności aktu w sprawie AI; </w:t>
            </w:r>
          </w:p>
        </w:tc>
      </w:tr>
    </w:tbl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13</w:t>
      </w:r>
      <w:r>
        <w:rPr>
          <w:rStyle w:val="HideTWBExt"/>
        </w:rPr>
        <w:t>&lt;/NumAm&gt;</w:t>
      </w:r>
    </w:p>
    <w:p>
      <w:pPr>
        <w:pStyle w:val="NormalBold12b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Motyw CC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CC.</w:t>
            </w:r>
            <w:r>
              <w:tab/>
            </w:r>
            <w:r>
              <w:rPr>
                <w:b/>
                <w:i/>
              </w:rPr>
              <w:t>mając na uwadze, że wspieranie godnej zaufania i ukierunkowanej na człowieka AI ma zasadnicze znaczenie dla wzmocnienia konkurencyjności, zdolności innowacyjnych, suwerenności technologicznej i autonomii strategicznej UE w coraz bardziej konkurencyjnym środowisku globalnym;</w:t>
            </w:r>
          </w:p>
        </w:tc>
      </w:tr>
    </w:tbl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14</w:t>
      </w:r>
      <w:r>
        <w:rPr>
          <w:rStyle w:val="HideTWBExt"/>
        </w:rPr>
        <w:t>&lt;/NumAm&gt;</w:t>
      </w:r>
    </w:p>
    <w:p>
      <w:pPr>
        <w:pStyle w:val="NormalBold12b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Motyw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E.</w:t>
            </w:r>
            <w:r>
              <w:tab/>
            </w:r>
            <w:r>
              <w:t>mając na uwadze, że Parlament, jako demokratyczna instytucja przedstawicielska UE, odgrywa zasadną rolę w takich globalnych dyskusjach, zgodnie z art. 10, 11 i 13 TUE, a także odpowiada za ochronę demokratycznej rozliczalności i spójności instytucjonalnej działań zewnętrznych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E.</w:t>
            </w:r>
            <w:r>
              <w:tab/>
            </w:r>
            <w:r>
              <w:t xml:space="preserve">mając na uwadze, że Parlament, jako </w:t>
            </w:r>
            <w:r>
              <w:rPr>
                <w:b/>
                <w:i/>
              </w:rPr>
              <w:t>bezpośrednio wybierana</w:t>
            </w:r>
            <w:r>
              <w:t xml:space="preserve"> demokratyczna instytucja przedstawicielska UE, odgrywa zasadną rolę w takich globalnych dyskusjach, zgodnie z art. 10, 11 i 13 TUE, a także odpowiada za ochronę demokratycznej rozliczalności i spójności instytucjonalnej działań zewnętrznych UE</w:t>
            </w:r>
            <w:r>
              <w:rPr>
                <w:b/>
                <w:i/>
              </w:rPr>
              <w:t>, a jednocześnie za zapewnienie europejskim przedsiębiorstwom technologicznym możliwości rozwijania i wdrażania AI, wspieranie innowacyjności, konkurencyjności i technologicznego przywództwa Europy, a także za ochronę praw podstawowych i porządku prawnego</w:t>
            </w:r>
            <w:r>
              <w:t>;</w:t>
            </w:r>
          </w:p>
        </w:tc>
      </w:tr>
    </w:tbl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15</w:t>
      </w:r>
      <w:r>
        <w:rPr>
          <w:rStyle w:val="HideTWBExt"/>
        </w:rPr>
        <w:t>&lt;/NumAm&gt;</w:t>
      </w:r>
    </w:p>
    <w:p>
      <w:pPr>
        <w:pStyle w:val="NormalBold12b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Motyw H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H.</w:t>
            </w:r>
            <w:r>
              <w:tab/>
            </w:r>
            <w:r>
              <w:t>mając na uwadze, że ogromne znaczenie będzie miało monitorowanie globalnego rozwoju AI na szczeblu UE, w ścisłej współpracy z Urzędem ds. Sztucznej Inteligencji Komisji, Europejską Radą ds. Sztucznej Inteligencji (Radą ds. AI) i właściwymi organami krajowymi, monitorowanie rozwoju sytuacji w państwach członkowskich</w:t>
            </w:r>
            <w:r>
              <w:rPr>
                <w:b/>
                <w:i/>
              </w:rPr>
              <w:t>,</w:t>
            </w:r>
            <w:r>
              <w:t xml:space="preserve"> prowadzenie regularnej wymiany informacji </w:t>
            </w:r>
            <w:r>
              <w:rPr>
                <w:b/>
                <w:i/>
              </w:rPr>
              <w:t>z</w:t>
            </w:r>
            <w:r>
              <w:t xml:space="preserve"> parlamentami narodowymi oraz identyfikowanie potencjalnych międzysektorowych przypadków pokrywania się ram prawnych UE dotyczących AI i luk w tych ramach; mając na uwadze, że </w:t>
            </w:r>
            <w:r>
              <w:rPr>
                <w:b/>
                <w:i/>
              </w:rPr>
              <w:t>proponowane obserwatorium</w:t>
            </w:r>
            <w:r>
              <w:t xml:space="preserve"> Parlamentu</w:t>
            </w:r>
            <w:r>
              <w:rPr>
                <w:b/>
                <w:i/>
              </w:rPr>
              <w:t xml:space="preserve"> Europejskiego ds. </w:t>
            </w:r>
            <w:r>
              <w:t>AI</w:t>
            </w:r>
            <w:r>
              <w:rPr>
                <w:b/>
                <w:i/>
              </w:rPr>
              <w:t xml:space="preserve"> powinno</w:t>
            </w:r>
            <w:r>
              <w:t xml:space="preserve"> odgrywać centralną rolę w </w:t>
            </w:r>
            <w:r>
              <w:rPr>
                <w:b/>
                <w:i/>
              </w:rPr>
              <w:t xml:space="preserve">tym </w:t>
            </w:r>
            <w:r>
              <w:t>zakresie;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H.</w:t>
            </w:r>
            <w:r>
              <w:tab/>
            </w:r>
            <w:r>
              <w:t xml:space="preserve">mając na uwadze, że ogromne znaczenie będzie miało monitorowanie globalnego rozwoju AI na szczeblu UE </w:t>
            </w:r>
            <w:r>
              <w:rPr>
                <w:b/>
                <w:i/>
              </w:rPr>
              <w:t>i państw członkowskich</w:t>
            </w:r>
            <w:r>
              <w:t xml:space="preserve">, w ścisłej współpracy z Urzędem ds. Sztucznej Inteligencji Komisji, Europejską Radą ds. Sztucznej Inteligencji (Radą ds. AI) i właściwymi organami krajowymi, monitorowanie rozwoju sytuacji w państwach członkowskich </w:t>
            </w:r>
            <w:r>
              <w:rPr>
                <w:b/>
                <w:i/>
              </w:rPr>
              <w:t>i</w:t>
            </w:r>
            <w:r>
              <w:t xml:space="preserve"> prowadzenie regularnej wymiany informacji </w:t>
            </w:r>
            <w:r>
              <w:rPr>
                <w:b/>
                <w:i/>
              </w:rPr>
              <w:t>między Parlamentem Europejskim a</w:t>
            </w:r>
            <w:r>
              <w:t xml:space="preserve"> parlamentami narodowymi oraz identyfikowanie potencjalnych międzysektorowych przypadków pokrywania się ram prawnych UE dotyczących AI i luk w tych ramach </w:t>
            </w:r>
            <w:r>
              <w:rPr>
                <w:b/>
                <w:i/>
              </w:rPr>
              <w:t>w celu zwiększenia spójności, pewności prawa i wdrażania sprzyjającego innowacjom w całej UE</w:t>
            </w:r>
            <w:r>
              <w:t xml:space="preserve">; mając na uwadze, że </w:t>
            </w:r>
            <w:r>
              <w:rPr>
                <w:b/>
                <w:i/>
              </w:rPr>
              <w:t xml:space="preserve">działania </w:t>
            </w:r>
            <w:r>
              <w:t>Parlamentu</w:t>
            </w:r>
            <w:r>
              <w:rPr>
                <w:b/>
                <w:i/>
              </w:rPr>
              <w:t xml:space="preserve"> na rzecz zwiększenia jego wewnętrznych zdolności analitycznych i zarządczych związanych z </w:t>
            </w:r>
            <w:r>
              <w:t>AI</w:t>
            </w:r>
            <w:r>
              <w:rPr>
                <w:b/>
                <w:i/>
              </w:rPr>
              <w:t xml:space="preserve">, w tym poprzez utworzenie specjalnej jednostki administracyjnej, mogłyby opierać się na pracach grupy roboczej ds. aktu w sprawie AI oraz w dalszym ciągu </w:t>
            </w:r>
            <w:r>
              <w:t>odgrywać centralną rolę</w:t>
            </w:r>
            <w:r>
              <w:rPr>
                <w:b/>
                <w:i/>
              </w:rPr>
              <w:t xml:space="preserve"> </w:t>
            </w:r>
            <w:r>
              <w:t>w</w:t>
            </w:r>
            <w:r>
              <w:rPr>
                <w:b/>
                <w:i/>
              </w:rPr>
              <w:t xml:space="preserve"> instytucjonalnym zarządzaniu AI w Parlamencie w odniesieniu do rozliczalności i wyjaśnialności skutków systemów AI wdrażanych w tej instytucji;</w:t>
            </w:r>
            <w:r>
              <w:rPr>
                <w:b/>
                <w:i/>
              </w:rPr>
              <w:t xml:space="preserve"> mając na uwadze, że mogłoby to również przyczynić się do osiągnięcia odpowiedniego poziomu kompetencji w zakresie AI wśród pracowników Parlamentu</w:t>
            </w:r>
            <w:r>
              <w:t>;</w:t>
            </w:r>
            <w:r>
              <w:rPr>
                <w:b/>
                <w:i/>
              </w:rPr>
              <w:t xml:space="preserve"> mając na uwadze, że ta jednostka administracyjna powinna również opierać się na doświadczeniach Zespołu ds. Przyszłości Nauki i Techniki (STOA), ustanowionego w 1988 r. jako organ stały, którego jednym z głównych priorytetów tematycznych jest AI, a także Biura Analiz Parlamentu Europejskiego;</w:t>
            </w:r>
          </w:p>
        </w:tc>
      </w:tr>
    </w:tbl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16</w:t>
      </w:r>
      <w:r>
        <w:rPr>
          <w:rStyle w:val="HideTWBExt"/>
        </w:rPr>
        <w:t>&lt;/NumAm&gt;</w:t>
      </w:r>
    </w:p>
    <w:p>
      <w:pPr>
        <w:pStyle w:val="NormalBold12b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Motyw H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HA.</w:t>
            </w:r>
            <w:r>
              <w:tab/>
            </w:r>
            <w:r>
              <w:rPr>
                <w:b/>
                <w:i/>
              </w:rPr>
              <w:t>mając na uwadze, że Komisja Rynku Wewnętrznego i Ochrony Konsumentów (IMCO) wraz z Komisją Wolności Obywatelskich, Sprawiedliwości i Spraw Wewnętrznych (LIBE) Parlamentu Europejskiego powołały wspólną grupę roboczą IMCO-LIBE ds. wdrażania i egzekwowania aktu w sprawie AI (grupa robocza ds. aktu w sprawie AI), która służy jako platforma wymiany informacji z Komisją, a w szczególności z Urzędem ds. AI, i innymi właściwymi zainteresowanymi stronami na temat stanu wdrażania aktu w sprawie AI oraz szerszego monitorowania rozwoju AI;</w:t>
            </w:r>
          </w:p>
        </w:tc>
      </w:tr>
    </w:tbl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17</w:t>
      </w:r>
      <w:r>
        <w:rPr>
          <w:rStyle w:val="HideTWBExt"/>
        </w:rPr>
        <w:t>&lt;/NumAm&gt;</w:t>
      </w:r>
    </w:p>
    <w:p>
      <w:pPr>
        <w:pStyle w:val="NormalBold12b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Motyw I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I.</w:t>
            </w:r>
            <w:r>
              <w:tab/>
            </w:r>
            <w:r>
              <w:rPr>
                <w:b/>
                <w:i/>
              </w:rPr>
              <w:t>mając na uwadze, że obserwatorium to kwalifikowałoby się jako organ UE, który może gościć na posiedzeniach Rady ds. AI, zgodnie z art. 65 ust. 2 aktu w sprawie sztucznej inteligencji;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skreśla się</w:t>
            </w:r>
          </w:p>
        </w:tc>
      </w:tr>
    </w:tbl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18</w:t>
      </w:r>
      <w:r>
        <w:rPr>
          <w:rStyle w:val="HideTWBExt"/>
        </w:rPr>
        <w:t>&lt;/NumAm&gt;</w:t>
      </w:r>
    </w:p>
    <w:p>
      <w:pPr>
        <w:pStyle w:val="NormalBold12b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Motyw J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J.</w:t>
            </w:r>
            <w:r>
              <w:tab/>
            </w:r>
            <w:r>
              <w:t>mając na uwadze, że AI może wspierać kontrolę parlamentarną nad wdrażaniem i stosowaniem prawa UE przez zmniejszanie asymetrii informacyjnej i ograniczenie powtarzających się trudności Parlamentu w dostępie do odpowiednich danych, a także przez przyczynianie się do poprawy procesów ustawodawczych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J.</w:t>
            </w:r>
            <w:r>
              <w:tab/>
            </w:r>
            <w:r>
              <w:t>mając na uwadze, że AI</w:t>
            </w:r>
            <w:r>
              <w:rPr>
                <w:b/>
                <w:i/>
              </w:rPr>
              <w:t>, pod skutecznym nadzorem sprawowanym przez człowieka,</w:t>
            </w:r>
            <w:r>
              <w:t xml:space="preserve"> może wspierać kontrolę parlamentarną nad wdrażaniem i stosowaniem prawa UE przez zmniejszanie asymetrii informacyjnej i ograniczenie powtarzających się trudności Parlamentu w dostępie do odpowiednich danych, a także przez przyczynianie się do poprawy procesów ustawodawczych UE</w:t>
            </w:r>
            <w:r>
              <w:rPr>
                <w:b/>
                <w:i/>
              </w:rPr>
              <w:t>, w tym ich upraszczanie oraz zwiększanie ich efektywności i zorientowania na potrzeby</w:t>
            </w:r>
            <w:r>
              <w:t>;</w:t>
            </w:r>
          </w:p>
        </w:tc>
      </w:tr>
    </w:tbl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19</w:t>
      </w:r>
      <w:r>
        <w:rPr>
          <w:rStyle w:val="HideTWBExt"/>
        </w:rPr>
        <w:t>&lt;/NumAm&gt;</w:t>
      </w:r>
    </w:p>
    <w:p>
      <w:pPr>
        <w:pStyle w:val="NormalBold12b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Motyw J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JA.</w:t>
            </w:r>
            <w:r>
              <w:tab/>
            </w:r>
            <w:r>
              <w:rPr>
                <w:b/>
                <w:i/>
              </w:rPr>
              <w:t>mając na uwadze, że odpowiedzialne wykorzystywanie systemów AI może poprawić jakość, dostępność i skuteczność procesów ustawodawczych i administracyjnych dzięki wspieraniu kształtowania polityki opartej na dowodach, ułatwianiu analizy złożonych ram regulacyjnych i poprawie dostępu do informacji istotnych na potrzeby kontroli demokratycznej;</w:t>
            </w:r>
          </w:p>
        </w:tc>
      </w:tr>
    </w:tbl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20</w:t>
      </w:r>
      <w:r>
        <w:rPr>
          <w:rStyle w:val="HideTWBExt"/>
        </w:rPr>
        <w:t>&lt;/NumAm&gt;</w:t>
      </w:r>
    </w:p>
    <w:p>
      <w:pPr>
        <w:pStyle w:val="NormalBold12b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Motyw K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K.</w:t>
            </w:r>
            <w:r>
              <w:tab/>
            </w:r>
            <w:r>
              <w:t>mając na uwadze, że szybki rozwój technologii AI wymaga ciągłych zdolności analitycznych, aby ocenić instytucjonalne, demokratyczne i prawne skutki tych technologii dla funkcjonowania UE; mając na uwadze, że Parlament powinien zatem zwiększyć wewnętrzną wiedzę fachową i zdolności monitorowania w tej dziedzinie;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K.</w:t>
            </w:r>
            <w:r>
              <w:tab/>
            </w:r>
            <w:r>
              <w:t>mając na uwadze, że szybki rozwój technologii AI wymaga ciągłych zdolności analitycznych, aby ocenić instytucjonalne, demokratyczne i prawne skutki tych technologii dla funkcjonowania UE; mając na uwadze, że Parlament powinien zatem zwiększyć wewnętrzną wiedzę fachową i zdolności monitorowania w tej dziedzinie</w:t>
            </w:r>
            <w:r>
              <w:rPr>
                <w:b/>
                <w:i/>
              </w:rPr>
              <w:t xml:space="preserve"> – w tym poprzez kompleksowe szkolenia rozwijające kompetencje w zakresie AI – oraz wspierać świadome, efektywne i odpowiedzialne wykorzystywanie technologii AI</w:t>
            </w:r>
            <w:r>
              <w:t>;</w:t>
            </w:r>
          </w:p>
        </w:tc>
      </w:tr>
    </w:tbl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21</w:t>
      </w:r>
      <w:r>
        <w:rPr>
          <w:rStyle w:val="HideTWBExt"/>
        </w:rPr>
        <w:t>&lt;/NumAm&gt;</w:t>
      </w:r>
    </w:p>
    <w:p>
      <w:pPr>
        <w:pStyle w:val="NormalBold12b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Motyw K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KA.</w:t>
            </w:r>
            <w:r>
              <w:tab/>
            </w:r>
            <w:r>
              <w:rPr>
                <w:b/>
                <w:i/>
              </w:rPr>
              <w:t>mając na uwadze, że rozbieżności w interpretacjach i wdrażaniu unijnych przepisów dotyczących AI na szczeblu krajowym stwarzają ryzyko fragmentacji regulacyjnej, niepewności prawa i barier dla transgranicznego wdrażania AI na rynku wewnętrznym, w szczególności dla MŚP i przedsiębiorstw typu start-up działających w kilku państwach członkowskich; mając na uwadze, że AI, pod odpowiednim nadzorem sprawowanym przez człowieka, może zwiększyć zdolność Parlamentu do skutecznej i opartej na dowodach kontroli wdrażania i stosowania prawa Unii poprzez ograniczanie asymetrii informacyjnej, usprawnianie analizy istotnych informacji oraz pomoc w przezwyciężaniu powtarzających się trudności w dostępie do danych niezbędnych do nadzoru demokratycznego;</w:t>
            </w:r>
          </w:p>
        </w:tc>
      </w:tr>
    </w:tbl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22</w:t>
      </w:r>
      <w:r>
        <w:rPr>
          <w:rStyle w:val="HideTWBExt"/>
        </w:rPr>
        <w:t>&lt;/NumAm&gt;</w:t>
      </w:r>
    </w:p>
    <w:p>
      <w:pPr>
        <w:pStyle w:val="NormalBold12b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Motyw L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L.</w:t>
            </w:r>
            <w:r>
              <w:tab/>
            </w:r>
            <w:r>
              <w:t>mając na uwadze, że szybkie wdrażanie technologii AI gruntownie zmienia kampanie wyborcze i komunikację polityczną; mając na uwadze, że takie technologie mogą zakłócać integralność procesów wyborczych i podważać zaufanie do instytucji demokratycznych, w tym w kontekście wyborów europejskich;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L.</w:t>
            </w:r>
            <w:r>
              <w:tab/>
            </w:r>
            <w:r>
              <w:t>mając na uwadze, że szybkie wdrażanie technologii AI gruntownie zmienia kampanie wyborcze i komunikację polityczną</w:t>
            </w:r>
            <w:r>
              <w:rPr>
                <w:b/>
                <w:i/>
              </w:rPr>
              <w:t>, często przy bardzo niskich kosztach</w:t>
            </w:r>
            <w:r>
              <w:t>; mając na uwadze, że takie technologie mogą zakłócać integralność procesów wyborczych i podważać zaufanie do instytucji demokratycznych</w:t>
            </w:r>
            <w:r>
              <w:rPr>
                <w:b/>
                <w:i/>
              </w:rPr>
              <w:t>, w szczególności gdy są wykorzystywane przez wrogie podmioty</w:t>
            </w:r>
            <w:r>
              <w:t>, w tym w kontekście wyborów europejskich;</w:t>
            </w:r>
          </w:p>
        </w:tc>
      </w:tr>
    </w:tbl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23</w:t>
      </w:r>
      <w:r>
        <w:rPr>
          <w:rStyle w:val="HideTWBExt"/>
        </w:rPr>
        <w:t>&lt;/NumAm&gt;</w:t>
      </w:r>
    </w:p>
    <w:p>
      <w:pPr>
        <w:pStyle w:val="NormalBold12b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Motyw M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MA.</w:t>
            </w:r>
            <w:r>
              <w:tab/>
            </w:r>
            <w:r>
              <w:rPr>
                <w:b/>
                <w:i/>
              </w:rPr>
              <w:t>mając na uwadze, że art. 77 aktu w sprawie AI przewiduje kluczową rolę krajowych organów lub podmiotów publicznych w nadzorowaniu lub egzekwowaniu przestrzegania obowiązków wynikających z prawa Unii chroniącego prawa podstawowe, w tym prawa do niedyskryminacji;</w:t>
            </w:r>
          </w:p>
        </w:tc>
      </w:tr>
    </w:tbl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24</w:t>
      </w:r>
      <w:r>
        <w:rPr>
          <w:rStyle w:val="HideTWBExt"/>
        </w:rPr>
        <w:t>&lt;/NumAm&gt;</w:t>
      </w:r>
    </w:p>
    <w:p>
      <w:pPr>
        <w:pStyle w:val="NormalBold12b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1a.</w:t>
            </w:r>
            <w:r>
              <w:tab/>
            </w:r>
            <w:r>
              <w:rPr>
                <w:b/>
                <w:i/>
              </w:rPr>
              <w:t>podkreśla, że szybkie wdrożenie zaawansowanych systemów AI nie może tworzyć szarej strefy prawnej ani osłabiać egzekwowania obowiązujących przepisów; podkreśla, że innowacje technologiczne nigdy nie mogą odbywać się kosztem praworządności, bezpieczeństwa publicznego ani demokratycznej rozliczalności; apeluje, aby unijne struktury zarządzania AI obejmowały mechanizmy umożliwiające prowadzenie ustrukturyzowanych konsultacji z europejskimi innowatorami, oraz podkreśla, że wspieranie innowacji w dziedzinie AI ma zasadnicze znaczenie nie tylko dla zwiększenia konkurencyjności UE, lecz także dla zapewnienia jej bezpieczeństwa, suwerenności technologicznej i autonomii strategicznej; wzywa Komisję, aby zadbała o to, by akt w sprawie AI wdrażano w systematyczny i przejrzysty sposób;</w:t>
            </w:r>
          </w:p>
        </w:tc>
      </w:tr>
    </w:tbl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25</w:t>
      </w:r>
      <w:r>
        <w:rPr>
          <w:rStyle w:val="HideTWBExt"/>
        </w:rPr>
        <w:t>&lt;/NumAm&gt;</w:t>
      </w:r>
    </w:p>
    <w:p>
      <w:pPr>
        <w:pStyle w:val="NormalBold12b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potwierdza, że podejście UE do AI musi być w pełni zgodne z wartościami przewidzianymi w art. 2 TUE, w tym z demokracją, praworządnością i prawami podstawowymi, oraz że wdrażanie AI w instytucjach musi pozostać </w:t>
            </w:r>
            <w:r>
              <w:rPr>
                <w:b/>
                <w:i/>
              </w:rPr>
              <w:t>ukierunkowane na</w:t>
            </w:r>
            <w:r>
              <w:t xml:space="preserve"> człowieka;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potwierdza, że podejście UE do AI musi być w pełni zgodne z wartościami przewidzianymi w art. 2 TUE, w tym z demokracją, praworządnością i prawami podstawowymi, oraz że wdrażanie </w:t>
            </w:r>
            <w:r>
              <w:rPr>
                <w:b/>
                <w:i/>
              </w:rPr>
              <w:t xml:space="preserve">i wykorzystywanie </w:t>
            </w:r>
            <w:r>
              <w:t xml:space="preserve">AI w instytucjach musi pozostać </w:t>
            </w:r>
            <w:r>
              <w:rPr>
                <w:b/>
                <w:i/>
              </w:rPr>
              <w:t xml:space="preserve">pod pełnym nadzorem sprawowanym przez </w:t>
            </w:r>
            <w:r>
              <w:t>człowieka</w:t>
            </w:r>
            <w:r>
              <w:rPr>
                <w:b/>
                <w:i/>
              </w:rPr>
              <w:t>, co oznacza, iż osoba fizyczna musi sprawować skuteczny nadzór nad każdym narzędziem AI podczas jego wykorzystywania, co przyczyni się do wzmocnienia zaufania obywateli do instytucji demokratycznych i administracji publicznej</w:t>
            </w:r>
            <w:r>
              <w:t>;</w:t>
            </w:r>
          </w:p>
        </w:tc>
      </w:tr>
    </w:tbl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26</w:t>
      </w:r>
      <w:r>
        <w:rPr>
          <w:rStyle w:val="HideTWBExt"/>
        </w:rPr>
        <w:t>&lt;/NumAm&gt;</w:t>
      </w:r>
    </w:p>
    <w:p>
      <w:pPr>
        <w:pStyle w:val="NormalBold12b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wzywa do zorganizowanego </w:t>
            </w:r>
            <w:r>
              <w:rPr>
                <w:b/>
                <w:i/>
              </w:rPr>
              <w:t>i</w:t>
            </w:r>
            <w:r>
              <w:t xml:space="preserve"> regularnego dialogu międzyinstytucjonalnego między Parlamentem, Komisją i Radą na temat instytucjonalnych skutków AI;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>wzywa do zorganizowanego</w:t>
            </w:r>
            <w:r>
              <w:rPr>
                <w:b/>
                <w:i/>
              </w:rPr>
              <w:t>,</w:t>
            </w:r>
            <w:r>
              <w:t xml:space="preserve"> regularnego </w:t>
            </w:r>
            <w:r>
              <w:rPr>
                <w:b/>
                <w:i/>
              </w:rPr>
              <w:t>i przejrzystego</w:t>
            </w:r>
            <w:r>
              <w:t xml:space="preserve"> dialogu międzyinstytucjonalnego między Parlamentem, Komisją i Radą na temat instytucjonalnych skutków AI</w:t>
            </w:r>
            <w:r>
              <w:rPr>
                <w:b/>
                <w:i/>
              </w:rPr>
              <w:t>, w tym do regularnej wymiany informacji na temat wdrażania unijnych przepisów dotyczących AI, koordynacji administracyjnej oraz wpływu systemów AI na spójność rynku wewnętrznego</w:t>
            </w:r>
            <w:r>
              <w:t>;</w:t>
            </w:r>
          </w:p>
        </w:tc>
      </w:tr>
    </w:tbl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27</w:t>
      </w:r>
      <w:r>
        <w:rPr>
          <w:rStyle w:val="HideTWBExt"/>
        </w:rPr>
        <w:t>&lt;/NumAm&gt;</w:t>
      </w:r>
    </w:p>
    <w:p>
      <w:pPr>
        <w:pStyle w:val="NormalBold12b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podkreśla znaczenie udziału </w:t>
            </w:r>
            <w:r>
              <w:rPr>
                <w:b/>
                <w:i/>
              </w:rPr>
              <w:t>Parlamentu</w:t>
            </w:r>
            <w:r>
              <w:t xml:space="preserve"> w dyskusjach na temat globalnego zarządzania AI; w związku z tym </w:t>
            </w:r>
            <w:r>
              <w:rPr>
                <w:b/>
                <w:i/>
              </w:rPr>
              <w:t>zdecydowanie</w:t>
            </w:r>
            <w:r>
              <w:t xml:space="preserve"> popiera zaangażowanie Parlamentu na forach wielostronnych, takich jak doroczny szczyt ONZ pt. „AI for Good”; przyznaje, że angażując się globalnie w jasny zestaw wartości i zasad etycznych, Parlament wzmacnia swoją demokratyczną rolę i wiarygodność, przy pełnym poszanowaniu kompetencji Komisji w tej dziedzinie i zgodnie z zasadą lojalnej współpracy, jak określono w art. 13 ust. 2 TUE;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podkreśla znaczenie </w:t>
            </w:r>
            <w:r>
              <w:rPr>
                <w:b/>
                <w:i/>
              </w:rPr>
              <w:t>szerokiego</w:t>
            </w:r>
            <w:r>
              <w:t xml:space="preserve"> udziału</w:t>
            </w:r>
            <w:r>
              <w:rPr>
                <w:b/>
                <w:i/>
              </w:rPr>
              <w:t xml:space="preserve"> europejskich przedstawicieli</w:t>
            </w:r>
            <w:r>
              <w:t xml:space="preserve"> w dyskusjach na temat globalnego zarządzania AI;</w:t>
            </w:r>
            <w:r>
              <w:rPr>
                <w:b/>
                <w:i/>
              </w:rPr>
              <w:t xml:space="preserve"> </w:t>
            </w:r>
            <w:r>
              <w:t>w związku z tym popiera zaangażowanie Parlamentu na forach wielostronnych, takich jak doroczny szczyt ONZ pt. „AI for Good”; przyznaje, że angażując się globalnie w jasny zestaw wartości i zasad etycznych, Parlament wzmacnia swoją demokratyczną rolę i wiarygodność, przy pełnym poszanowaniu kompetencji Komisji w tej dziedzinie i zgodnie z zasadą lojalnej współpracy, jak określono w art. 13 ust. 2 TUE;</w:t>
            </w:r>
          </w:p>
        </w:tc>
      </w:tr>
    </w:tbl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28</w:t>
      </w:r>
      <w:r>
        <w:rPr>
          <w:rStyle w:val="HideTWBExt"/>
        </w:rPr>
        <w:t>&lt;/NumAm&gt;</w:t>
      </w:r>
    </w:p>
    <w:p>
      <w:pPr>
        <w:pStyle w:val="NormalBold12b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podkreśla, że w erze silnej konkurencji geopolitycznej udział Parlamentu w forach międzynarodowych ma zasadnicze znaczenie; podkreśla, że praktyki i technologie AI udostępniane na zewnątrz muszą być zgodne </w:t>
            </w:r>
            <w:r>
              <w:rPr>
                <w:b/>
                <w:i/>
              </w:rPr>
              <w:t>ze zobowiązaniami Parlamentu dotyczącymi</w:t>
            </w:r>
            <w:r>
              <w:t xml:space="preserve"> przejrzystości, zrównoważonego rozwoju, ochrony danych </w:t>
            </w:r>
            <w:r>
              <w:rPr>
                <w:b/>
                <w:i/>
              </w:rPr>
              <w:t xml:space="preserve">i </w:t>
            </w:r>
            <w:r>
              <w:t>nadzoru demokratycznego; zwraca ponadto uwagę na znaczenie</w:t>
            </w:r>
            <w:r>
              <w:rPr>
                <w:b/>
                <w:i/>
              </w:rPr>
              <w:t xml:space="preserve"> przeciwdziałania </w:t>
            </w:r>
            <w:r>
              <w:t>ryzyku systemowemu związanemu z AI, w tym</w:t>
            </w:r>
            <w:r>
              <w:rPr>
                <w:b/>
                <w:i/>
              </w:rPr>
              <w:t xml:space="preserve"> rozpowszechnianiu </w:t>
            </w:r>
            <w:r>
              <w:t>tzw.</w:t>
            </w:r>
            <w:r>
              <w:rPr>
                <w:b/>
                <w:i/>
              </w:rPr>
              <w:t xml:space="preserve"> halucynacji</w:t>
            </w:r>
            <w:r>
              <w:t>, które</w:t>
            </w:r>
            <w:r>
              <w:rPr>
                <w:b/>
                <w:i/>
              </w:rPr>
              <w:t xml:space="preserve"> mogą podważać </w:t>
            </w:r>
            <w:r>
              <w:t>dokładność i wiarygodność</w:t>
            </w:r>
            <w:r>
              <w:rPr>
                <w:b/>
                <w:i/>
              </w:rPr>
              <w:t xml:space="preserve"> informacji</w:t>
            </w:r>
            <w:r>
              <w:t>, a także potencjalnym społeczno-gospodarczym skutkom AI, zwłaszcza pod względem przenoszenia miejsc pracy, a nie tylko promowania doskonałości technologicznej;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podkreśla, że w erze silnej konkurencji geopolitycznej udział Parlamentu w forach międzynarodowych ma zasadnicze znaczenie; podkreśla, że praktyki i technologie AI udostępniane na zewnątrz muszą </w:t>
            </w:r>
            <w:r>
              <w:rPr>
                <w:b/>
                <w:i/>
              </w:rPr>
              <w:t xml:space="preserve">sprzyjać innowacjom i konkurencyjności oraz </w:t>
            </w:r>
            <w:r>
              <w:t>być zgodne z </w:t>
            </w:r>
            <w:r>
              <w:rPr>
                <w:b/>
                <w:i/>
              </w:rPr>
              <w:t>rygorystycznymi normami w zakresie</w:t>
            </w:r>
            <w:r>
              <w:t xml:space="preserve"> przejrzystości, zrównoważonego rozwoju, </w:t>
            </w:r>
            <w:r>
              <w:rPr>
                <w:b/>
                <w:i/>
              </w:rPr>
              <w:t>prywatności i</w:t>
            </w:r>
            <w:r>
              <w:t xml:space="preserve"> ochrony </w:t>
            </w:r>
            <w:r>
              <w:rPr>
                <w:b/>
                <w:i/>
              </w:rPr>
              <w:t>danych osobowych</w:t>
            </w:r>
            <w:r>
              <w:t xml:space="preserve"> </w:t>
            </w:r>
            <w:r>
              <w:rPr>
                <w:b/>
                <w:i/>
              </w:rPr>
              <w:t xml:space="preserve">oraz cyberbezpieczeństwa, a także </w:t>
            </w:r>
            <w:r>
              <w:t>nadzoru demokratycznego; zwraca ponadto uwagę na znaczenie</w:t>
            </w:r>
            <w:r>
              <w:rPr>
                <w:b/>
                <w:i/>
              </w:rPr>
              <w:t xml:space="preserve"> propagowania godnej zaufania i ukierunkowanej na człowieka AI, przy jednoczesnym przeciwdziałaniu </w:t>
            </w:r>
            <w:r>
              <w:t xml:space="preserve">ryzyku systemowemu związanemu z AI, w tym tzw. </w:t>
            </w:r>
            <w:r>
              <w:rPr>
                <w:b/>
                <w:i/>
              </w:rPr>
              <w:t>halucynacjom oraz ryzyku zatruwania AI lub groomingu dużych modeli językowych</w:t>
            </w:r>
            <w:r>
              <w:t>, które</w:t>
            </w:r>
            <w:r>
              <w:rPr>
                <w:b/>
                <w:i/>
              </w:rPr>
              <w:t xml:space="preserve"> podważają </w:t>
            </w:r>
            <w:r>
              <w:t>dokładność i wiarygodność</w:t>
            </w:r>
            <w:r>
              <w:rPr>
                <w:b/>
                <w:i/>
              </w:rPr>
              <w:t xml:space="preserve"> uzyskanych dzięki AI wyników</w:t>
            </w:r>
            <w:r>
              <w:t>, a także potencjalnym społeczno-gospodarczym skutkom AI, zwłaszcza pod względem przenoszenia miejsc pracy, a nie tylko promowania doskonałości technologicznej;</w:t>
            </w:r>
          </w:p>
        </w:tc>
      </w:tr>
    </w:tbl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29</w:t>
      </w:r>
      <w:r>
        <w:rPr>
          <w:rStyle w:val="HideTWBExt"/>
        </w:rPr>
        <w:t>&lt;/NumAm&gt;</w:t>
      </w:r>
    </w:p>
    <w:p>
      <w:pPr>
        <w:pStyle w:val="NormalBold12b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7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7a.</w:t>
            </w:r>
            <w:r>
              <w:tab/>
            </w:r>
            <w:r>
              <w:rPr>
                <w:b/>
                <w:i/>
              </w:rPr>
              <w:t>z zaniepokojeniem odnotowuje rosnącą zależność od pozaeuropejskich pionierskich systemów AI, brak skoordynowanego dostępu do takich systemów na potrzeby oceny bezpieczeństwa oraz wynikającą z tego lukę w zdolnościach w zakresie cyberobrony opartej na AI, co budzi obawy dotyczące strategicznych zależności i asymetrycznego dostępu do krytycznej infrastruktury AI; ostrzega, że według urzędników ds. bezpieczeństwa zaawansowane pionierskie modele AI mogą dynamicznie dostosowywać swoje zachowanie, co oznacza, iż mogą być wykorzystywane do automatycznego wykrywania i wykorzystywania podatności, znacznie zmniejszając bariery dla przeprowadzania zaawansowanych cyberataków, umożliwiając szybkie skalowanie złośliwych operacji oraz zasadniczo zmieniając skalę i tempo ryzyka w cyberprzestrzeni; wzywa do wzmocnienia nadzoru oraz zapewnienia wysokiego poziomu gotowości, w tym poprzez regularne testy warunków skrajnych oraz ćwiczenia oparte na scenariuszach, w celu przeciwdziałania cyberatakom z wykorzystaniem AI oraz ograniczenia strategicznych zależności od pozaeuropejskiej infrastruktury, usług w chmurze i modeli bazowych; podkreśla, że Unia musi realizować kompleksowy program suwerenności technologicznej w zakresie rozwoju i wdrażania zaawansowanych systemów AI;</w:t>
            </w:r>
          </w:p>
        </w:tc>
      </w:tr>
    </w:tbl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30</w:t>
      </w:r>
      <w:r>
        <w:rPr>
          <w:rStyle w:val="HideTWBExt"/>
        </w:rPr>
        <w:t>&lt;/NumAm&gt;</w:t>
      </w:r>
    </w:p>
    <w:p>
      <w:pPr>
        <w:pStyle w:val="NormalBold12b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>podkreśla, że</w:t>
            </w:r>
            <w:r>
              <w:rPr>
                <w:b/>
                <w:i/>
              </w:rPr>
              <w:t xml:space="preserve"> – </w:t>
            </w:r>
            <w:r>
              <w:t>ze względu na swoją skalę,</w:t>
            </w:r>
            <w:r>
              <w:rPr>
                <w:b/>
                <w:i/>
              </w:rPr>
              <w:t xml:space="preserve"> szybkość i </w:t>
            </w:r>
            <w:r>
              <w:t>wpływ transgraniczny</w:t>
            </w:r>
            <w:r>
              <w:rPr>
                <w:b/>
                <w:i/>
              </w:rPr>
              <w:t xml:space="preserve"> – AI </w:t>
            </w:r>
            <w:r>
              <w:t>stanowi</w:t>
            </w:r>
            <w:r>
              <w:rPr>
                <w:b/>
                <w:i/>
              </w:rPr>
              <w:t xml:space="preserve"> globalne wyzwanie systemowe oraz że – podobnie jak w przypadku wcześniejszych technologii transformacyjnych, w tym technologii jądrowej w połowie XX wieku – odpowiedzialne zarządzanie wymaga terminowych negocjacji i ustanowienia specjalnej międzynarodowej konwencji lub traktatu w sprawie AI na szczeblu globalnym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>podkreśla, że</w:t>
            </w:r>
            <w:r>
              <w:rPr>
                <w:b/>
                <w:i/>
              </w:rPr>
              <w:t xml:space="preserve"> AI stwarza potencjał znacznego pobudzenia wzrostu gospodarczego, zwiększenia wydajności i transformacji różnych gałęzi przemysłu poprzez automatyzację zadań i usprawnienie procesu decyzyjnego; zwraca jednak uwagę, że ze względu na swoją skalę, tempo wdrażania oraz wpływ transgraniczny stanowi ona również technologię transformacyjną o globalnym zasięgu i szerokich konsekwencjach, wymagającą odpowiedzialnego zarządzania</w:t>
            </w:r>
            <w:r>
              <w:t>;</w:t>
            </w:r>
          </w:p>
        </w:tc>
      </w:tr>
    </w:tbl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31</w:t>
      </w:r>
      <w:r>
        <w:rPr>
          <w:rStyle w:val="HideTWBExt"/>
        </w:rPr>
        <w:t>&lt;/NumAm&gt;</w:t>
      </w:r>
    </w:p>
    <w:p>
      <w:pPr>
        <w:pStyle w:val="NormalBold12b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rPr>
                <w:b/>
                <w:i/>
              </w:rPr>
              <w:t>odnotowuje konwencję ramową</w:t>
            </w:r>
            <w:r>
              <w:t xml:space="preserve"> Rady Europy w sprawie </w:t>
            </w:r>
            <w:r>
              <w:rPr>
                <w:b/>
                <w:i/>
              </w:rPr>
              <w:t>sztucznej inteligencji</w:t>
            </w:r>
            <w:r>
              <w:t xml:space="preserve">; uważa, że ze względu na globalny systemowy charakter technologii AI należy </w:t>
            </w:r>
            <w:r>
              <w:rPr>
                <w:b/>
                <w:i/>
              </w:rPr>
              <w:t>głębiej rozważyć ustanowienie globalnych wielostronnych ram lub konwencji</w:t>
            </w:r>
            <w:r>
              <w:t xml:space="preserve">, </w:t>
            </w:r>
            <w:r>
              <w:rPr>
                <w:b/>
                <w:i/>
              </w:rPr>
              <w:t>które miałyby na celu zapobieganie</w:t>
            </w:r>
            <w:r>
              <w:t xml:space="preserve"> ryzyku systemowemu </w:t>
            </w:r>
            <w:r>
              <w:rPr>
                <w:b/>
                <w:i/>
              </w:rPr>
              <w:t>i zapewnienie</w:t>
            </w:r>
            <w:r>
              <w:t xml:space="preserve"> demokratycznej rozliczalności na szczeblu globalnym;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rPr>
                <w:b/>
                <w:i/>
              </w:rPr>
              <w:t xml:space="preserve">przypomina o konwencji ramowej Rady Europy w sprawie AI, w której ustanowiono globalny punkt odniesienia dla zarządzania AI; </w:t>
            </w:r>
            <w:r>
              <w:rPr>
                <w:b/>
                <w:i/>
              </w:rPr>
              <w:t>podkreśla, że w akcie w sprawie AI oraz w innych odpowiednich przepisach UE określono już wyższy, bardziej szczegółowy poziom ochrony i harmonizacji na rynku wewnętrznym;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zachęca kraje na całym świecie, aby przystąpiły do konwencji ramowej i propagowały globalny rozwój ukierunkowanej na człowieka i godnej zaufania AI</w:t>
            </w:r>
            <w:r>
              <w:t xml:space="preserve">; uważa, że ze względu na globalny systemowy charakter technologii AI należy </w:t>
            </w:r>
            <w:r>
              <w:rPr>
                <w:b/>
                <w:i/>
              </w:rPr>
              <w:t>regularnie rozważać propagowanie współpracy międzynarodowej oraz skuteczne zarządzanie sprzyjające innowacjom</w:t>
            </w:r>
            <w:r>
              <w:t xml:space="preserve">, </w:t>
            </w:r>
            <w:r>
              <w:rPr>
                <w:b/>
                <w:i/>
              </w:rPr>
              <w:t>przy jednoczesnym zapewnieniu poszanowania istniejących ram prawnych, zapobieganiu</w:t>
            </w:r>
            <w:r>
              <w:t xml:space="preserve"> ryzyku systemowemu </w:t>
            </w:r>
            <w:r>
              <w:rPr>
                <w:b/>
                <w:i/>
              </w:rPr>
              <w:t>oraz wzmacnianiu</w:t>
            </w:r>
            <w:r>
              <w:t xml:space="preserve"> demokratycznej rozliczalności na szczeblu globalnym;</w:t>
            </w:r>
            <w:r>
              <w:rPr>
                <w:b/>
                <w:i/>
              </w:rPr>
              <w:t xml:space="preserve"> jest zdania, że podczas konwencji międzynarodowych UE powinna promować swoje podejście regulacyjne, wizję AI i konkurencyjność na szczeblu globalnym;</w:t>
            </w:r>
          </w:p>
        </w:tc>
      </w:tr>
    </w:tbl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32</w:t>
      </w:r>
      <w:r>
        <w:rPr>
          <w:rStyle w:val="HideTWBExt"/>
        </w:rPr>
        <w:t>&lt;/NumAm&gt;</w:t>
      </w:r>
    </w:p>
    <w:p>
      <w:pPr>
        <w:pStyle w:val="NormalBold12b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>przypomina, że zgodnie z art. 10, 13 i 14 TUE Parlament sprawuje demokratyczną kontrolę nad funkcjonowaniem UE i jej instytucji; podkreśla, że coraz częstsze wdrażanie systemów AI w administracji publicznej i instytucjach UE wymaga zwiększenia zdolności analitycznych Parlamentu, tak aby zapewnić przejrzystość, rozliczalność demokratyczną i skuteczny nadzór zgodnie z Traktatami;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przypomina, że zgodnie z art. 10, 13 i 14 TUE Parlament sprawuje demokratyczną kontrolę nad funkcjonowaniem UE i jej instytucji; podkreśla, że coraz częstsze wdrażanie systemów AI w administracji publicznej i instytucjach UE wymaga zwiększenia zdolności analitycznych </w:t>
            </w:r>
            <w:r>
              <w:rPr>
                <w:b/>
                <w:i/>
              </w:rPr>
              <w:t>i kompetencji w zakresie AI</w:t>
            </w:r>
            <w:r>
              <w:t xml:space="preserve"> Parlamentu, tak aby zapewnić przejrzystość, rozliczalność demokratyczną i skuteczny nadzór zgodnie z Traktatami;</w:t>
            </w:r>
          </w:p>
        </w:tc>
      </w:tr>
    </w:tbl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33</w:t>
      </w:r>
      <w:r>
        <w:rPr>
          <w:rStyle w:val="HideTWBExt"/>
        </w:rPr>
        <w:t>&lt;/NumAm&gt;</w:t>
      </w:r>
    </w:p>
    <w:p>
      <w:pPr>
        <w:pStyle w:val="NormalBold12b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rPr>
                <w:b/>
                <w:i/>
              </w:rPr>
              <w:t xml:space="preserve">wzywa do ustanowienia obserwatorium </w:t>
            </w:r>
            <w:r>
              <w:t>Parlamentu</w:t>
            </w:r>
            <w:r>
              <w:rPr>
                <w:b/>
                <w:i/>
              </w:rPr>
              <w:t xml:space="preserve"> Europejskiego ds. </w:t>
            </w:r>
            <w:r>
              <w:t>AI</w:t>
            </w:r>
            <w:r>
              <w:rPr>
                <w:b/>
                <w:i/>
              </w:rPr>
              <w:t xml:space="preserve"> jako stałej struktury analitycznej </w:t>
            </w:r>
            <w:r>
              <w:t>w administracji</w:t>
            </w:r>
            <w:r>
              <w:rPr>
                <w:b/>
                <w:i/>
              </w:rPr>
              <w:t xml:space="preserve"> tej instytucji, oferującej </w:t>
            </w:r>
            <w:r>
              <w:t xml:space="preserve">usługi wszystkim komisjom parlamentarnym, aby wspierać je w kwestiach związanych z AI, zarządzaniem nią, równowagą instytucjonalną i nadzorem demokratycznym; </w:t>
            </w:r>
            <w:r>
              <w:rPr>
                <w:b/>
                <w:i/>
              </w:rPr>
              <w:t>podkreśla</w:t>
            </w:r>
            <w:r>
              <w:t xml:space="preserve">, że </w:t>
            </w:r>
            <w:r>
              <w:rPr>
                <w:b/>
                <w:i/>
              </w:rPr>
              <w:t xml:space="preserve">utworzenie takiej służby można zorganizować w strukturach administracyjnych </w:t>
            </w:r>
            <w:r>
              <w:t>Parlamentu</w:t>
            </w:r>
            <w:r>
              <w:rPr>
                <w:b/>
                <w:i/>
              </w:rPr>
              <w:t xml:space="preserve"> w sposób neutralny dla budżetu, w oparciu o istniejącą wiedzę fachową i usługi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rPr>
                <w:b/>
                <w:i/>
              </w:rPr>
              <w:t xml:space="preserve">zaleca zwiększenie wewnętrznych zdolności analitycznych i zarządczych </w:t>
            </w:r>
            <w:r>
              <w:t>Parlamentu</w:t>
            </w:r>
            <w:r>
              <w:rPr>
                <w:b/>
                <w:i/>
              </w:rPr>
              <w:t xml:space="preserve"> – w szczególności w odniesieniu do </w:t>
            </w:r>
            <w:r>
              <w:t>AI</w:t>
            </w:r>
            <w:r>
              <w:rPr>
                <w:b/>
                <w:i/>
              </w:rPr>
              <w:t xml:space="preserve"> – </w:t>
            </w:r>
            <w:r>
              <w:t>w </w:t>
            </w:r>
            <w:r>
              <w:rPr>
                <w:b/>
                <w:i/>
              </w:rPr>
              <w:t xml:space="preserve">ramach jego </w:t>
            </w:r>
            <w:r>
              <w:t>administracji</w:t>
            </w:r>
            <w:r>
              <w:rPr>
                <w:b/>
                <w:i/>
              </w:rPr>
              <w:t xml:space="preserve"> poprzez utworzenie specjalnej jednostki administracyjnej;</w:t>
            </w:r>
            <w:r>
              <w:rPr>
                <w:b/>
                <w:i/>
              </w:rPr>
              <w:t xml:space="preserve"> podkreśla, że jednostka ta powinna opierać się na istniejącej wiedzy fachowej i usługach, w tym dostarczanych przez Biuro Analiz Parlamentu Europejskiego i STOA, oraz je uzupełniać, co umożliwi jej organizację w sposób neutralny dla budżetu, oraz że powinna świadczyć usługi wszystkim komisjom parlamentarnym, aby wspierać je w kwestiach związanych z AI, zarządzaniem nią, równowagą instytucjonalną i nadzorem demokratycznym, a także wzmacniać kompetencje w zakresie AI i wiedzę techniczną</w:t>
            </w:r>
            <w:r>
              <w:t xml:space="preserve">; </w:t>
            </w:r>
            <w:r>
              <w:rPr>
                <w:b/>
                <w:i/>
              </w:rPr>
              <w:t>zwraca ponadto uwagę</w:t>
            </w:r>
            <w:r>
              <w:t>, że</w:t>
            </w:r>
            <w:r>
              <w:rPr>
                <w:b/>
                <w:i/>
              </w:rPr>
              <w:t xml:space="preserve"> jednostka ta powinna mieć jasną strukturę analityczną i zarządczą, która ukierunkowałaby jej priorytety oraz zapewniała horyzontalne budowanie zdolności i znaczenie międzykomisyjne;</w:t>
            </w:r>
            <w:r>
              <w:rPr>
                <w:b/>
                <w:i/>
              </w:rPr>
              <w:t xml:space="preserve"> sugeruje, że jednostka ta mogłaby nosić nazwę obserwatorium Parlamentu Europejskiego ds. AI</w:t>
            </w:r>
            <w:r>
              <w:t>;</w:t>
            </w:r>
          </w:p>
        </w:tc>
      </w:tr>
    </w:tbl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34</w:t>
      </w:r>
      <w:r>
        <w:rPr>
          <w:rStyle w:val="HideTWBExt"/>
        </w:rPr>
        <w:t>&lt;/NumAm&gt;</w:t>
      </w:r>
    </w:p>
    <w:p>
      <w:pPr>
        <w:pStyle w:val="NormalBold12b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11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11a.</w:t>
            </w:r>
            <w:r>
              <w:tab/>
            </w:r>
            <w:r>
              <w:rPr>
                <w:b/>
                <w:i/>
              </w:rPr>
              <w:t>przypomina o dotychczasowych pracach analitycznych prowadzonych w Parlamencie, w tym przez grupę roboczą ds. aktu w sprawie AI, którą ustanowiono, aby monitorowała i kontrolowała wdrażanie i egzekwowanie aktu w sprawie AI, co przyczynia się do identyfikowania międzysektorowych luk, pokrywania się i niespójności w szerszych ramach prawnych UE dotyczących AI, a także do monitorowania nowych zmian i wyzwań związanych z AI;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i/>
              </w:rPr>
              <w:t>(Przeniesiono z ust. 15.)</w:t>
            </w:r>
          </w:p>
        </w:tc>
      </w:tr>
    </w:tbl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35</w:t>
      </w:r>
      <w:r>
        <w:rPr>
          <w:rStyle w:val="HideTWBExt"/>
        </w:rPr>
        <w:t>&lt;/NumAm&gt;</w:t>
      </w:r>
    </w:p>
    <w:p>
      <w:pPr>
        <w:pStyle w:val="NormalBold12b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11b.</w:t>
            </w:r>
            <w:r>
              <w:tab/>
            </w:r>
            <w:r>
              <w:rPr>
                <w:b/>
                <w:i/>
              </w:rPr>
              <w:t>podkreśla, że zwiększenie wewnętrznych zdolności analitycznych i zarządczych Parlamentu mogłoby dodatkowo przyczynić się do monitorowania instytucjonalnego zarządzania AI, rozliczalności i wyjaśnialności oraz skutków systemów sztucznej inteligencji wdrażanych w instytucji, a także do osiągnięcia odpowiedniego poziomu kompetencji w zakresie AI wśród jego pracowników, oraz mogłoby wspierać działania następcze Parlamentu w związku z odpowiednimi konkluzjami Rady;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i/>
              </w:rPr>
              <w:t>(Przeniesiono z ust. 16.)</w:t>
            </w:r>
          </w:p>
        </w:tc>
      </w:tr>
    </w:tbl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36</w:t>
      </w:r>
      <w:r>
        <w:rPr>
          <w:rStyle w:val="HideTWBExt"/>
        </w:rPr>
        <w:t>&lt;/NumAm&gt;</w:t>
      </w:r>
    </w:p>
    <w:p>
      <w:pPr>
        <w:pStyle w:val="NormalBold12b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>podkreśla, że coraz częstsze wdrażanie systemów AI w administracji publicznej, w tym w instytucjach UE, rodzi istotne pytania dotyczące przejrzystości, rozliczalności i należytej procedury administracyjnej; podkreśla, że Parlament powinien utrzymać wystarczającą wewnętrzną zdolność analityczną do niezależnej oceny takich zmian, aby chronić swoje prerogatywy instytucjonalne i funkcje nadzorcze oraz budować własną pamięć instytucjonalną w tej dziedzinie;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 xml:space="preserve">podkreśla, że coraz częstsze wdrażanie systemów AI w administracji publicznej, w tym w instytucjach UE, </w:t>
            </w:r>
            <w:r>
              <w:rPr>
                <w:b/>
                <w:i/>
              </w:rPr>
              <w:t>zwiększa efektywność procesów wewnętrznych, ale jednocześnie</w:t>
            </w:r>
            <w:r>
              <w:t xml:space="preserve"> rodzi istotne pytania dotyczące przejrzystości, rozliczalności</w:t>
            </w:r>
            <w:r>
              <w:rPr>
                <w:b/>
                <w:i/>
              </w:rPr>
              <w:t>, bezpieczeństwa systemów</w:t>
            </w:r>
            <w:r>
              <w:t xml:space="preserve"> i należytej procedury administracyjnej; podkreśla, że Parlament powinien utrzymać wystarczającą wewnętrzną zdolność analityczną do niezależnej oceny</w:t>
            </w:r>
            <w:r>
              <w:rPr>
                <w:b/>
                <w:i/>
              </w:rPr>
              <w:t xml:space="preserve"> takiego wdrażania i powiązanych zmian, aby chronić swoje prerogatywy instytucjonalne i funkcje nadzorcze oraz budować własną pamięć instytucjonalną w tej dziedzinie, w miarę możliwości wykorzystując istniejące służby i wiedzę fachową Parlamentu, a także zachować pełną kontrolę nad swoim cyberbezpieczeństwem oraz bezpieczeństwem wszystkich infrastruktur i systemów; podkreśla, że starania te należy uzupełnić kompleksowymi programami szkoleniowymi rozwijającymi kompetencje w zakresie AI; apeluje ponadto o regularne oceny wpływu wdrażania AI na prawa podstawowe i prywatność;</w:t>
            </w:r>
          </w:p>
        </w:tc>
      </w:tr>
    </w:tbl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37</w:t>
      </w:r>
      <w:r>
        <w:rPr>
          <w:rStyle w:val="HideTWBExt"/>
        </w:rPr>
        <w:t>&lt;/NumAm&gt;</w:t>
      </w:r>
    </w:p>
    <w:p>
      <w:pPr>
        <w:pStyle w:val="NormalBold12b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12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12a.</w:t>
            </w:r>
            <w:r>
              <w:tab/>
            </w:r>
            <w:r>
              <w:rPr>
                <w:b/>
                <w:i/>
              </w:rPr>
              <w:t>podkreśla potencjał AI we wzmacnianiu zdolności kontrolnych i nadzorczych Parlamentu poprzez ułatwienie dostępu do istotnych informacji, poprawę analizy złożonych zmian legislacyjnych i regulacyjnych oraz wsparcie monitorowania wdrażania i stosowania prawa Unii; zwraca uwagę, że odpowiedzialne wykorzystywanie AI mogłoby przyczynić się do zmniejszenia asymetrii informacji, zwiększenia spójności legislacyjnej oraz poprawy jakości, efektywności i przewidywalności procesów decyzyjnych UE, przy pełnym poszanowaniu demokratycznej rozliczalności, przejrzystości i znaczącego nadzoru sprawowanego przez człowieka;</w:t>
            </w:r>
          </w:p>
        </w:tc>
      </w:tr>
    </w:tbl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38</w:t>
      </w:r>
      <w:r>
        <w:rPr>
          <w:rStyle w:val="HideTWBExt"/>
        </w:rPr>
        <w:t>&lt;/NumAm&gt;</w:t>
      </w:r>
    </w:p>
    <w:p>
      <w:pPr>
        <w:pStyle w:val="NormalBold12b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 xml:space="preserve">wzywa do wykorzystania narzędzi AI do wspierania monitorowania i wdrażania już przyjętych przepisów UE, </w:t>
            </w:r>
            <w:r>
              <w:rPr>
                <w:b/>
                <w:i/>
              </w:rPr>
              <w:t>w szczególności</w:t>
            </w:r>
            <w:r>
              <w:t xml:space="preserve"> poprzez </w:t>
            </w:r>
            <w:r>
              <w:rPr>
                <w:b/>
                <w:i/>
              </w:rPr>
              <w:t>identyfikację</w:t>
            </w:r>
            <w:r>
              <w:t xml:space="preserve"> krajowych i regionalnych aktów prawnych wymagających zmiany oraz wykrywanie potencjalnych niespójności, pokrywania się przepisów lub ryzyka fragmentacji prawnej, a tym samym do zwiększenia spójności prawnej na wszystkich szczeblach sprawowania rządów, </w:t>
            </w:r>
            <w:r>
              <w:rPr>
                <w:b/>
                <w:i/>
              </w:rPr>
              <w:t>wyeliminowania</w:t>
            </w:r>
            <w:r>
              <w:t xml:space="preserve"> luk we wdrażaniu w państwach członkowskich oraz poprawy skuteczności i przewidywalności prawa UE; podkreśla w tym kontekście znaczenie podejścia</w:t>
            </w:r>
            <w:r>
              <w:rPr>
                <w:b/>
                <w:i/>
              </w:rPr>
              <w:t xml:space="preserve"> ukierunkowanego na</w:t>
            </w:r>
            <w:r>
              <w:t xml:space="preserve"> człowieka przy wdrażaniu takich narzędzi;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 xml:space="preserve">wzywa do wykorzystania narzędzi AI do wspierania monitorowania i wdrażania już przyjętych przepisów UE, poprzez </w:t>
            </w:r>
            <w:r>
              <w:rPr>
                <w:b/>
                <w:i/>
              </w:rPr>
              <w:t>pomoc w identyfikacji</w:t>
            </w:r>
            <w:r>
              <w:t xml:space="preserve"> krajowych i regionalnych aktów prawnych wymagających zmiany oraz wykrywanie potencjalnych niespójności, pokrywania się przepisów lub ryzyka fragmentacji prawnej, a tym samym do zwiększenia spójności prawnej</w:t>
            </w:r>
            <w:r>
              <w:rPr>
                <w:b/>
                <w:i/>
              </w:rPr>
              <w:t xml:space="preserve"> i ograniczenia kosztów</w:t>
            </w:r>
            <w:r>
              <w:t xml:space="preserve"> na wszystkich szczeblach sprawowania rządów, </w:t>
            </w:r>
            <w:r>
              <w:rPr>
                <w:b/>
                <w:i/>
              </w:rPr>
              <w:t>pomocy w identyfikacji</w:t>
            </w:r>
            <w:r>
              <w:t xml:space="preserve"> luk we wdrażaniu w państwach członkowskich oraz poprawy skuteczności i przewidywalności prawa UE; </w:t>
            </w:r>
            <w:r>
              <w:rPr>
                <w:b/>
                <w:i/>
              </w:rPr>
              <w:t xml:space="preserve">zwraca uwagę, że narzędzia AI mogą również wspierać kształtowanie polityki opartej na dowodach, starania na rzecz uproszczenia i ocenę ex post prawodawstwa Unii, w tym poprzez ograniczenie nieproporcjonalnych obciążeń administracyjnych mających wpływ na obywateli, przedsiębiorstwa i administrację publiczną; </w:t>
            </w:r>
            <w:r>
              <w:t xml:space="preserve">podkreśla w tym kontekście znaczenie </w:t>
            </w:r>
            <w:r>
              <w:rPr>
                <w:b/>
                <w:i/>
              </w:rPr>
              <w:t xml:space="preserve">ścisłego nadzoru sprawowanego przez </w:t>
            </w:r>
            <w:r>
              <w:t>człowieka przy wdrażaniu takich narzędzi;</w:t>
            </w:r>
            <w:r>
              <w:rPr>
                <w:b/>
                <w:i/>
              </w:rPr>
              <w:t xml:space="preserve"> zaznacza, że systemy AI nigdy nie mogą zastępować odpowiedzialności politycznej ani demokratycznej rozliczalności człowieka;</w:t>
            </w:r>
          </w:p>
        </w:tc>
      </w:tr>
    </w:tbl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39</w:t>
      </w:r>
      <w:r>
        <w:rPr>
          <w:rStyle w:val="HideTWBExt"/>
        </w:rPr>
        <w:t>&lt;/NumAm&gt;</w:t>
      </w:r>
    </w:p>
    <w:p>
      <w:pPr>
        <w:pStyle w:val="NormalBold12b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13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13a.</w:t>
            </w:r>
            <w:r>
              <w:tab/>
            </w:r>
            <w:r>
              <w:rPr>
                <w:b/>
                <w:i/>
              </w:rPr>
              <w:t>wzywa Komisję i państwa członkowskie, aby zadbały o to, by unijne ramy dotyczące AI wdrażano w jednolity, proporcjonalny i spójny sposób, który będzie sprzyjał innowacjom i konkurencyjności, przy pełnym poszanowaniu praw podstawowych, praw własności intelektualnej i przepisów dotyczących praw autorskich oraz unikaniu niepotrzebnych obciążeń administracyjnych, pokrywających się obowiązków sprawozdawczych oraz krajowych środków stanowiących nadmiernie rygorystyczne wdrażanie, które mogłyby prowadzić do fragmentacji rynku wewnętrznego i utrudniać zwiększanie skali wiarygodnych europejskich rozwiązań w zakresie AI;</w:t>
            </w:r>
          </w:p>
        </w:tc>
      </w:tr>
    </w:tbl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40</w:t>
      </w:r>
      <w:r>
        <w:rPr>
          <w:rStyle w:val="HideTWBExt"/>
        </w:rPr>
        <w:t>&lt;/NumAm&gt;</w:t>
      </w:r>
    </w:p>
    <w:p>
      <w:pPr>
        <w:pStyle w:val="NormalBold12b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 xml:space="preserve">apeluje o analizę pokrywania się, luk i niespójności między licznymi instrumentami ustawodawczymi i politycznymi związanymi z AI a ich wdrażaniem w celu zmniejszenia fragmentacji i </w:t>
            </w:r>
            <w:r>
              <w:rPr>
                <w:b/>
                <w:i/>
              </w:rPr>
              <w:t>zapewnienia</w:t>
            </w:r>
            <w:r>
              <w:t xml:space="preserve"> spójnego stosowania we wszystkich dziedzinach sektorowych, w tym spójnego wdrażania instytucjonalnego;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 xml:space="preserve">apeluje o analizę pokrywania się, luk i niespójności między licznymi instrumentami ustawodawczymi i politycznymi związanymi z AI a ich wdrażaniem w celu zmniejszenia fragmentacji i </w:t>
            </w:r>
            <w:r>
              <w:rPr>
                <w:b/>
                <w:i/>
              </w:rPr>
              <w:t>uniknięcia nadmiernych obciążeń, przy jednoczesnym zapewnieniu</w:t>
            </w:r>
            <w:r>
              <w:t xml:space="preserve"> spójnego stosowania we wszystkich dziedzinach sektorowych, w tym spójnego wdrażania instytucjonalnego;</w:t>
            </w:r>
          </w:p>
        </w:tc>
      </w:tr>
    </w:tbl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41</w:t>
      </w:r>
      <w:r>
        <w:rPr>
          <w:rStyle w:val="HideTWBExt"/>
        </w:rPr>
        <w:t>&lt;/NumAm&gt;</w:t>
      </w:r>
    </w:p>
    <w:p>
      <w:pPr>
        <w:pStyle w:val="NormalBold12b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15.</w:t>
            </w:r>
            <w:r>
              <w:tab/>
            </w:r>
            <w:r>
              <w:rPr>
                <w:b/>
                <w:i/>
              </w:rPr>
              <w:t>podkreśla, że prace analityczne prowadzone w Parlamencie, w tym przez proponowane obserwatorium Parlamentu Europejskiego ds. AI, mogłyby przyczynić się do zidentyfikowania międzysektorowych luk, pokrywania się i niespójności w szerszych ramach prawnych UE dotyczących AI;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skreśla się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i/>
              </w:rPr>
              <w:t>(Przeniesiono do ust. 11a.)</w:t>
            </w:r>
          </w:p>
        </w:tc>
      </w:tr>
    </w:tbl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42</w:t>
      </w:r>
      <w:r>
        <w:rPr>
          <w:rStyle w:val="HideTWBExt"/>
        </w:rPr>
        <w:t>&lt;/NumAm&gt;</w:t>
      </w:r>
    </w:p>
    <w:p>
      <w:pPr>
        <w:pStyle w:val="NormalBold12b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16.</w:t>
            </w:r>
            <w:r>
              <w:tab/>
            </w:r>
            <w:r>
              <w:rPr>
                <w:b/>
                <w:i/>
              </w:rPr>
              <w:t>podkreśla, że obserwatorium to mogłoby przyczynić się do monitorowania instytucjonalnego zarządzania AI, rozliczalności i wyjaśnialności oraz skutków systemów sztucznej inteligencji wdrażanych w instytucji, a także mogłoby wspierać działania następcze Parlamentu w związku z odpowiednimi konkluzjami Rady;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skreśla się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i/>
              </w:rPr>
              <w:t>(Przeniesiono do ust. 11b.)</w:t>
            </w:r>
          </w:p>
        </w:tc>
      </w:tr>
    </w:tbl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43</w:t>
      </w:r>
      <w:r>
        <w:rPr>
          <w:rStyle w:val="HideTWBExt"/>
        </w:rPr>
        <w:t>&lt;/NumAm&gt;</w:t>
      </w:r>
    </w:p>
    <w:p>
      <w:pPr>
        <w:pStyle w:val="NormalBold12b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17.</w:t>
            </w:r>
            <w:r>
              <w:tab/>
            </w:r>
            <w:r>
              <w:rPr>
                <w:b/>
                <w:i/>
              </w:rPr>
              <w:t>wzywa osobę przewodniczącą Radzie ds. AI do zapraszania obserwatorium Parlamentu Europejskiego ds. AI, po jego utworzeniu, na posiedzenia tej Rady w celu zapewnienia kontroli parlamentarnej i spójności międzyinstytucjonalnej w polityce UE w zakresie AI;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skreśla się</w:t>
            </w:r>
          </w:p>
        </w:tc>
      </w:tr>
    </w:tbl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44</w:t>
      </w:r>
      <w:r>
        <w:rPr>
          <w:rStyle w:val="HideTWBExt"/>
        </w:rPr>
        <w:t>&lt;/NumAm&gt;</w:t>
      </w:r>
    </w:p>
    <w:p>
      <w:pPr>
        <w:pStyle w:val="NormalBold12b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t xml:space="preserve">podkreśla, że zacieśniona współpraca w dziedzinie zarządzania AI między Parlamentem, parlamentami narodowymi i właściwymi organami krajowymi, zgodnie z art. 70 aktu w sprawie </w:t>
            </w:r>
            <w:r>
              <w:rPr>
                <w:b/>
                <w:i/>
              </w:rPr>
              <w:t>sztucznej inteligencji</w:t>
            </w:r>
            <w:r>
              <w:t>, ma zasadnicze znaczenie dla wymiany najlepszych praktyk, poprawy spójności legislacyjnej i wspierania kontroli parlamentarnej nad wdrażaniem AI w całej 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t xml:space="preserve">podkreśla, że zacieśniona współpraca w dziedzinie zarządzania AI między Parlamentem </w:t>
            </w:r>
            <w:r>
              <w:rPr>
                <w:b/>
                <w:i/>
              </w:rPr>
              <w:t>Europejskim</w:t>
            </w:r>
            <w:r>
              <w:t xml:space="preserve">, parlamentami narodowymi i właściwymi organami krajowymi, </w:t>
            </w:r>
            <w:r>
              <w:rPr>
                <w:b/>
                <w:i/>
              </w:rPr>
              <w:t xml:space="preserve">ustanowiona </w:t>
            </w:r>
            <w:r>
              <w:t xml:space="preserve">zgodnie z art. 70 aktu w sprawie </w:t>
            </w:r>
            <w:r>
              <w:rPr>
                <w:b/>
                <w:i/>
              </w:rPr>
              <w:t>AI</w:t>
            </w:r>
            <w:r>
              <w:t>, ma zasadnicze znaczenie dla wymiany najlepszych praktyk, poprawy spójności legislacyjnej</w:t>
            </w:r>
            <w:r>
              <w:rPr>
                <w:b/>
                <w:i/>
              </w:rPr>
              <w:t xml:space="preserve">, przyczyniania się do identyfikowania </w:t>
            </w:r>
            <w:r>
              <w:t>i </w:t>
            </w:r>
            <w:r>
              <w:rPr>
                <w:b/>
                <w:i/>
              </w:rPr>
              <w:t>eliminowania pokrywania się przepisów oraz zbędnej biurokracji, a także</w:t>
            </w:r>
            <w:r>
              <w:t xml:space="preserve"> wspierania kontroli parlamentarnej nad wdrażaniem AI w całej UE;</w:t>
            </w:r>
          </w:p>
        </w:tc>
      </w:tr>
    </w:tbl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45</w:t>
      </w:r>
      <w:r>
        <w:rPr>
          <w:rStyle w:val="HideTWBExt"/>
        </w:rPr>
        <w:t>&lt;/NumAm&gt;</w:t>
      </w:r>
    </w:p>
    <w:p>
      <w:pPr>
        <w:pStyle w:val="NormalBold12b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19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>wzywa do systematycznej parlamentarnej oceny zagrożeń dla procesów demokratycznych związanych z AI, w tym uczciwości wyborów,</w:t>
            </w:r>
            <w:r>
              <w:rPr>
                <w:b/>
                <w:i/>
              </w:rPr>
              <w:t xml:space="preserve"> </w:t>
            </w:r>
            <w:r>
              <w:t xml:space="preserve">oraz apeluje o </w:t>
            </w:r>
            <w:r>
              <w:rPr>
                <w:b/>
                <w:i/>
              </w:rPr>
              <w:t xml:space="preserve">to, aby obserwatorium Parlamentu Europejskiego ds. </w:t>
            </w:r>
            <w:r>
              <w:t>AI</w:t>
            </w:r>
            <w:r>
              <w:rPr>
                <w:b/>
                <w:i/>
              </w:rPr>
              <w:t xml:space="preserve"> wspierało monitorowanie wyborów i europejskich partii politycznych</w:t>
            </w:r>
            <w:r>
              <w:t>, biorąc pod uwagę, że AI w coraz większym stopniu</w:t>
            </w:r>
            <w:r>
              <w:rPr>
                <w:b/>
                <w:i/>
              </w:rPr>
              <w:t xml:space="preserve"> kształtuje </w:t>
            </w:r>
            <w:r>
              <w:t>komunikację polityczną, procesy wyborcze, dyskurs publiczny i proces decyzyjny;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>wzywa do systematycznej parlamentarnej oceny zagrożeń dla procesów demokratycznych związanych z AI, w tym uczciwości wyborów,</w:t>
            </w:r>
            <w:r>
              <w:rPr>
                <w:b/>
                <w:i/>
              </w:rPr>
              <w:t xml:space="preserve"> podstawowych wolności i prawa do prywatności</w:t>
            </w:r>
            <w:r>
              <w:t>, oraz apeluje o</w:t>
            </w:r>
            <w:r>
              <w:rPr>
                <w:b/>
                <w:i/>
              </w:rPr>
              <w:t xml:space="preserve"> wsparcie parlamentarne dla analizy istotnych zmian w zakresie </w:t>
            </w:r>
            <w:r>
              <w:t xml:space="preserve">AI </w:t>
            </w:r>
            <w:r>
              <w:rPr>
                <w:b/>
                <w:i/>
              </w:rPr>
              <w:t>mających wpływ na procesy demokratyczne, w tym wykorzystywania AI w komunikacji politycznej i dyskursie publicznym</w:t>
            </w:r>
            <w:r>
              <w:t>, biorąc pod uwagę, że</w:t>
            </w:r>
            <w:r>
              <w:rPr>
                <w:b/>
                <w:i/>
              </w:rPr>
              <w:t xml:space="preserve"> aplikacje oparte na </w:t>
            </w:r>
            <w:r>
              <w:t>AI w coraz większym stopniu</w:t>
            </w:r>
            <w:r>
              <w:rPr>
                <w:b/>
                <w:i/>
              </w:rPr>
              <w:t xml:space="preserve"> kształtują </w:t>
            </w:r>
            <w:r>
              <w:t>komunikację polityczną, procesy wyborcze, dyskurs publiczny i proces decyzyjny</w:t>
            </w:r>
            <w:r>
              <w:rPr>
                <w:b/>
                <w:i/>
              </w:rPr>
              <w:t>, w tym za pomocą deepfake’ów, mediów syntetycznych i skoordynowanych kampanii dezinformacyjnych</w:t>
            </w:r>
            <w:r>
              <w:t>;</w:t>
            </w:r>
            <w:r>
              <w:rPr>
                <w:b/>
                <w:i/>
              </w:rPr>
              <w:t xml:space="preserve"> podkreśla w związku z tym, że należy egzekwować obowiązki w zakresie przejrzystości przewidziane w akcie w sprawie AI w odniesieniu do treści generowanych przez AI; uznaje, że AI może również zwiększyć uczestnictwo demokratyczne, poprawić dostęp do informacji i wzmocnić kształtowanie polityki opartej na dowodach, a jednocześnie podkreśla, że należy zadbać o to, aby jej stosowanie pozostało przejrzyste, rozliczalne i zgodne z prawem Unii;</w:t>
            </w:r>
          </w:p>
        </w:tc>
      </w:tr>
    </w:tbl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46</w:t>
      </w:r>
      <w:r>
        <w:rPr>
          <w:rStyle w:val="HideTWBExt"/>
        </w:rPr>
        <w:t>&lt;/NumAm&gt;</w:t>
      </w:r>
    </w:p>
    <w:p>
      <w:pPr>
        <w:pStyle w:val="NormalBold12b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t>podkreśla, że szybki rozwój krajobrazu zarządzania UE, zwłaszcza w odpowiedzi na transformację cyfrową, AI i coraz bardziej złożone ramy regulacyjne, sukcesywnie wystawia na próbę adekwatność istniejących postanowień Traktatu regulujących kompetencje instytucjonalne, demokratyczną rozliczalność i kontrolę parlamentarną;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t>podkreśla, że szybki rozwój krajobrazu zarządzania UE, zwłaszcza w odpowiedzi na transformację cyfrową, AI i coraz bardziej złożone ramy regulacyjne, sukcesywnie wystawia na próbę adekwatność istniejących postanowień Traktatu regulujących kompetencje instytucjonalne, demokratyczną rozliczalność i kontrolę parlamentarną</w:t>
            </w:r>
            <w:r>
              <w:rPr>
                <w:b/>
                <w:i/>
              </w:rPr>
              <w:t>, a jednocześnie uwypukla potrzebę zapewnienia przejrzystości i ograniczenia złożoności regulacyjnej</w:t>
            </w:r>
            <w:r>
              <w:t>;</w:t>
            </w:r>
          </w:p>
        </w:tc>
      </w:tr>
    </w:tbl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Poprawka</w:t>
      </w:r>
      <w:r>
        <w:tab/>
      </w:r>
      <w:r>
        <w:tab/>
      </w:r>
      <w:r>
        <w:rPr>
          <w:rStyle w:val="HideTWBExt"/>
        </w:rPr>
        <w:t>&lt;NumAm&gt;</w:t>
      </w:r>
      <w:r>
        <w:t>47</w:t>
      </w:r>
      <w:r>
        <w:rPr>
          <w:rStyle w:val="HideTWBExt"/>
        </w:rPr>
        <w:t>&lt;/NumAm&gt;</w:t>
      </w:r>
    </w:p>
    <w:p>
      <w:pPr>
        <w:pStyle w:val="NormalBold12b"/>
      </w:pPr>
      <w:r>
        <w:rPr>
          <w:rStyle w:val="HideTWBExt"/>
        </w:rPr>
        <w:t>&lt;DocAmend&gt;</w:t>
      </w:r>
      <w:r>
        <w:t>Projekt rezolucji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Ustęp 21 a (nowy)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Projekt rezolucji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Poprawka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21a.</w:t>
            </w:r>
            <w:r>
              <w:tab/>
            </w:r>
            <w:r>
              <w:rPr>
                <w:b/>
                <w:i/>
              </w:rPr>
              <w:t>podkreśla, że w perspektywie krótko- i średnioterminowej szybki postęp w rozwoju AI znajduje odzwierciedlenie na szczeblu regulacyjnym w postaci nowo przyjętego aktu w sprawie AI, który nie zaczął jeszcze w pełni obowiązywać, a jego wpływu nie można jeszcze w pełni zaobserwować; zwraca uwagę, że najnowsze osiągnięcia w dziedzinie AI uwzględniono także we wniosku dotyczącym aktu zbiorczego prawa cyfrowego dotyczącego AI, w odpowiedzi na potrzebę uproszczenia i wyjaśnienia niektórych przepisów aktu w sprawie AI za pomocą szeregu ukierunkowanych środków mających zapewnić jego terminowe, sprawne i proporcjonalne wdrożenie; podkreśla, że wniosek dotyczący aktu zbiorczego prawa cyfrowego dotyczącego AI odzwierciedla potrzebę dostosowania się do szybkiego tempa rozwoju AI oraz zapewnienia, aby ramy prawne UE sprzyjały skutecznemu i konkurencyjnemu środowisku dla organizacji działających w UE; przypomina, że w odrębnym wniosku dotyczącym aktu zbiorczego prawa cyfrowego wyjaśniono ponadto, w jaki sposób dane osobowe mogą być wykorzystywane do trenowania i rozwoju AI; zwraca uwagę w tym kontekście, że należy wdrożyć i egzekwować akt w sprawie AI i pozostałe unijne cyfrowe ramy prawne oraz, w razie potrzeby, aktualizować je w świetle rozwoju technologicznego, a jednocześnie unikać nakładania niepotrzebnych obciążeń administracyjnych, pokrywających się obowiązków sprawozdawczych oraz krajowych środków stanowiących nadmiernie rygorystyczne wdrażanie, które mogłyby prowadzić do fragmentacji rynku wewnętrznego i utrudnić zwiększenie skali wiarygodnych europejskich rozwiązań w zakresie AI; zauważa, że należy przyjąć przejrzyste podejście w tym zakresie;</w:t>
            </w:r>
          </w:p>
        </w:tc>
      </w:tr>
    </w:tbl>
    <w:p>
      <w:r>
        <w:rPr>
          <w:rStyle w:val="HideTWBExt"/>
        </w:rPr>
        <w:t>&lt;/Amend&gt;</w:t>
      </w:r>
    </w:p>
    <w:p>
      <w:r>
        <w:rPr>
          <w:rStyle w:val="HideTWBExt"/>
        </w:rPr>
        <w:t>&lt;/RepeatBlock-Amend&gt;</w:t>
      </w:r>
    </w:p>
    <w:p>
      <w:pPr>
        <w:sectPr>
          <w:footnotePr>
            <w:numRestart w:val="eachSect"/>
          </w:footnotePr>
          <w:type w:val="nextPage"/>
          <w:pgSz w:w="11909" w:h="16834"/>
          <w:pgMar w:top="1134" w:right="1417" w:bottom="1417" w:left="1417" w:header="1134" w:footer="567"/>
          <w:cols w:space="720"/>
        </w:sectPr>
      </w:pPr>
    </w:p>
    <w:p>
      <w:pPr>
        <w:pStyle w:val="PageHeadingNotTOC"/>
      </w:pPr>
      <w:r>
        <w:t>ZAŁĄCZNIK: WYKAZ PODMIOTÓW, OD KTÓRYCH SPRAWOZDAWCA OTRZYMAŁ INFORMACJE</w:t>
      </w:r>
    </w:p>
    <w:p>
      <w:pPr>
        <w:pStyle w:val="Normal12a"/>
      </w:pPr>
      <w:r>
        <w:rPr>
          <w:rStyle w:val="HideTWBExt"/>
        </w:rPr>
        <w:t>&lt;FootprintIntro&gt;</w:t>
      </w:r>
      <w:r>
        <w:rPr>
          <w:rStyle w:val="HideTWBExt"/>
        </w:rPr>
        <w:t>&lt;/FootprintIntro&gt;</w:t>
      </w:r>
    </w:p>
    <w:p>
      <w:pPr>
        <w:pStyle w:val="Normal12a"/>
      </w:pPr>
      <w:r>
        <w:t>Zgodnie z art. 8 załącznika I do Regulaminu sprawozdawca oświadcza, że ujął w swoim sprawozdaniu informacje dotyczące kwestii związanych z tematem, które otrzymał podczas sporządzania projektu sprawozdania od następujących przedstawicieli grup interesu objętych zakresem porozumienia międzyinstytucjonalnego w sprawie obowiązkowego rejestru służącego przejrzystości</w:t>
      </w:r>
      <w:r>
        <w:rPr>
          <w:rStyle w:val="FootnoteReference"/>
        </w:rPr>
        <w:footnoteReference w:customMarkFollows="1" w:id="2"/>
        <w:t xml:space="preserve">1</w:t>
      </w:r>
      <w:r>
        <w:t xml:space="preserve"> lub od następujących przedstawicieli organów publicznych państw trzecich, w tym ich misji dyplomatycznych i ambasad: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0" w:type="dxa"/>
          <w:right w:w="140" w:type="dxa"/>
        </w:tblCellMar>
      </w:tblPr>
      <w:tblGrid>
        <w:gridCol w:w="9080"/>
      </w:tblGrid>
      <w:tr>
        <w:tblPrEx>
          <w:tblW w:w="0" w:type="auto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40" w:type="dxa"/>
            <w:right w:w="140" w:type="dxa"/>
          </w:tblCellMar>
        </w:tblPrEx>
        <w:tc>
          <w:tcPr>
            <w:tcW w:w="9080" w:type="dxa"/>
          </w:tcPr>
          <w:p>
            <w:pPr>
              <w:jc w:val="center"/>
            </w:pPr>
            <w:r>
              <w:rPr>
                <w:b/>
              </w:rPr>
              <w:t>1. Przedstawiciele grup interesu objęci zakresem porozumienia międzyinstytucjonalnego w sprawie obowiązkowego rejestru służącego przejrzystości</w:t>
            </w:r>
          </w:p>
        </w:tc>
      </w:tr>
      <w:tr>
        <w:tblPrEx>
          <w:tblW w:w="0" w:type="auto"/>
          <w:tblLayout w:type="fixed"/>
          <w:tblCellMar>
            <w:left w:w="140" w:type="dxa"/>
            <w:right w:w="140" w:type="dxa"/>
          </w:tblCellMar>
        </w:tblPrEx>
        <w:tc>
          <w:tcPr>
            <w:tcW w:w="9080" w:type="dxa"/>
          </w:tcPr>
          <w:p>
            <w:r>
              <w:t>Pour Demain Europe TI 172933491707-16</w:t>
            </w:r>
          </w:p>
        </w:tc>
      </w:tr>
    </w:tbl>
    <w:p/>
    <w:p>
      <w:pPr>
        <w:pStyle w:val="Normal12a"/>
      </w:pPr>
      <w:r>
        <w:t>Powyższy wykaz został sporządzony na wyłączną odpowiedzialność sprawozdawcy.</w:t>
      </w:r>
    </w:p>
    <w:p>
      <w:pPr>
        <w:pStyle w:val="Normal12a"/>
      </w:pPr>
      <w:r>
        <w:t>Gdy osoby fizyczne są wymienione w wykazie z imienia i nazwiska, zidentyfikowane poprzez swoją funkcję lub wymienione z imienia i nazwiska wraz z podaniem ich funkcji, sprawozdawca oświadcza, że przedstawił tym osobom fizycznym Oświadczenie o ochronie prywatności w Parlamencie Europejskim nr 484 (</w:t>
      </w:r>
      <w:hyperlink r:id="rId9" w:tgtFrame="https://www.europarl.europa.eu/data-protect/index.do" w:history="1">
        <w:r>
          <w:rPr>
            <w:rStyle w:val="Hyperlink"/>
          </w:rPr>
          <w:t>https://www.europarl.europa.eu/data-protect/index.do</w:t>
        </w:r>
      </w:hyperlink>
      <w:r>
        <w:t>), w którym określono warunki mające zastosowanie do przetwarzania danych osobowych tych osób oraz prawa związane z takim przetwarzaniem.</w:t>
      </w:r>
    </w:p>
    <w:p>
      <w:pPr>
        <w:sectPr>
          <w:footnotePr>
            <w:numRestart w:val="eachSect"/>
          </w:footnotePr>
          <w:type w:val="nextPage"/>
          <w:pgSz w:w="11909" w:h="16834"/>
          <w:pgMar w:top="1134" w:right="1417" w:bottom="1417" w:left="1417" w:header="1134" w:footer="567"/>
          <w:cols w:space="720"/>
        </w:sectPr>
      </w:pPr>
    </w:p>
    <w:p>
      <w:pPr>
        <w:pStyle w:val="PageHeadingNotTOC"/>
      </w:pPr>
      <w:r>
        <w:t>INFORMACJE O PRZYJĘCIU W KOMISJI OPINIODAWCZEJ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0" w:type="dxa"/>
          <w:right w:w="140" w:type="dxa"/>
        </w:tblCellMar>
      </w:tblPr>
      <w:tblGrid>
        <w:gridCol w:w="3600"/>
        <w:gridCol w:w="6400"/>
      </w:tblGrid>
      <w:tr>
        <w:tblPrEx>
          <w:tblW w:w="0" w:type="auto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40" w:type="dxa"/>
            <w:right w:w="140" w:type="dxa"/>
          </w:tblCellMar>
        </w:tblPrEx>
        <w:tc>
          <w:tcPr>
            <w:tcW w:w="3600" w:type="dxa"/>
          </w:tcPr>
          <w:p>
            <w:pPr>
              <w:pStyle w:val="ProcedureTableBold"/>
            </w:pPr>
            <w:r>
              <w:t>Data przyjęcia</w:t>
            </w:r>
          </w:p>
        </w:tc>
        <w:tc>
          <w:tcPr>
            <w:tcW w:w="6400" w:type="dxa"/>
            <w:tcBorders>
              <w:left w:val="dotted" w:sz="4" w:space="0" w:color="auto"/>
            </w:tcBorders>
          </w:tcPr>
          <w:p>
            <w:pPr>
              <w:pStyle w:val="ProcedureTable"/>
            </w:pPr>
            <w:r>
              <w:t>24.6.2026</w:t>
            </w:r>
          </w:p>
        </w:tc>
      </w:tr>
      <w:tr>
        <w:tblPrEx>
          <w:tblW w:w="0" w:type="auto"/>
          <w:tblLayout w:type="fixed"/>
          <w:tblCellMar>
            <w:left w:w="140" w:type="dxa"/>
            <w:right w:w="140" w:type="dxa"/>
          </w:tblCellMar>
        </w:tblPrEx>
        <w:tc>
          <w:tcPr>
            <w:tcW w:w="3600" w:type="dxa"/>
          </w:tcPr>
          <w:p>
            <w:pPr>
              <w:pStyle w:val="ProcedureTableBold"/>
            </w:pPr>
            <w:r>
              <w:t>Wynik głosowania końcowego</w:t>
            </w:r>
          </w:p>
        </w:tc>
        <w:tc>
          <w:tcPr>
            <w:tcW w:w="6400" w:type="dxa"/>
            <w:tcBorders>
              <w:left w:val="dotted" w:sz="4" w:space="0" w:color="auto"/>
            </w:tcBorders>
          </w:tcPr>
          <w:p>
            <w:r>
              <w:t>+</w:t>
            </w:r>
            <w:r>
              <w:tab/>
            </w:r>
            <w:r>
              <w:t>:</w:t>
            </w:r>
            <w:r>
              <w:tab/>
            </w:r>
            <w:r>
              <w:t>66</w:t>
            </w:r>
          </w:p>
          <w:p>
            <w:r>
              <w:t>-</w:t>
            </w:r>
            <w:r>
              <w:tab/>
            </w:r>
            <w:r>
              <w:t>:</w:t>
            </w:r>
            <w:r>
              <w:tab/>
            </w:r>
            <w:r>
              <w:t>0</w:t>
            </w:r>
          </w:p>
          <w:p>
            <w:r>
              <w:t>0</w:t>
            </w:r>
            <w:r>
              <w:tab/>
            </w:r>
            <w:r>
              <w:t>:</w:t>
            </w:r>
            <w:r>
              <w:tab/>
            </w:r>
            <w:r>
              <w:t>4</w:t>
            </w:r>
          </w:p>
        </w:tc>
      </w:tr>
    </w:tbl>
    <w:p>
      <w:pPr>
        <w:sectPr>
          <w:type w:val="nextPage"/>
          <w:pgSz w:w="11909" w:h="16834"/>
          <w:pgMar w:top="1134" w:right="1417" w:bottom="1417" w:left="1417" w:header="1134" w:footer="567"/>
          <w:cols w:space="720"/>
        </w:sectPr>
      </w:pPr>
    </w:p>
    <w:p>
      <w:pPr>
        <w:pStyle w:val="PageHeadingNotTOC"/>
      </w:pPr>
      <w:r>
        <w:t>GŁOSOWANIE KOŃCOWE W FORMIE GŁOSOWANIA IMIENNEGO</w:t>
        <w:br/>
        <w:t>W KOMISJI OPINIODAWCZEJ</w:t>
      </w:r>
    </w:p>
    <w:tbl>
      <w:tblPr>
        <w:tblW w:w="0" w:type="auto"/>
        <w:tblBorders>
          <w:top w:val="double" w:sz="8" w:space="0" w:color="000000"/>
          <w:left w:val="double" w:sz="8" w:space="0" w:color="000000"/>
          <w:bottom w:val="double" w:sz="8" w:space="0" w:color="000000"/>
          <w:right w:val="double" w:sz="8" w:space="0" w:color="000000"/>
          <w:insideH w:val="single" w:sz="4" w:space="0" w:color="auto"/>
          <w:insideV w:val="single" w:sz="4" w:space="0" w:color="auto"/>
        </w:tblBorders>
        <w:tblLayout w:type="fixed"/>
        <w:tblCellMar>
          <w:top w:w="54" w:type="dxa"/>
          <w:left w:w="140" w:type="dxa"/>
          <w:bottom w:w="54" w:type="dxa"/>
          <w:right w:w="140" w:type="dxa"/>
        </w:tblCellMar>
      </w:tblPr>
      <w:tblGrid>
        <w:gridCol w:w="1600"/>
        <w:gridCol w:w="7600"/>
      </w:tblGrid>
      <w:tr>
        <w:tblPrEx>
          <w:tblW w:w="0" w:type="auto"/>
          <w:tblBorders>
            <w:top w:val="double" w:sz="8" w:space="0" w:color="000000"/>
            <w:left w:val="double" w:sz="8" w:space="0" w:color="000000"/>
            <w:bottom w:val="double" w:sz="8" w:space="0" w:color="000000"/>
            <w:right w:val="double" w:sz="8" w:space="0" w:color="000000"/>
            <w:insideH w:val="single" w:sz="4" w:space="0" w:color="auto"/>
            <w:insideV w:val="single" w:sz="4" w:space="0" w:color="auto"/>
          </w:tblBorders>
          <w:tblLayout w:type="fixed"/>
          <w:tblCellMar>
            <w:top w:w="54" w:type="dxa"/>
            <w:left w:w="140" w:type="dxa"/>
            <w:bottom w:w="54" w:type="dxa"/>
            <w:right w:w="140" w:type="dxa"/>
          </w:tblCellMar>
        </w:tblPrEx>
        <w:tc>
          <w:tcPr>
            <w:tcW w:w="1600" w:type="dxa"/>
            <w:shd w:val="clear" w:color="auto" w:fill="C0C0C0"/>
          </w:tcPr>
          <w:p>
            <w:pPr>
              <w:pStyle w:val="NormalBold"/>
            </w:pPr>
            <w:r>
              <w:t>66</w:t>
            </w:r>
          </w:p>
        </w:tc>
        <w:tc>
          <w:tcPr>
            <w:tcW w:w="7600" w:type="dxa"/>
            <w:shd w:val="clear" w:color="auto" w:fill="C0C0C0"/>
          </w:tcPr>
          <w:p>
            <w:pPr>
              <w:pStyle w:val="Arial14CentreBold"/>
            </w:pPr>
            <w:r>
              <w:t>+</w:t>
            </w:r>
          </w:p>
        </w:tc>
      </w:tr>
      <w:tr>
        <w:tblPrEx>
          <w:tblW w:w="0" w:type="auto"/>
          <w:tblLayout w:type="fixed"/>
          <w:tblCellMar>
            <w:top w:w="54" w:type="dxa"/>
            <w:left w:w="140" w:type="dxa"/>
            <w:bottom w:w="54" w:type="dxa"/>
            <w:right w:w="140" w:type="dxa"/>
          </w:tblCellMar>
        </w:tblPrEx>
        <w:tc>
          <w:tcPr>
            <w:tcW w:w="1600" w:type="dxa"/>
          </w:tcPr>
          <w:p>
            <w:pPr>
              <w:pStyle w:val="ProcedureTable"/>
            </w:pPr>
            <w:r>
              <w:t>ECR</w:t>
            </w:r>
          </w:p>
        </w:tc>
        <w:tc>
          <w:tcPr>
            <w:tcW w:w="7600" w:type="dxa"/>
          </w:tcPr>
          <w:p>
            <w:pPr>
              <w:pStyle w:val="ProcedureTable"/>
            </w:pPr>
            <w:r>
              <w:t>Alessandro Ciriani, Geadis Geadi, Paolo Inselvini, Assita Kanko, Georgiana Teodorescu, Maciej Wasik</w:t>
            </w:r>
          </w:p>
        </w:tc>
      </w:tr>
      <w:tr>
        <w:tblPrEx>
          <w:tblW w:w="0" w:type="auto"/>
          <w:tblLayout w:type="fixed"/>
          <w:tblCellMar>
            <w:top w:w="54" w:type="dxa"/>
            <w:left w:w="140" w:type="dxa"/>
            <w:bottom w:w="54" w:type="dxa"/>
            <w:right w:w="140" w:type="dxa"/>
          </w:tblCellMar>
        </w:tblPrEx>
        <w:tc>
          <w:tcPr>
            <w:tcW w:w="1600" w:type="dxa"/>
          </w:tcPr>
          <w:p>
            <w:pPr>
              <w:pStyle w:val="ProcedureTable"/>
            </w:pPr>
            <w:r>
              <w:t>NI</w:t>
            </w:r>
          </w:p>
        </w:tc>
        <w:tc>
          <w:tcPr>
            <w:tcW w:w="7600" w:type="dxa"/>
          </w:tcPr>
          <w:p>
            <w:pPr>
              <w:pStyle w:val="ProcedureTable"/>
            </w:pPr>
            <w:r>
              <w:t>Erik Kalinák</w:t>
            </w:r>
          </w:p>
        </w:tc>
      </w:tr>
      <w:tr>
        <w:tblPrEx>
          <w:tblW w:w="0" w:type="auto"/>
          <w:tblLayout w:type="fixed"/>
          <w:tblCellMar>
            <w:top w:w="54" w:type="dxa"/>
            <w:left w:w="140" w:type="dxa"/>
            <w:bottom w:w="54" w:type="dxa"/>
            <w:right w:w="140" w:type="dxa"/>
          </w:tblCellMar>
        </w:tblPrEx>
        <w:tc>
          <w:tcPr>
            <w:tcW w:w="1600" w:type="dxa"/>
          </w:tcPr>
          <w:p>
            <w:pPr>
              <w:pStyle w:val="ProcedureTable"/>
            </w:pPr>
            <w:r>
              <w:t>PPE</w:t>
            </w:r>
          </w:p>
        </w:tc>
        <w:tc>
          <w:tcPr>
            <w:tcW w:w="7600" w:type="dxa"/>
          </w:tcPr>
          <w:p>
            <w:pPr>
              <w:pStyle w:val="ProcedureTable"/>
            </w:pPr>
            <w:r>
              <w:t>Georgios Aftias, Krzysztof Brejza, Caterina Chinnici, Paulo Cunha, Lena Düpont, Loucas Fourlas, Ondrej Kolár, Marie-Sophie Lanig, Jeroen Lenaers, Verena Mertens, Ana Miguel Pedro, Emil Radev, Karlo Ressler, Bartlomiej Sienkiewicz, Tomas Tobé, Loránt Vincze, Isabel Wiseler-Lima, Javier Zarzalejos, Tomás Zdechovský</w:t>
            </w:r>
          </w:p>
        </w:tc>
      </w:tr>
      <w:tr>
        <w:tblPrEx>
          <w:tblW w:w="0" w:type="auto"/>
          <w:tblLayout w:type="fixed"/>
          <w:tblCellMar>
            <w:top w:w="54" w:type="dxa"/>
            <w:left w:w="140" w:type="dxa"/>
            <w:bottom w:w="54" w:type="dxa"/>
            <w:right w:w="140" w:type="dxa"/>
          </w:tblCellMar>
        </w:tblPrEx>
        <w:tc>
          <w:tcPr>
            <w:tcW w:w="1600" w:type="dxa"/>
          </w:tcPr>
          <w:p>
            <w:pPr>
              <w:pStyle w:val="ProcedureTable"/>
            </w:pPr>
            <w:r>
              <w:t>PfE</w:t>
            </w:r>
          </w:p>
        </w:tc>
        <w:tc>
          <w:tcPr>
            <w:tcW w:w="7600" w:type="dxa"/>
          </w:tcPr>
          <w:p>
            <w:pPr>
              <w:pStyle w:val="ProcedureTable"/>
            </w:pPr>
            <w:r>
              <w:t>Jaroslav Bzoch, Mélanie Disdier, Marieke Ehlers, Catherine Griset, András László, Fabrice Leggeri, António Tânger Corrêa, Tom Vandendriessche</w:t>
            </w:r>
          </w:p>
        </w:tc>
      </w:tr>
      <w:tr>
        <w:tblPrEx>
          <w:tblW w:w="0" w:type="auto"/>
          <w:tblLayout w:type="fixed"/>
          <w:tblCellMar>
            <w:top w:w="54" w:type="dxa"/>
            <w:left w:w="140" w:type="dxa"/>
            <w:bottom w:w="54" w:type="dxa"/>
            <w:right w:w="140" w:type="dxa"/>
          </w:tblCellMar>
        </w:tblPrEx>
        <w:tc>
          <w:tcPr>
            <w:tcW w:w="1600" w:type="dxa"/>
          </w:tcPr>
          <w:p>
            <w:pPr>
              <w:pStyle w:val="ProcedureTable"/>
            </w:pPr>
            <w:r>
              <w:t>Renew Europe</w:t>
            </w:r>
          </w:p>
        </w:tc>
        <w:tc>
          <w:tcPr>
            <w:tcW w:w="7600" w:type="dxa"/>
          </w:tcPr>
          <w:p>
            <w:pPr>
              <w:pStyle w:val="ProcedureTable"/>
            </w:pPr>
            <w:r>
              <w:t>Malik Azmani, Veronika Cifrová Ostrihonová, Raquel García Hermida-Van Der Walle, Fabienne Keller, Moritz Körner, Michael McNamara, Marjan Sarec, Hilde Vautmans, Lucia Yar</w:t>
            </w:r>
          </w:p>
        </w:tc>
      </w:tr>
      <w:tr>
        <w:tblPrEx>
          <w:tblW w:w="0" w:type="auto"/>
          <w:tblLayout w:type="fixed"/>
          <w:tblCellMar>
            <w:top w:w="54" w:type="dxa"/>
            <w:left w:w="140" w:type="dxa"/>
            <w:bottom w:w="54" w:type="dxa"/>
            <w:right w:w="140" w:type="dxa"/>
          </w:tblCellMar>
        </w:tblPrEx>
        <w:tc>
          <w:tcPr>
            <w:tcW w:w="1600" w:type="dxa"/>
          </w:tcPr>
          <w:p>
            <w:pPr>
              <w:pStyle w:val="ProcedureTable"/>
            </w:pPr>
            <w:r>
              <w:t>S&amp;D</w:t>
            </w:r>
          </w:p>
        </w:tc>
        <w:tc>
          <w:tcPr>
            <w:tcW w:w="7600" w:type="dxa"/>
          </w:tcPr>
          <w:p>
            <w:pPr>
              <w:pStyle w:val="ProcedureTable"/>
            </w:pPr>
            <w:r>
              <w:t>Vytenis Povilas Andriukaitis, Francisco Assis, Katarina Barley, Hannes Heide, Alicia Homs Ginel, Evin Incir, Murielle Laurent, Ana Catarina Mendes, Birgit Sippel, Krzysztof Smiszek, Cecilia Strada, Kristian Vigenin, Alessandro Zan</w:t>
            </w:r>
          </w:p>
        </w:tc>
      </w:tr>
      <w:tr>
        <w:tblPrEx>
          <w:tblW w:w="0" w:type="auto"/>
          <w:tblLayout w:type="fixed"/>
          <w:tblCellMar>
            <w:top w:w="54" w:type="dxa"/>
            <w:left w:w="140" w:type="dxa"/>
            <w:bottom w:w="54" w:type="dxa"/>
            <w:right w:w="140" w:type="dxa"/>
          </w:tblCellMar>
        </w:tblPrEx>
        <w:tc>
          <w:tcPr>
            <w:tcW w:w="1600" w:type="dxa"/>
          </w:tcPr>
          <w:p>
            <w:pPr>
              <w:pStyle w:val="ProcedureTable"/>
            </w:pPr>
            <w:r>
              <w:t>The Left</w:t>
            </w:r>
          </w:p>
        </w:tc>
        <w:tc>
          <w:tcPr>
            <w:tcW w:w="7600" w:type="dxa"/>
          </w:tcPr>
          <w:p>
            <w:pPr>
              <w:pStyle w:val="ProcedureTable"/>
            </w:pPr>
            <w:r>
              <w:t>Giuseppe Antoci, Pernando Barrena Arza, Gaetano Pedulla', Ilaria Salis</w:t>
            </w:r>
          </w:p>
        </w:tc>
      </w:tr>
      <w:tr>
        <w:tblPrEx>
          <w:tblW w:w="0" w:type="auto"/>
          <w:tblLayout w:type="fixed"/>
          <w:tblCellMar>
            <w:top w:w="54" w:type="dxa"/>
            <w:left w:w="140" w:type="dxa"/>
            <w:bottom w:w="54" w:type="dxa"/>
            <w:right w:w="140" w:type="dxa"/>
          </w:tblCellMar>
        </w:tblPrEx>
        <w:tc>
          <w:tcPr>
            <w:tcW w:w="1600" w:type="dxa"/>
          </w:tcPr>
          <w:p>
            <w:pPr>
              <w:pStyle w:val="ProcedureTable"/>
            </w:pPr>
            <w:r>
              <w:t>Verts/ALE</w:t>
            </w:r>
          </w:p>
        </w:tc>
        <w:tc>
          <w:tcPr>
            <w:tcW w:w="7600" w:type="dxa"/>
          </w:tcPr>
          <w:p>
            <w:pPr>
              <w:pStyle w:val="ProcedureTable"/>
            </w:pPr>
            <w:r>
              <w:t>Jaume Asens Llodrà, Saskia Bricmont, Mélissa Camara, Markéta Gregorová, Leoluca Orlando, Tineke Strik</w:t>
            </w:r>
          </w:p>
        </w:tc>
      </w:tr>
    </w:tbl>
    <w:p/>
    <w:tbl>
      <w:tblPr>
        <w:tblW w:w="0" w:type="auto"/>
        <w:tblBorders>
          <w:top w:val="double" w:sz="8" w:space="0" w:color="000000"/>
          <w:left w:val="double" w:sz="8" w:space="0" w:color="000000"/>
          <w:bottom w:val="double" w:sz="8" w:space="0" w:color="000000"/>
          <w:right w:val="double" w:sz="8" w:space="0" w:color="000000"/>
          <w:insideH w:val="single" w:sz="4" w:space="0" w:color="auto"/>
          <w:insideV w:val="single" w:sz="4" w:space="0" w:color="auto"/>
        </w:tblBorders>
        <w:tblLayout w:type="fixed"/>
        <w:tblCellMar>
          <w:top w:w="54" w:type="dxa"/>
          <w:left w:w="140" w:type="dxa"/>
          <w:bottom w:w="54" w:type="dxa"/>
          <w:right w:w="140" w:type="dxa"/>
        </w:tblCellMar>
      </w:tblPr>
      <w:tblGrid>
        <w:gridCol w:w="1600"/>
        <w:gridCol w:w="7600"/>
      </w:tblGrid>
      <w:tr>
        <w:tblPrEx>
          <w:tblW w:w="0" w:type="auto"/>
          <w:tblBorders>
            <w:top w:val="double" w:sz="8" w:space="0" w:color="000000"/>
            <w:left w:val="double" w:sz="8" w:space="0" w:color="000000"/>
            <w:bottom w:val="double" w:sz="8" w:space="0" w:color="000000"/>
            <w:right w:val="double" w:sz="8" w:space="0" w:color="000000"/>
            <w:insideH w:val="single" w:sz="4" w:space="0" w:color="auto"/>
            <w:insideV w:val="single" w:sz="4" w:space="0" w:color="auto"/>
          </w:tblBorders>
          <w:tblLayout w:type="fixed"/>
          <w:tblCellMar>
            <w:top w:w="54" w:type="dxa"/>
            <w:left w:w="140" w:type="dxa"/>
            <w:bottom w:w="54" w:type="dxa"/>
            <w:right w:w="140" w:type="dxa"/>
          </w:tblCellMar>
        </w:tblPrEx>
        <w:tc>
          <w:tcPr>
            <w:tcW w:w="1600" w:type="dxa"/>
            <w:shd w:val="clear" w:color="auto" w:fill="C0C0C0"/>
          </w:tcPr>
          <w:p>
            <w:pPr>
              <w:pStyle w:val="NormalBold"/>
            </w:pPr>
            <w:r>
              <w:t>0</w:t>
            </w:r>
          </w:p>
        </w:tc>
        <w:tc>
          <w:tcPr>
            <w:tcW w:w="7600" w:type="dxa"/>
            <w:shd w:val="clear" w:color="auto" w:fill="C0C0C0"/>
          </w:tcPr>
          <w:p>
            <w:pPr>
              <w:pStyle w:val="Arial14CentreBold"/>
            </w:pPr>
            <w:r>
              <w:t>-</w:t>
            </w:r>
          </w:p>
        </w:tc>
      </w:tr>
    </w:tbl>
    <w:p/>
    <w:tbl>
      <w:tblPr>
        <w:tblW w:w="0" w:type="auto"/>
        <w:tblBorders>
          <w:top w:val="double" w:sz="8" w:space="0" w:color="000000"/>
          <w:left w:val="double" w:sz="8" w:space="0" w:color="000000"/>
          <w:bottom w:val="double" w:sz="8" w:space="0" w:color="000000"/>
          <w:right w:val="double" w:sz="8" w:space="0" w:color="000000"/>
          <w:insideH w:val="single" w:sz="4" w:space="0" w:color="auto"/>
          <w:insideV w:val="single" w:sz="4" w:space="0" w:color="auto"/>
        </w:tblBorders>
        <w:tblLayout w:type="fixed"/>
        <w:tblCellMar>
          <w:top w:w="54" w:type="dxa"/>
          <w:left w:w="140" w:type="dxa"/>
          <w:bottom w:w="54" w:type="dxa"/>
          <w:right w:w="140" w:type="dxa"/>
        </w:tblCellMar>
      </w:tblPr>
      <w:tblGrid>
        <w:gridCol w:w="1600"/>
        <w:gridCol w:w="7600"/>
      </w:tblGrid>
      <w:tr>
        <w:tblPrEx>
          <w:tblW w:w="0" w:type="auto"/>
          <w:tblBorders>
            <w:top w:val="double" w:sz="8" w:space="0" w:color="000000"/>
            <w:left w:val="double" w:sz="8" w:space="0" w:color="000000"/>
            <w:bottom w:val="double" w:sz="8" w:space="0" w:color="000000"/>
            <w:right w:val="double" w:sz="8" w:space="0" w:color="000000"/>
            <w:insideH w:val="single" w:sz="4" w:space="0" w:color="auto"/>
            <w:insideV w:val="single" w:sz="4" w:space="0" w:color="auto"/>
          </w:tblBorders>
          <w:tblLayout w:type="fixed"/>
          <w:tblCellMar>
            <w:top w:w="54" w:type="dxa"/>
            <w:left w:w="140" w:type="dxa"/>
            <w:bottom w:w="54" w:type="dxa"/>
            <w:right w:w="140" w:type="dxa"/>
          </w:tblCellMar>
        </w:tblPrEx>
        <w:tc>
          <w:tcPr>
            <w:tcW w:w="1600" w:type="dxa"/>
            <w:shd w:val="clear" w:color="auto" w:fill="C0C0C0"/>
          </w:tcPr>
          <w:p>
            <w:pPr>
              <w:pStyle w:val="NormalBold"/>
            </w:pPr>
            <w:r>
              <w:t>4</w:t>
            </w:r>
          </w:p>
        </w:tc>
        <w:tc>
          <w:tcPr>
            <w:tcW w:w="7600" w:type="dxa"/>
            <w:shd w:val="clear" w:color="auto" w:fill="C0C0C0"/>
          </w:tcPr>
          <w:p>
            <w:pPr>
              <w:pStyle w:val="Arial14CentreBold"/>
            </w:pPr>
            <w:r>
              <w:t>0</w:t>
            </w:r>
          </w:p>
        </w:tc>
      </w:tr>
      <w:tr>
        <w:tblPrEx>
          <w:tblW w:w="0" w:type="auto"/>
          <w:tblLayout w:type="fixed"/>
          <w:tblCellMar>
            <w:top w:w="54" w:type="dxa"/>
            <w:left w:w="140" w:type="dxa"/>
            <w:bottom w:w="54" w:type="dxa"/>
            <w:right w:w="140" w:type="dxa"/>
          </w:tblCellMar>
        </w:tblPrEx>
        <w:tc>
          <w:tcPr>
            <w:tcW w:w="1600" w:type="dxa"/>
          </w:tcPr>
          <w:p>
            <w:pPr>
              <w:pStyle w:val="ProcedureTable"/>
            </w:pPr>
            <w:r>
              <w:t>ESN</w:t>
            </w:r>
          </w:p>
        </w:tc>
        <w:tc>
          <w:tcPr>
            <w:tcW w:w="7600" w:type="dxa"/>
          </w:tcPr>
          <w:p>
            <w:pPr>
              <w:pStyle w:val="ProcedureTable"/>
            </w:pPr>
            <w:r>
              <w:t>Alexander Sell, Milan Uhrík, Roberto Vannacci</w:t>
            </w:r>
          </w:p>
        </w:tc>
      </w:tr>
      <w:tr>
        <w:tblPrEx>
          <w:tblW w:w="0" w:type="auto"/>
          <w:tblLayout w:type="fixed"/>
          <w:tblCellMar>
            <w:top w:w="54" w:type="dxa"/>
            <w:left w:w="140" w:type="dxa"/>
            <w:bottom w:w="54" w:type="dxa"/>
            <w:right w:w="140" w:type="dxa"/>
          </w:tblCellMar>
        </w:tblPrEx>
        <w:tc>
          <w:tcPr>
            <w:tcW w:w="1600" w:type="dxa"/>
          </w:tcPr>
          <w:p>
            <w:pPr>
              <w:pStyle w:val="ProcedureTable"/>
            </w:pPr>
            <w:r>
              <w:t>PfE</w:t>
            </w:r>
          </w:p>
        </w:tc>
        <w:tc>
          <w:tcPr>
            <w:tcW w:w="7600" w:type="dxa"/>
          </w:tcPr>
          <w:p>
            <w:pPr>
              <w:pStyle w:val="ProcedureTable"/>
            </w:pPr>
            <w:r>
              <w:t>Jorge Buxadé Villalba</w:t>
            </w:r>
          </w:p>
        </w:tc>
      </w:tr>
    </w:tbl>
    <w:p/>
    <w:p>
      <w:r>
        <w:t>Objaśnienie używanych znaków:</w:t>
      </w:r>
    </w:p>
    <w:p>
      <w:pPr>
        <w:pStyle w:val="NormalTab"/>
      </w:pPr>
      <w:r>
        <w:t>+</w:t>
      </w:r>
      <w:r>
        <w:t xml:space="preserve">  :  </w:t>
      </w:r>
      <w:r>
        <w:t>głosowały za przyjęciem aktu</w:t>
      </w:r>
    </w:p>
    <w:p>
      <w:pPr>
        <w:pStyle w:val="NormalTab"/>
      </w:pPr>
      <w:r>
        <w:t>-</w:t>
      </w:r>
      <w:r>
        <w:t xml:space="preserve">  :  </w:t>
      </w:r>
      <w:r>
        <w:t>przeciw</w:t>
      </w:r>
    </w:p>
    <w:p>
      <w:pPr>
        <w:pStyle w:val="NormalTab"/>
      </w:pPr>
      <w:r>
        <w:t>0</w:t>
      </w:r>
      <w:r>
        <w:t xml:space="preserve">  :  </w:t>
      </w:r>
      <w:r>
        <w:t>wstrzymało się</w:t>
      </w:r>
    </w:p>
    <w:sectPr>
      <w:type w:val="nextPage"/>
      <w:pgSz w:w="11909" w:h="16834"/>
      <w:pgMar w:top="1134" w:right="1417" w:bottom="1417" w:left="1417" w:header="1134" w:footer="567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t>PE</w:t>
    </w:r>
    <w:r>
      <w:rPr>
        <w:rStyle w:val="HideTWBExt"/>
      </w:rPr>
      <w:t>&lt;NoPE&gt;</w:t>
    </w:r>
    <w:r>
      <w:t>787.655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v02-00</w:t>
    </w:r>
    <w:r>
      <w:rPr>
        <w:rStyle w:val="HideTWBExt"/>
      </w:rPr>
      <w:t>&lt;/Version&gt;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30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30</w:t>
    </w:r>
    <w:r>
      <w:fldChar w:fldCharType="end"/>
    </w:r>
    <w:r>
      <w:tab/>
    </w:r>
    <w:r>
      <w:rPr>
        <w:rStyle w:val="HideTWBExt"/>
      </w:rPr>
      <w:t>&lt;PathFdR&gt;</w:t>
    </w:r>
    <w:r>
      <w:t>AD\1346087PL.docx</w:t>
    </w:r>
    <w:r>
      <w:rPr>
        <w:rStyle w:val="HideTWBExt"/>
      </w:rPr>
      <w:t>&lt;/PathFdR&gt;</w:t>
    </w:r>
  </w:p>
  <w:p>
    <w:pPr>
      <w:pStyle w:val="EPFooter2"/>
    </w:pPr>
    <w:r>
      <w:t>PL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AD\1346087PL.docx</w:t>
    </w:r>
    <w:r>
      <w:rPr>
        <w:rStyle w:val="HideTWBExt"/>
      </w:rPr>
      <w:t>&lt;/PathFdR&gt;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29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30</w:t>
    </w:r>
    <w:r>
      <w:fldChar w:fldCharType="end"/>
    </w:r>
    <w:r>
      <w:tab/>
    </w:r>
    <w:r>
      <w:t>PE</w:t>
    </w:r>
    <w:r>
      <w:rPr>
        <w:rStyle w:val="HideTWBExt"/>
      </w:rPr>
      <w:t>&lt;NoPE&gt;</w:t>
    </w:r>
    <w:r>
      <w:t>787.655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v02-00</w:t>
    </w:r>
    <w:r>
      <w:rPr>
        <w:rStyle w:val="HideTWBExt"/>
      </w:rPr>
      <w:t>&lt;/Version&gt;</w:t>
    </w:r>
  </w:p>
  <w:p>
    <w:pPr>
      <w:pStyle w:val="EPFooter2"/>
    </w:pPr>
    <w:r>
      <w:tab/>
    </w:r>
    <w:r>
      <w:tab/>
    </w:r>
    <w:r>
      <w:t>PL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AD\1346087PL.docx</w:t>
    </w:r>
    <w:r>
      <w:rPr>
        <w:rStyle w:val="HideTWBExt"/>
      </w:rPr>
      <w:t>&lt;/PathFdR&gt;</w:t>
    </w:r>
    <w:r>
      <w:tab/>
    </w:r>
    <w:r>
      <w:tab/>
    </w:r>
    <w:r>
      <w:t>PE</w:t>
    </w:r>
    <w:r>
      <w:rPr>
        <w:rStyle w:val="HideTWBExt"/>
      </w:rPr>
      <w:t>&lt;NoPE&gt;</w:t>
    </w:r>
    <w:r>
      <w:t>787.655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v02-00</w:t>
    </w:r>
    <w:r>
      <w:rPr>
        <w:rStyle w:val="HideTWBExt"/>
      </w:rPr>
      <w:t>&lt;/Version&gt;</w:t>
    </w:r>
  </w:p>
  <w:p>
    <w:pPr>
      <w:pStyle w:val="EPFooter2"/>
    </w:pPr>
    <w:r>
      <w:t>PL</w:t>
    </w:r>
    <w:r>
      <w:tab/>
    </w:r>
    <w:r>
      <w:rPr>
        <w:rStyle w:val="EPFooter2Motto"/>
      </w:rPr>
      <w:t>Zjednoczona w różnorodności</w:t>
    </w:r>
    <w:r>
      <w:tab/>
    </w:r>
    <w:r>
      <w:t>PL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>
      <w:pPr>
        <w:spacing w:after="0" w:line="240" w:lineRule="auto"/>
      </w:pPr>
      <w:r>
        <w:separator/>
      </w:r>
    </w:p>
  </w:footnote>
  <w:footnote w:type="continuationSeparator" w:id="1">
    <w:p>
      <w:pPr>
        <w:spacing w:after="0" w:line="240" w:lineRule="auto"/>
      </w:pPr>
      <w:r>
        <w:continuationSeparator/>
      </w:r>
    </w:p>
  </w:footnote>
  <w:footnote w:id="2">
    <w:p>
      <w:pPr>
        <w:pStyle w:val="FootnoteText"/>
      </w:pPr>
      <w:r>
        <w:rPr>
          <w:rStyle w:val="FootnoteReference"/>
        </w:rPr>
        <w:t>1</w:t>
      </w:r>
      <w:r>
        <w:t xml:space="preserve"> </w:t>
      </w:r>
      <w:r>
        <w:t xml:space="preserve"> </w:t>
      </w:r>
      <w:r>
        <w:t xml:space="preserve">Porozumienie międzyinstytucjonalne z maja 2021 r. pomiędzy Parlamentem Europejskim, Radą Unii Europejskiej i Komisją Europejską w sprawie obowiązkowego rejestru służącego przejrzystości (Dz.U. L 207 z 11.6.2021, s. 1, ELI: </w:t>
      </w:r>
      <w:hyperlink r:id="rId1" w:tgtFrame="http://data.europa.eu/eli/agree_interinstit/2021/611/oj" w:history="1">
        <w:r>
          <w:rPr>
            <w:rStyle w:val="Hyperlink"/>
          </w:rPr>
          <w:t>http://data.europa.eu/eli/agree_interinstit/2021/611/oj</w:t>
        </w:r>
      </w:hyperlink>
      <w:r>
        <w:t>).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evenAndOddHeaders/>
  <w:noPunctuationKerning/>
  <w:characterSpacingControl w:val="doNotCompress"/>
  <w:footnotePr>
    <w:numRestart w:val="eachSect"/>
    <w:footnote w:id="0"/>
    <w:footnote w:id="1"/>
  </w:foot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docVars>
    <w:docVar w:name="restartBrut" w:val="{\rtf1\adeflang1025\ansi\ansicpg1257\uc1\adeff0\deff0\stshfdbch0\stshfloch0\stshfhich0\stshfbi0\deflang1063\deflangfe1041\themelang2057\themelangfe1041\themelangcs1108{\fonttbl{\f0\fbidi \froman\fcharset0\fprq2{\*\panose 02020603050405020304}Times New Roman;}{\f1\fbidi \fswiss\fcharset0\fprq2{\*\panose 020b0604020202020204}Arial;}_x000d__x000a_{\f34\fbidi \froman\fcharset0\fprq2{\*\panose 02040503050406030204}Cambria Math;}{\f38\fbidi \fswiss\fcharset128\fprq2{\*\panose 020b0300000000000000}Yu Gothic Light{\*\falt \'9f\'e0\'83\'53\'83\'56\'83\'62\'83\'4e Light};}_x000d__x000a_{\f163\fbidi \fswiss\fcharset128\fprq2 @Yu Gothic Light;}{\flomajor\f31500\fbidi \froman\fcharset0\fprq2{\*\panose 02020603050405020304}Times New Roman;}_x000d__x000a_{\fdbmajor\f31501\fbidi \fswiss\fcharset128\fprq2{\*\panose 020b0300000000000000}Yu Gothic Light{\*\falt \'9f\'e0\'83\'53\'83\'56\'83\'62\'83\'4e Light};}{\fhimajor\f31502\fbidi \fswiss\fcharset0\fprq2{\*\panose 020f0302020204030204}Calibri Light;}_x000d__x000a_{\fbimajor\f31503\fbidi \fswiss\fcharset0\fprq2 DokChampa;}{\flominor\f31504\fbidi \froman\fcharset0\fprq2{\*\panose 02020603050405020304}Times New Roman;}_x000d__x000a_{\fdbminor\f31505\fbidi \froman\fcharset128\fprq0{\*\panose 00000000000000000000}Yu Mincho{\*\falt \'9f\'e0\'96\'be\'92\'a9};}{\fhiminor\f31506\fbidi \fswiss\fcharset0\fprq2{\*\panose 020f0502020204030204}Calibri;}_x000d__x000a_{\fbiminor\f31507\fbidi \fswiss\fcharset0\fprq2 DokChampa;}{\f335\fbidi \froman\fcharset238\fprq2 Times New Roman CE;}{\f336\fbidi \froman\fcharset204\fprq2 Times New Roman Cyr;}{\f338\fbidi \froman\fcharset161\fprq2 Times New Roman Greek;}_x000d__x000a_{\f339\fbidi \froman\fcharset162\fprq2 Times New Roman Tur;}{\f340\fbidi \froman\fcharset177\fprq2 Times New Roman (Hebrew);}{\f341\fbidi \froman\fcharset178\fprq2 Times New Roman (Arabic);}{\f342\fbidi \froman\fcharset186\fprq2 Times New Roman Baltic;}_x000d__x000a_{\f343\fbidi \froman\fcharset163\fprq2 Times New Roman (Vietnamese);}{\f345\fbidi \fswiss\fcharset238\fprq2 Arial CE;}{\f346\fbidi \fswiss\fcharset204\fprq2 Arial Cyr;}{\f348\fbidi \fswiss\fcharset161\fprq2 Arial Greek;}_x000d__x000a_{\f349\fbidi \fswiss\fcharset162\fprq2 Arial Tur;}{\f350\fbidi \fswiss\fcharset177\fprq2 Arial (Hebrew);}{\f351\fbidi \fswiss\fcharset178\fprq2 Arial (Arabic);}{\f352\fbidi \fswiss\fcharset186\fprq2 Arial Baltic;}_x000d__x000a_{\f353\fbidi \fswiss\fcharset163\fprq2 Arial (Vietnamese);}{\f675\fbidi \froman\fcharset238\fprq2 Cambria Math CE;}{\f676\fbidi \froman\fcharset204\fprq2 Cambria Math Cyr;}{\f678\fbidi \froman\fcharset161\fprq2 Cambria Math Greek;}_x000d__x000a_{\f679\fbidi \froman\fcharset162\fprq2 Cambria Math Tur;}{\f682\fbidi \froman\fcharset186\fprq2 Cambria Math Baltic;}{\f683\fbidi \froman\fcharset163\fprq2 Cambria Math (Vietnamese);}_x000d__x000a_{\f717\fbidi \fswiss\fcharset0\fprq2 Yu Gothic Light Western{\*\falt \'9f\'e0\'83\'53\'83\'56\'83\'62\'83\'4e Light};}{\f715\fbidi \fswiss\fcharset238\fprq2 Yu Gothic Light CE{\*\falt \'9f\'e0\'83\'53\'83\'56\'83\'62\'83\'4e Light};}_x000d__x000a_{\f716\fbidi \fswiss\fcharset204\fprq2 Yu Gothic Light Cyr{\*\falt \'9f\'e0\'83\'53\'83\'56\'83\'62\'83\'4e Light};}{\f718\fbidi \fswiss\fcharset161\fprq2 Yu Gothic Light Greek{\*\falt \'9f\'e0\'83\'53\'83\'56\'83\'62\'83\'4e Light};}_x000d__x000a_{\f719\fbidi \fswiss\fcharset162\fprq2 Yu Gothic Light Tur{\*\falt \'9f\'e0\'83\'53\'83\'56\'83\'62\'83\'4e Light};}{\f722\fbidi \fswiss\fcharset186\fprq2 Yu Gothic Light Baltic{\*\falt \'9f\'e0\'83\'53\'83\'56\'83\'62\'83\'4e Light};}_x000d__x000a_{\f1967\fbidi \fswiss\fcharset0\fprq2 @Yu Gothic Light Western;}{\f1965\fbidi \fswiss\fcharset238\fprq2 @Yu Gothic Light CE;}{\f1966\fbidi \fswiss\fcharset204\fprq2 @Yu Gothic Light Cyr;}{\f1968\fbidi \fswiss\fcharset161\fprq2 @Yu Gothic Light Greek;}_x000d__x000a_{\f1969\fbidi \fswiss\fcharset162\fprq2 @Yu Gothic Light Tur;}{\f1972\fbidi \fswiss\fcharset186\fprq2 @Yu Gothic Light Baltic;}{\flomajor\f31508\fbidi \froman\fcharset238\fprq2 Times New Roman CE;}_x000d__x000a_{\flomajor\f31509\fbidi \froman\fcharset204\fprq2 Times New Roman Cyr;}{\flomajor\f31511\fbidi \froman\fcharset161\fprq2 Times New Roman Greek;}{\flomajor\f31512\fbidi \froman\fcharset162\fprq2 Times New Roman Tur;}_x000d__x000a_{\flomajor\f31513\fbidi \froman\fcharset177\fprq2 Times New Roman (Hebrew);}{\flomajor\f31514\fbidi \froman\fcharset178\fprq2 Times New Roman (Arabic);}{\flomajor\f31515\fbidi \froman\fcharset186\fprq2 Times New Roman Baltic;}_x000d__x000a_{\flomajor\f31516\fbidi \froman\fcharset163\fprq2 Times New Roman (Vietnamese);}{\fdbmajor\f31520\fbidi \fswiss\fcharset0\fprq2 Yu Gothic Light Western{\*\falt \'9f\'e0\'83\'53\'83\'56\'83\'62\'83\'4e Light};}_x000d__x000a_{\fdbmajor\f31518\fbidi \fswiss\fcharset238\fprq2 Yu Gothic Light CE{\*\falt \'9f\'e0\'83\'53\'83\'56\'83\'62\'83\'4e Light};}{\fdbmajor\f31519\fbidi \fswiss\fcharset204\fprq2 Yu Gothic Light Cyr{\*\falt \'9f\'e0\'83\'53\'83\'56\'83\'62\'83\'4e Light};}_x000d__x000a_{\fdbmajor\f31521\fbidi \fswiss\fcharset161\fprq2 Yu Gothic Light Greek{\*\falt \'9f\'e0\'83\'53\'83\'56\'83\'62\'83\'4e Light};}_x000d__x000a_{\fdbmajor\f31522\fbidi \fswiss\fcharset162\fprq2 Yu Gothic Light Tur{\*\falt \'9f\'e0\'83\'53\'83\'56\'83\'62\'83\'4e Light};}_x000d__x000a_{\fdbmajor\f31525\fbidi \fswiss\fcharset186\fprq2 Yu Gothic Light Baltic{\*\falt \'9f\'e0\'83\'53\'83\'56\'83\'62\'83\'4e Light};}{\fhimajor\f31528\fbidi \fswiss\fcharset238\fprq2 Calibri Light CE;}_x000d__x000a_{\fhimajor\f31529\fbidi \fswiss\fcharset204\fprq2 Calibri Light Cyr;}{\fhimajor\f31531\fbidi \fswiss\fcharset161\fprq2 Calibri Light Greek;}{\fhimajor\f31532\fbidi \fswiss\fcharset162\fprq2 Calibri Light Tur;}_x000d__x000a_{\fhimajor\f31533\fbidi \fswiss\fcharset177\fprq2 Calibri Light (Hebrew);}{\fhimajor\f31534\fbidi \fswiss\fcharset178\fprq2 Calibri Light (Arabic);}{\fhimajor\f31535\fbidi \fswiss\fcharset186\fprq2 Calibri Light Baltic;}_x000d__x000a_{\fhimajor\f31536\fbidi \fswiss\fcharset163\fprq2 Calibri Light (Vietnamese);}{\fbimajor\f31547\fbidi \fswiss\fcharset222\fprq2 DokChampa (Thai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himinor\f31568\fbidi \fswiss\fcharset238\fprq2 Calibri CE;}{\fhiminor\f31569\fbidi \fswiss\fcharset204\fprq2 Calibri Cyr;}_x000d__x000a_{\fhiminor\f31571\fbidi \fswiss\fcharset161\fprq2 Calibri Greek;}{\fhiminor\f31572\fbidi \fswiss\fcharset162\fprq2 Calibri Tur;}{\fhiminor\f31573\fbidi \fswiss\fcharset177\fprq2 Calibri (Hebrew);}_x000d__x000a_{\fhiminor\f31574\fbidi \fswiss\fcharset178\fprq2 Calibri (Arabic);}{\fhiminor\f31575\fbidi \fswiss\fcharset186\fprq2 Calibri Baltic;}{\fhiminor\f31576\fbidi \fswiss\fcharset163\fprq2 Calibri (Vietnamese);}_x000d__x000a_{\fbiminor\f31587\fbidi \fswiss\fcharset222\fprq2 DokChampa (Thai);}}{\colortbl;\red0\green0\blue0;\red0\green0\blue255;\red0\green255\blue255;\red0\green255\blue0;\red255\green0\blue255;\red255\green0\blue0;\red255\green255\blue0;_x000d__x000a_\red255\green255\blue255;\red0\green0\blue128;\red0\green128\blue128;\red0\green128\blue0;\red128\green0\blue128;\red128\green0\blue0;\red128\green128\blue0;\red128\green128\blue128;\red192\green192\blue192;_x000d__x000a_\caccentone\ctint255\cshade191\red46\green116\blue181;}{\*\defchp \lang2057\langfe2057\langnp2057\langfenp2057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2242834 HideTWBExt;}{_x000d__x000a_\s18\ql \li0\ri0\nowidctlpar\wrapdefault\aspalpha\aspnum\faauto\adjustright\rin0\lin0\itap0 \rtlch\fcs1 \af0\afs20\alang1025 \ltrch\fcs0 \b\fs24\lang2057\langfe2057\cgrid\langnp2057\langfenp2057 \sbasedon0 \snext18 \spriority0 \styrsid2242834 NormalBold;}_x000d__x000a_{\s19\qr \li0\ri0\sb240\sa240\nowidctlpar\wrapdefault\aspalpha\aspnum\faauto\adjustright\rin0\lin0\itap0 \rtlch\fcs1 \af0\afs20\alang1025 \ltrch\fcs0 \fs24\lang2057\langfe2057\cgrid\langnp2057\langfenp2057 \sbasedon0 \snext19 \spriority0 \styrsid2242834 _x000d__x000a_AmOrLang;}{\s20\ql \li0\ri0\sa120\nowidctlpar\wrapdefault\aspalpha\aspnum\faauto\adjustright\rin0\lin0\itap0 \rtlch\fcs1 \af0\afs20\alang1025 \ltrch\fcs0 \fs24\lang2057\langfe2057\cgrid\langnp2057\langfenp2057 _x000d__x000a_\sbasedon0 \snext20 \spriority0 \styrsid2242834 Normal6a;}{\s21\qc \li0\ri0\sa240\nowidctlpar\wrapdefault\aspalpha\aspnum\faauto\adjustright\rin0\lin0\itap0 \rtlch\fcs1 \af0\afs20\alang1025 \ltrch\fcs0 _x000d__x000a_\i\fs24\lang2057\langfe2057\cgrid\langnp2057\langfenp2057 \sbasedon0 \snext21 \spriority0 \styrsid2242834 AmColumnHeading;}{\s22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2 \spriority0 \styrsid2242834 AmNumberTabs;}{\s23\ql \li0\ri0\sb240\nowidctlpar\wrapdefault\aspalpha\aspnum\faauto\adjustright\rin0\lin0\itap0 \rtlch\fcs1 _x000d__x000a_\af0\afs20\alang1025 \ltrch\fcs0 \b\fs24\lang2057\langfe2057\cgrid\langnp2057\langfenp2057 \sbasedon0 \snext23 \spriority0 \styrsid2242834 NormalBold12b;}}{\*\rsidtbl \rsid24658\rsid223860\rsid735077\rsid1718133\rsid2242834\rsid2892074\rsid3565327_x000d__x000a_\rsid4666813\rsid6641733\rsid7823322\rsid9582763\rsid9636012\rsid10377208\rsid11215221\rsid11549030\rsid12154954\rsid14382809\rsid14424199\rsid15204470\rsid15285974\rsid15950462\rsid16324206\rsid16662270}{\mmathPr\mmathFont34\mbrkBin0\mbrkBinSub0_x000d__x000a_\msmallFrac0\mdispDef1\mlMargin0\mrMargin0\mdefJc1\mwrapIndent1440\mintLim0\mnaryLim1}{\info{\author nmonkuniene}{\operator MONKUNIENE Neringa}{\creatim\yr2024\mo5\dy23\hr11\min2}{\revtim\yr2024\mo5\dy23\hr11\min2}{\version1}{\edmins0}{\nofpages1}_x000d__x000a_{\nofwords120}{\nofchars69}{\nofcharsws188}{\vern109}}{\*\xmlnstbl {\xmlns1 http://schemas.microsoft.com/office/word/2003/wordml}}\paperw11906\paperh16838\margl1418\margr1418\margt1134\margb1418\gutter0\ltrsect _x000d__x000a_\facingp\widowctrl\ftnbj\aenddoc\ftnrestart\hyphhotz396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2242834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NMONKU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9582763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58276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58276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582763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qc\pnstart1\pnindent720\pnhang {\pntxta .}}{\*\pnseclvl2\pnucltr\pnqc\pnstart1\pnindent720\pnhang {\pntxta .}}{\*\pnseclvl3\pndec\pnqc\pnstart1\pnindent720\pnhang {\pntxta .}}{\*\pnseclvl4\pnlcltr\pnqc\pnstart1\pnindent720\pnhang _x000d__x000a_{\pntxta )}}{\*\pnseclvl5\pndec\pnqc\pnstart1\pnindent720\pnhang {\pntxtb (}{\pntxta )}}{\*\pnseclvl6\pnlcltr\pnqc\pnstart1\pnindent720\pnhang {\pntxtb (}{\pntxta )}}{\*\pnseclvl7\pnlcrm\pnqc\pnstart1\pnindent720\pnhang {\pntxtb (}{\pntxta )}}_x000d__x000a_{\*\pnseclvl8\pnlcltr\pnqc\pnstart1\pnindent720\pnhang {\pntxtb (}{\pntxta )}}{\*\pnseclvl9\pnlcrm\pnqc\pnstart1\pnindent720\pnhang {\pntxtb (}{\pntxta )}}\pard\plain \ltrpar\s22\ql \li0\ri0\sb240\keepn\nowidctlpar_x000d__x000a_\tx879\tx936\tx1021\tx1077\tx1134\tx1191\tx1247\tx1304\tx1361\tx1418\tx1474\tx1531\tx1588\tx1644\tx1701\tx1758\tx1814\tx1871\tx2070\tx2126\tx3374\tx3430\wrapdefault\aspalpha\aspnum\faauto\adjustright\rin0\lin0\itap0\pararsid2242834 \rtlch\fcs1 _x000d__x000a_\af0\afs20\alang1025 \ltrch\fcs0 \b\fs24\lang2057\langfe2057\cgrid\langnp2057\langfenp2057 {\rtlch\fcs1 \af0 \ltrch\fcs0 \cs17\b0\v\fs20\cf9\lang1024\langfe1024\loch\af1\hich\af1\dbch\af31501\noproof\langnp1036\insrsid2242834\charrsid4291528 _x000d__x000a_{\*\bkmkstart restart}\hich\af1\dbch\af31501\loch\f1 &lt;Amend&gt;}{\rtlch\fcs1 \af0 \ltrch\fcs0 \lang1036\langfe2057\langnp1036\insrsid2242834\charrsid4291528 [ZAMENDMENT]\tab \tab }{\rtlch\fcs1 \af0 \ltrch\fcs0 _x000d__x000a_\cs17\b0\v\fs20\cf9\lang1024\langfe1024\loch\af1\hich\af1\dbch\af31501\noproof\langnp1036\insrsid2242834\charrsid4291528 \hich\af1\dbch\af31501\loch\f1 &lt;NumAm&gt;}{\rtlch\fcs1 \af0 \ltrch\fcs0 \lang1036\langfe2057\langnp1036\insrsid2242834\charrsid4291528 _x000d__x000a_[ZNRAM]}{\rtlch\fcs1 \af0 \ltrch\fcs0 \cs17\b0\v\fs20\cf9\lang1024\langfe1024\loch\af1\hich\af1\dbch\af31501\noproof\langnp1036\insrsid2242834\charrsid4291528 \hich\af1\dbch\af31501\loch\f1 &lt;/NumAm&gt;}{\rtlch\fcs1 \af0 \ltrch\fcs0 _x000d__x000a_\lang1036\langfe2057\langnp1036\insrsid2242834\charrsid4291528 _x000d__x000a_\par }\pard\plain \ltrpar\s23\ql \li0\ri0\sb240\keepn\nowidctlpar\wrapdefault\aspalpha\aspnum\faauto\adjustright\rin0\lin0\itap0\pararsid2242834 \rtlch\fcs1 \af0\afs20\alang1025 \ltrch\fcs0 \b\fs24\lang2057\langfe2057\cgrid\langnp2057\langfenp2057 {_x000d__x000a_\rtlch\fcs1 \af0 \ltrch\fcs0 \cs17\b0\v\fs20\cf9\lang1024\langfe1024\loch\af1\hich\af1\dbch\af31501\noproof\langnp1036\insrsid2242834\charrsid4291528 \hich\af1\dbch\af31501\loch\f1 &lt;DocAmend&gt;}{\rtlch\fcs1 \af0 \ltrch\fcs0 _x000d__x000a_\lang1036\langfe2057\langnp1036\insrsid2242834\charrsid4291528 [}{\rtlch\fcs1 \af0 \ltrch\fcs0 \lang1036\langfe2057\langnp1036\insrsid2242834\charrsid3548259 ZPROPOSAL}{\rtlch\fcs1 \af0 \ltrch\fcs0 _x000d__x000a_\lang1036\langfe2057\langnp1036\insrsid2242834\charrsid4291528 ]}{\rtlch\fcs1 \af0 \ltrch\fcs0 \cs17\b0\v\fs20\cf9\lang1024\langfe1024\loch\af1\hich\af1\dbch\af31501\noproof\langnp1036\insrsid2242834\charrsid4291528 \hich\af1\dbch\af31501\loch\f1 _x000d__x000a_&lt;/DocAmend&gt;}{\rtlch\fcs1 \af0 \ltrch\fcs0 \lang1036\langfe2057\langnp1036\insrsid2242834\charrsid4291528 _x000d__x000a_\par }\pard\plain \ltrpar\s18\ql \li0\ri0\nowidctlpar\wrapdefault\aspalpha\aspnum\faauto\adjustright\rin0\lin0\itap0\pararsid2242834 \rtlch\fcs1 \af0\afs20\alang1025 \ltrch\fcs0 \b\fs24\lang2057\langfe2057\cgrid\langnp2057\langfenp2057 {\rtlch\fcs1 \af0 _x000d__x000a_\ltrch\fcs0 \cs17\b0\v\fs20\cf9\lang1024\langfe1024\loch\af1\hich\af1\dbch\af31501\noproof\langnp1036\insrsid2242834\charrsid4291528 \hich\af1\dbch\af31501\loch\f1 &lt;Article&gt;}{\rtlch\fcs1 \af0 \ltrch\fcs0 _x000d__x000a_\lang1036\langfe2057\langnp1036\insrsid2242834\charrsid4291528 [ZAMPART]}{\rtlch\fcs1 \af0 \ltrch\fcs0 \cs17\b0\v\fs20\cf9\lang1024\langfe1024\loch\af1\hich\af1\dbch\af31501\noproof\langnp1036\insrsid2242834\charrsid4291528 \hich\af1\dbch\af31501\loch\f1 _x000d__x000a_&lt;/Article&gt;}{\rtlch\fcs1 \af0 \ltrch\fcs0 \lang1036\langfe2057\langnp1036\insrsid2242834\charrsid4291528 _x000d__x000a_\par \ltrrow}\trowd \irow0\irowband0\ltrrow\ts11\trqc\trgaph340\trleft0\trftsWidth3\trwWidth9752\trftsWidthB3\trpaddl340\trpaddr340\trpaddfl3\trpaddft3\trpaddfb3\trpaddfr3\tblrsid9505846\tblind0\tblindtype3 \clvertalt\clbrdrt\brdrtbl \clbrdrl\brdrtbl \clbrdrb_x000d__x000a_\brdrtbl \clbrdrr\brdrtbl \cltxlrtb\clftsWidth3\clwWidth9752\clshdrawnil \cellx9752\pard\plain \ltrpar\ql \li0\ri0\keepn\widctlpar\intbl\wrapdefault\aspalpha\aspnum\faauto\adjustright\rin0\lin0\pararsid9505846 \rtlch\fcs1 \af0\afs20\alang1025 \ltrch\fcs0 _x000d__x000a_\fs24\lang2057\langfe2057\cgrid\langnp2057\langfenp2057 {\rtlch\fcs1 \af0 \ltrch\fcs0 \lang1036\langfe2057\langnp1036\insrsid2242834\charrsid4291528 \cell }\pard\plain \ltrpar_x000d__x000a_\ql \li0\ri0\widctlpar\intbl\wrapdefault\aspalpha\aspnum\faauto\adjustright\rin0\lin0 \rtlch\fcs1 \af0\afs20\alang1025 \ltrch\fcs0 \fs24\lang2057\langfe2057\cgrid\langnp2057\langfenp2057 {\rtlch\fcs1 \af0 \ltrch\fcs0 \insrsid2242834\charrsid4291528 _x000d__x000a_\trowd \irow0\irowband0\ltrrow\ts11\trqc\trgaph340\trleft0\trftsWidth3\trwWidth9752\trftsWidthB3\trpaddl340\trpaddr340\trpaddfl3\trpaddft3\trpaddfb3\trpaddfr3\tblrsid9505846\tblind0\tblindtype3 \clvertalt\clbrdrt\brdrtbl \clbrdrl\brdrtbl \clbrdrb\brdrtbl _x000d__x000a_\clbrdrr\brdrtbl \cltxlrtb\clftsWidth3\clwWidth9752\clshdrawnil \cellx9752\row \ltrrow}\trowd \irow1\irowband1\ltrrow_x000d__x000a_\ts11\trqc\trgaph340\trleft0\trftsWidth3\trwWidth9752\trftsWidthB3\trpaddl340\trpaddr340\trpaddfl3\trpaddft3\trpaddfb3\trpaddfr3\tblrsid9505846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pard\plain \ltrpar_x000d__x000a_\s21\qc \li0\ri0\sa240\keepn\nowidctlpar\intbl\wrapdefault\aspalpha\aspnum\faauto\adjustright\rin0\lin0\pararsid9505846 \rtlch\fcs1 \af0\afs20\alang1025 \ltrch\fcs0 \i\fs24\lang2057\langfe2057\cgrid\langnp2057\langfenp2057 {\rtlch\fcs1 \af0 \ltrch\fcs0 _x000d__x000a_\insrsid2242834\charrsid6708014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2242834\charrsid6708014 \trowd \irow1\irowband1\ltrrow_x000d__x000a_\ts11\trqc\trgaph340\trleft0\trftsWidth3\trwWidth9752\trftsWidthB3\trpaddl340\trpaddr340\trpaddfl3\trpaddft3\trpaddfb3\trpaddfr3\tblrsid9505846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20\ql \li0\ri0\sa120\nowidctlpar\intbl\wrapdefault\aspalpha\aspnum\faauto\adjustright\rin0\lin0\pararsid9505846 \rtlch\fcs1 \af0\afs20\alang1025 \ltrch\fcs0 \fs24\lang2057\langfe2057\cgrid\langnp2057\langfenp2057 {\rtlch\fcs1 \af0 \ltrch\fcs0 _x000d__x000a_\insrsid2242834\charrsid6708014 [ZTEXTL]\cell [ZTEXTR]}{\rtlch\fcs1 \af0\afs24 \ltrch\fcs0 \insrsid2242834\charrsid6708014 \cell }\pard\plain \ltrpar\ql \li0\ri0\widctlpar\intbl\wrapdefault\aspalpha\aspnum\faauto\adjustright\rin0\lin0 \rtlch\fcs1 _x000d__x000a_\af0\afs20\alang1025 \ltrch\fcs0 \fs24\lang2057\langfe2057\cgrid\langnp2057\langfenp2057 {\rtlch\fcs1 \af0 \ltrch\fcs0 \insrsid2242834\charrsid6708014 \trowd \irow2\irowband2\lastrow \ltrrow_x000d__x000a_\ts11\trqc\trgaph340\trleft0\trftsWidth3\trwWidth9752\trftsWidthB3\trpaddl340\trpaddr340\trpaddfl3\trpaddft3\trpaddfb3\trpaddfr3\tblrsid9505846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19\qr \li0\ri0\sb240\sa240\nowidctlpar\wrapdefault\aspalpha\aspnum\faauto\adjustright\rin0\lin0\itap0\pararsid2242834 \rtlch\fcs1 \af0\afs20\alang1025 \ltrch\fcs0 \fs24\lang2057\langfe2057\cgrid\langnp2057\langfenp2057 {\rtlch\fcs1 \af0 \ltrch\fcs0 _x000d__x000a_\insrsid2242834\charrsid6708014 Or. }{\rtlch\fcs1 \af0 \ltrch\fcs0 \cs17\v\fs20\cf9\lang1024\langfe1024\loch\af1\hich\af1\dbch\af31501\noproof\insrsid2242834\charrsid6708014 \hich\af1\dbch\af31501\loch\f1 &lt;Original&gt;}{\rtlch\fcs1 \af0 \ltrch\fcs0 _x000d__x000a_\insrsid2242834\charrsid6708014 [ZORLANG]}{\rtlch\fcs1 \af0 \ltrch\fcs0 \cs17\v\fs20\cf9\lang1024\langfe1024\loch\af1\hich\af1\dbch\af31501\noproof\insrsid2242834\charrsid6708014 \hich\af1\dbch\af31501\loch\f1 &lt;/Original&gt;}{\rtlch\fcs1 \af0 \ltrch\fcs0 _x000d__x000a_\insrsid2242834\charrsid6708014 _x000d__x000a_\par }\pard\plain \ltrpar\ql \li0\ri0\widctlpar\wrapdefault\aspalpha\aspnum\faauto\adjustright\rin0\lin0\itap0\pararsid2242834 \rtlch\fcs1 \af0\afs20\alang1025 \ltrch\fcs0 \fs24\lang2057\langfe2057\cgrid\langnp2057\langfenp2057 {\rtlch\fcs1 \af0 \ltrch\fcs0 _x000d__x000a_\cs17\v\fs20\cf9\lang1024\langfe1024\loch\af1\hich\af1\dbch\af31501\noproof\insrsid2242834\charrsid6708014 \hich\af1\dbch\af31501\loch\f1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b4_x000d__x000a_ebf4efac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</w:docVar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Normal6a">
    <w:name w:val="Normal6a"/>
    <w:basedOn w:val="Normal"/>
    <w:pPr>
      <w:widowControl/>
      <w:spacing w:after="120"/>
    </w:pPr>
  </w:style>
  <w:style w:type="paragraph" w:customStyle="1" w:styleId="NormalBold12b">
    <w:name w:val="NormalBold12b"/>
    <w:basedOn w:val="Normal"/>
    <w:pPr>
      <w:widowControl/>
      <w:spacing w:before="240"/>
    </w:pPr>
    <w:rPr>
      <w:b/>
    </w:rPr>
  </w:style>
  <w:style w:type="paragraph" w:customStyle="1" w:styleId="AmOrLang">
    <w:name w:val="AmOrLang"/>
    <w:basedOn w:val="Normal"/>
    <w:pPr>
      <w:widowControl/>
      <w:spacing w:before="240" w:after="240"/>
      <w:jc w:val="right"/>
    </w:pPr>
  </w:style>
  <w:style w:type="paragraph" w:customStyle="1" w:styleId="AmCrossRef">
    <w:name w:val="AmCrossRef"/>
    <w:basedOn w:val="Normal"/>
    <w:pPr>
      <w:widowControl/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pPr>
      <w:keepNext/>
      <w:widowControl/>
      <w:spacing w:before="240" w:after="240"/>
      <w:jc w:val="center"/>
    </w:pPr>
    <w:rPr>
      <w:i/>
    </w:rPr>
  </w:style>
  <w:style w:type="paragraph" w:customStyle="1" w:styleId="AmJustText">
    <w:name w:val="AmJustText"/>
    <w:basedOn w:val="Normal"/>
    <w:pPr>
      <w:widowControl/>
      <w:spacing w:after="240"/>
    </w:pPr>
    <w:rPr>
      <w:i/>
    </w:rPr>
  </w:style>
  <w:style w:type="paragraph" w:customStyle="1" w:styleId="NormalBold">
    <w:name w:val="NormalBold"/>
    <w:basedOn w:val="Normal"/>
    <w:pPr>
      <w:widowControl/>
    </w:pPr>
    <w:rPr>
      <w:b/>
    </w:rPr>
  </w:style>
  <w:style w:type="paragraph" w:customStyle="1" w:styleId="AmColumnHeading">
    <w:name w:val="AmColumnHeading"/>
    <w:basedOn w:val="Normal"/>
    <w:pPr>
      <w:widowControl/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widowControl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Term">
    <w:name w:val="EPTerm"/>
    <w:basedOn w:val="Normal"/>
    <w:next w:val="Normal"/>
    <w:pPr>
      <w:widowControl/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widowControl/>
      <w:jc w:val="right"/>
    </w:pPr>
  </w:style>
  <w:style w:type="paragraph" w:customStyle="1" w:styleId="EPFooter">
    <w:name w:val="EPFooter"/>
    <w:basedOn w:val="Normal"/>
    <w:pPr>
      <w:widowControl/>
      <w:tabs>
        <w:tab w:val="center" w:pos="4534"/>
        <w:tab w:val="right" w:pos="9070"/>
      </w:tabs>
      <w:spacing w:before="240" w:after="240"/>
    </w:pPr>
    <w:rPr>
      <w:sz w:val="22"/>
    </w:rPr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4"/>
        <w:tab w:val="right" w:pos="9920"/>
      </w:tabs>
      <w:ind w:left="-840" w:right="-840"/>
    </w:pPr>
    <w:rPr>
      <w:rFonts w:ascii="Arial" w:eastAsia="Arial" w:hAnsi="Arial" w:cs="Arial"/>
      <w:b/>
      <w:sz w:val="48"/>
    </w:rPr>
  </w:style>
  <w:style w:type="paragraph" w:customStyle="1" w:styleId="Normal12a">
    <w:name w:val="Normal12a"/>
    <w:basedOn w:val="Normal"/>
    <w:pPr>
      <w:widowControl/>
      <w:spacing w:after="240"/>
    </w:pPr>
  </w:style>
  <w:style w:type="paragraph" w:styleId="TOCHeading">
    <w:name w:val="TOC Heading"/>
    <w:basedOn w:val="Normal"/>
    <w:next w:val="Normal"/>
    <w:uiPriority w:val="39"/>
    <w:unhideWhenUsed/>
    <w:qFormat/>
    <w:rsid w:val="000200DD"/>
    <w:pPr>
      <w:keepNext/>
      <w:widowControl/>
      <w:spacing w:before="240" w:after="240"/>
      <w:jc w:val="center"/>
      <w:outlineLvl w:val="9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/>
      <w:vanish/>
      <w:color w:val="808080"/>
      <w:sz w:val="20"/>
    </w:rPr>
  </w:style>
  <w:style w:type="paragraph" w:customStyle="1" w:styleId="EPName">
    <w:name w:val="EPName"/>
    <w:basedOn w:val="Normal"/>
    <w:pPr>
      <w:widowControl/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widowControl/>
      <w:spacing w:after="480"/>
      <w:ind w:left="1416"/>
    </w:pPr>
  </w:style>
  <w:style w:type="paragraph" w:customStyle="1" w:styleId="CoverNormal">
    <w:name w:val="CoverNormal"/>
    <w:basedOn w:val="Normal"/>
    <w:pPr>
      <w:widowControl/>
      <w:ind w:left="1418"/>
    </w:pPr>
  </w:style>
  <w:style w:type="paragraph" w:customStyle="1" w:styleId="CoverReference">
    <w:name w:val="CoverReference"/>
    <w:basedOn w:val="Normal"/>
    <w:pPr>
      <w:widowControl/>
      <w:spacing w:before="1080"/>
      <w:jc w:val="right"/>
    </w:pPr>
    <w:rPr>
      <w:rFonts w:ascii="Arial" w:hAnsi="Arial"/>
      <w:b/>
    </w:rPr>
  </w:style>
  <w:style w:type="paragraph" w:customStyle="1" w:styleId="CoverDocType24a">
    <w:name w:val="CoverDocType24a"/>
    <w:basedOn w:val="Normal"/>
    <w:pPr>
      <w:widowControl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Date">
    <w:name w:val="CoverDate"/>
    <w:basedOn w:val="Normal"/>
    <w:pPr>
      <w:widowControl/>
      <w:spacing w:before="240" w:after="1200"/>
    </w:pPr>
  </w:style>
  <w:style w:type="paragraph" w:customStyle="1" w:styleId="NormalHanging12a">
    <w:name w:val="NormalHanging12a"/>
    <w:basedOn w:val="Normal"/>
    <w:pPr>
      <w:widowControl/>
      <w:overflowPunct/>
      <w:spacing w:after="240"/>
      <w:ind w:left="566" w:hanging="566"/>
    </w:pPr>
  </w:style>
  <w:style w:type="paragraph" w:customStyle="1" w:styleId="EPBody">
    <w:name w:val="EPBody"/>
    <w:basedOn w:val="Normal"/>
    <w:pPr>
      <w:widowControl/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widowControl/>
      <w:pBdr>
        <w:top w:val="single" w:sz="4" w:space="1" w:color="000000"/>
      </w:pBdr>
      <w:jc w:val="center"/>
    </w:pPr>
    <w:rPr>
      <w:rFonts w:ascii="Arial" w:hAnsi="Arial"/>
      <w:sz w:val="16"/>
    </w:rPr>
  </w:style>
  <w:style w:type="paragraph" w:customStyle="1" w:styleId="LineBottom">
    <w:name w:val="LineBottom"/>
    <w:basedOn w:val="Normal"/>
    <w:next w:val="Normal"/>
    <w:pPr>
      <w:widowControl/>
      <w:pBdr>
        <w:bottom w:val="single" w:sz="4" w:space="1" w:color="000000"/>
      </w:pBdr>
      <w:spacing w:after="240"/>
      <w:jc w:val="center"/>
    </w:pPr>
    <w:rPr>
      <w:rFonts w:ascii="Arial" w:hAnsi="Arial"/>
      <w:sz w:val="16"/>
    </w:rPr>
  </w:style>
  <w:style w:type="paragraph" w:customStyle="1" w:styleId="PageHeadingNotTOC">
    <w:name w:val="PageHeadingNotTOC"/>
    <w:basedOn w:val="Normal"/>
    <w:pPr>
      <w:keepNext/>
      <w:widowControl/>
      <w:spacing w:after="480"/>
      <w:jc w:val="center"/>
    </w:pPr>
    <w:rPr>
      <w:rFonts w:ascii="Arial" w:eastAsia="Arial" w:hAnsi="Arial" w:cs="Arial"/>
      <w:b/>
    </w:rPr>
  </w:style>
  <w:style w:type="paragraph" w:customStyle="1" w:styleId="AmDocTypeTab">
    <w:name w:val="AmDocTypeTab"/>
    <w:basedOn w:val="Normal"/>
    <w:pPr>
      <w:widowControl/>
      <w:tabs>
        <w:tab w:val="right" w:pos="9070"/>
      </w:tabs>
    </w:pPr>
    <w:rPr>
      <w:b/>
    </w:rPr>
  </w:style>
  <w:style w:type="paragraph" w:customStyle="1" w:styleId="AmDateTab">
    <w:name w:val="AmDateTab"/>
    <w:basedOn w:val="Normal"/>
    <w:pPr>
      <w:widowControl/>
      <w:tabs>
        <w:tab w:val="right" w:pos="9070"/>
      </w:tabs>
    </w:p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PMissingStyle">
    <w:name w:val="P_MissingStyle"/>
    <w:basedOn w:val="Normal"/>
    <w:pPr>
      <w:widowControl/>
      <w:spacing w:after="0" w:line="240" w:lineRule="auto"/>
    </w:pPr>
    <w:rPr>
      <w:rFonts w:ascii="Times New Roman" w:eastAsia="Times New Roman" w:hAnsi="Times New Roman" w:cs="Times New Roman"/>
      <w:color w:val="FFFFFF"/>
      <w:sz w:val="24"/>
    </w:rPr>
  </w:style>
  <w:style w:type="character" w:customStyle="1" w:styleId="CMissingStyle">
    <w:name w:val="C_MissingStyle"/>
    <w:rPr>
      <w:color w:val="FFFFFF"/>
      <w:sz w:val="22"/>
    </w:rPr>
  </w:style>
  <w:style w:type="paragraph" w:customStyle="1" w:styleId="Normal24a">
    <w:name w:val="Normal24a"/>
    <w:basedOn w:val="Normal"/>
    <w:pPr>
      <w:widowControl/>
      <w:spacing w:after="480"/>
    </w:pPr>
  </w:style>
  <w:style w:type="character" w:customStyle="1" w:styleId="FooterChar">
    <w:name w:val="Footer Char"/>
    <w:rPr>
      <w:rFonts w:ascii="Times New Roman" w:eastAsia="Times New Roman" w:hAnsi="Times New Roman" w:cs="Times New Roman"/>
      <w:sz w:val="24"/>
    </w:rPr>
  </w:style>
  <w:style w:type="paragraph" w:customStyle="1" w:styleId="Arial14CentreBold">
    <w:name w:val="Arial14CentreBold"/>
    <w:basedOn w:val="Normal"/>
    <w:pPr>
      <w:widowControl w:val="0"/>
      <w:spacing w:after="0" w:line="240" w:lineRule="auto"/>
      <w:jc w:val="center"/>
    </w:pPr>
    <w:rPr>
      <w:rFonts w:ascii="Arial" w:eastAsia="Arial" w:hAnsi="Arial" w:cs="Arial"/>
      <w:b/>
      <w:sz w:val="28"/>
    </w:rPr>
  </w:style>
  <w:style w:type="paragraph" w:customStyle="1" w:styleId="ProcedureTable">
    <w:name w:val="ProcedureTable"/>
    <w:basedOn w:val="Normal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customStyle="1" w:styleId="ProcedureTableBold">
    <w:name w:val="ProcedureTableBold"/>
    <w:basedOn w:val="Normal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z w:val="20"/>
    </w:rPr>
  </w:style>
  <w:style w:type="paragraph" w:customStyle="1" w:styleId="NormalTab">
    <w:name w:val="NormalTab"/>
    <w:basedOn w:val="Normal"/>
    <w:pPr>
      <w:widowControl w:val="0"/>
      <w:tabs>
        <w:tab w:val="center" w:pos="284"/>
        <w:tab w:val="left" w:pos="424"/>
      </w:tabs>
      <w:spacing w:after="0" w:line="240" w:lineRule="auto"/>
    </w:pPr>
    <w:rPr>
      <w:rFonts w:ascii="Times New Roman" w:eastAsia="Times New Roman" w:hAnsi="Times New Roman" w:cs="Times New Roman"/>
      <w:sz w:val="24"/>
    </w:rPr>
  </w:style>
  <w:style w:type="paragraph" w:customStyle="1" w:styleId="NormalHanging">
    <w:name w:val="NormalHanging"/>
    <w:basedOn w:val="Normal"/>
    <w:pPr>
      <w:widowControl w:val="0"/>
      <w:overflowPunct/>
      <w:spacing w:after="240" w:line="240" w:lineRule="auto"/>
      <w:ind w:left="566" w:hanging="566"/>
    </w:pPr>
    <w:rPr>
      <w:rFonts w:ascii="Times New Roman" w:eastAsia="Times New Roman" w:hAnsi="Times New Roman" w:cs="Times New Roman"/>
      <w:sz w:val="24"/>
    </w:rPr>
  </w:style>
  <w:style w:type="paragraph" w:customStyle="1" w:styleId="AMNumberTabs0">
    <w:name w:val="AMNumberTabs"/>
    <w:basedOn w:val="Normal"/>
    <w:pPr>
      <w:widowControl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 w:after="0" w:line="240" w:lineRule="auto"/>
    </w:pPr>
    <w:rPr>
      <w:rFonts w:ascii="Times New Roman" w:eastAsia="Times New Roman" w:hAnsi="Times New Roman" w:cs="Times New Roman"/>
      <w:b/>
      <w:color w:val="000000"/>
      <w:sz w:val="24"/>
    </w:rPr>
  </w:style>
  <w:style w:type="paragraph" w:customStyle="1" w:styleId="PageHeading">
    <w:name w:val="PageHeading"/>
    <w:basedOn w:val="Normal"/>
    <w:pPr>
      <w:keepNext/>
      <w:widowControl/>
      <w:spacing w:after="480"/>
      <w:jc w:val="center"/>
    </w:pPr>
    <w:rPr>
      <w:rFonts w:ascii="Arial" w:eastAsia="Arial" w:hAnsi="Arial" w:cs="Arial"/>
      <w:b/>
    </w:rPr>
  </w:style>
  <w:style w:type="paragraph" w:customStyle="1" w:styleId="NormalCenter12a">
    <w:name w:val="NormalCenter12a"/>
    <w:basedOn w:val="Normal"/>
    <w:pPr>
      <w:widowControl/>
      <w:spacing w:after="240"/>
      <w:jc w:val="center"/>
    </w:pPr>
  </w:style>
  <w:style w:type="paragraph" w:customStyle="1" w:styleId="EPFooterLandscape">
    <w:name w:val="EPFooterLandscape"/>
    <w:pPr>
      <w:widowControl/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/>
    </w:pPr>
    <w:rPr>
      <w:sz w:val="0"/>
    </w:rPr>
  </w:style>
  <w:style w:type="paragraph" w:customStyle="1" w:styleId="EPFooter2Landscape">
    <w:name w:val="EPFooter2Landscape"/>
    <w:pPr>
      <w:widowControl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 w:themeColor="bg2" w:themeFill="bg2"/>
    </w:rPr>
  </w:style>
  <w:style w:type="paragraph" w:customStyle="1" w:styleId="NormalCenter">
    <w:name w:val="NormalCenter"/>
    <w:basedOn w:val="Normal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</w:rPr>
  </w:style>
  <w:style w:type="character" w:styleId="FootnoteReference">
    <w:name w:val="footnote reference"/>
    <w:basedOn w:val="DefaultParagraphFont"/>
    <w:rsid w:val="00805BCE"/>
    <w:rPr>
      <w:vertAlign w:val="superscript"/>
    </w:rPr>
  </w:style>
  <w:style w:type="paragraph" w:styleId="FootnoteText">
    <w:name w:val="footnote text"/>
    <w:basedOn w:val="Normal"/>
    <w:rsid w:val="00805BCE"/>
    <w:rPr>
      <w:sz w:val="20"/>
      <w:szCs w:val="20"/>
    </w:rPr>
  </w:style>
  <w:style w:type="character" w:styleId="Hyperlink">
    <w:name w:val="Hyperlink"/>
    <w:basedOn w:val="DefaultParagraphFont"/>
    <w:rsid w:val="00EF7B9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image" Target="media/image1.png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hyperlink" Target="https://www.europarl.europa.eu/data-protect/index.do" TargetMode="Externa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agree_interinstit/2021/611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30</Pages>
  <Words>5545</Words>
  <Characters>37193</Characters>
  <Application>Microsoft Office Word</Application>
  <DocSecurity>0</DocSecurity>
  <Lines>1</Lines>
  <Paragraphs>375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PA_NonLeg</dc:title>
  <dc:creator>European Parliament</dc:creator>
  <cp:lastModifiedBy>European Parliament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1346087</vt:lpwstr>
  </property>
  <property fmtid="{D5CDD505-2E9C-101B-9397-08002B2CF9AE}" pid="4" name="&lt;Model&gt;">
    <vt:lpwstr>PA_NonLeg</vt:lpwstr>
  </property>
  <property fmtid="{D5CDD505-2E9C-101B-9397-08002B2CF9AE}" pid="5" name="&lt;Type&gt;">
    <vt:lpwstr>AD</vt:lpwstr>
  </property>
  <property fmtid="{D5CDD505-2E9C-101B-9397-08002B2CF9AE}" pid="6" name="dmxml.render.id">
    <vt:lpwstr>565334</vt:lpwstr>
  </property>
  <property fmtid="{D5CDD505-2E9C-101B-9397-08002B2CF9AE}" pid="7" name="dmxml.render.traceId">
    <vt:lpwstr>6a4e4a4c09411171d077e78741fdab7a</vt:lpwstr>
  </property>
  <property fmtid="{D5CDD505-2E9C-101B-9397-08002B2CF9AE}" pid="8" name="FooterPath">
    <vt:lpwstr>AD\1346087PL.doc</vt:lpwstr>
  </property>
  <property fmtid="{D5CDD505-2E9C-101B-9397-08002B2CF9AE}" pid="9" name="PE Number">
    <vt:lpwstr>787.655</vt:lpwstr>
  </property>
  <property fmtid="{D5CDD505-2E9C-101B-9397-08002B2CF9AE}" pid="10" name="UID">
    <vt:lpwstr>eu.europa.europarl-DIN1-2026-0000179774_01.07-pl-01.00_text-xml</vt:lpwstr>
  </property>
</Properties>
</file>