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2025/2118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{24/06/2026}</w:t>
      </w:r>
      <w:r>
        <w:t>24.6.2026</w:t>
      </w:r>
      <w:r>
        <w:rPr>
          <w:rStyle w:val="HideTWBExt"/>
        </w:rPr>
        <w:t>&lt;/Date&gt;</w:t>
      </w:r>
    </w:p>
    <w:p>
      <w:pPr>
        <w:pStyle w:val="CoverDocType24a"/>
      </w:pPr>
      <w:r>
        <w:rPr>
          <w:rStyle w:val="HideTWBExt"/>
        </w:rPr>
        <w:t>&lt;TitreType&gt;</w:t>
      </w:r>
      <w:r>
        <w:t>AVIZ</w:t>
      </w:r>
      <w:r>
        <w:rPr>
          <w:rStyle w:val="HideTWBExt"/>
        </w:rPr>
        <w:t>&lt;/TitreType&gt;</w:t>
      </w:r>
    </w:p>
    <w:p>
      <w:pPr>
        <w:pStyle w:val="CoverNormal24a"/>
      </w:pPr>
      <w:r>
        <w:rPr>
          <w:rStyle w:val="HideTWBExt"/>
        </w:rPr>
        <w:t>&lt;CommissionResp&gt;</w:t>
      </w:r>
      <w:r>
        <w:t>al Comisiei pentru libertăți civile, justiție și afaceri interne</w:t>
      </w:r>
      <w:r>
        <w:rPr>
          <w:rStyle w:val="HideTWBExt"/>
        </w:rPr>
        <w:t>&lt;/CommissionResp&gt;</w:t>
      </w:r>
    </w:p>
    <w:p>
      <w:pPr>
        <w:pStyle w:val="CoverNormal24a"/>
      </w:pPr>
      <w:r>
        <w:rPr>
          <w:rStyle w:val="HideTWBExt"/>
        </w:rPr>
        <w:t>&lt;CommissionInt&gt;</w:t>
      </w:r>
      <w:r>
        <w:t>destinat Comisiei pentru afaceri constituționale</w:t>
      </w:r>
      <w:r>
        <w:rPr>
          <w:rStyle w:val="HideTWBExt"/>
        </w:rPr>
        <w:t>&lt;/CommissionInt&gt;</w:t>
      </w:r>
    </w:p>
    <w:p>
      <w:pPr>
        <w:pStyle w:val="CoverNormal"/>
      </w:pPr>
      <w:r>
        <w:rPr>
          <w:rStyle w:val="HideTWBExt"/>
        </w:rPr>
        <w:t>&lt;Titre&gt;</w:t>
      </w:r>
      <w:r>
        <w:t>referitor la aspectele instituționale ale inteligenței artificiale în contextul integrării europene</w:t>
      </w:r>
      <w:r>
        <w:rPr>
          <w:rStyle w:val="HideTWBExt"/>
        </w:rPr>
        <w:t>&lt;/Titre&gt;</w:t>
      </w:r>
    </w:p>
    <w:p>
      <w:pPr>
        <w:pStyle w:val="CoverNormal24a"/>
      </w:pPr>
      <w:r>
        <w:rPr>
          <w:rStyle w:val="HideTWBExt"/>
        </w:rPr>
        <w:t>&lt;DocRef&gt;</w:t>
      </w:r>
      <w:r>
        <w:t>(2025/2118(INI))</w:t>
      </w:r>
      <w:r>
        <w:rPr>
          <w:rStyle w:val="HideTWBExt"/>
        </w:rPr>
        <w:t>&lt;/DocRef&gt;</w:t>
      </w:r>
    </w:p>
    <w:p>
      <w:pPr>
        <w:pStyle w:val="CoverNormal24a"/>
      </w:pPr>
      <w:r>
        <w:t xml:space="preserve">Raportor pentru aviz: </w:t>
      </w:r>
      <w:r>
        <w:rPr>
          <w:rStyle w:val="HideTWBExt"/>
        </w:rPr>
        <w:t>&lt;Depute&gt;</w:t>
      </w:r>
      <w:r>
        <w:t>Lukas Mandl</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AMENDAMENTE</w:t>
      </w:r>
    </w:p>
    <w:p>
      <w:pPr>
        <w:pStyle w:val="Normal12a"/>
      </w:pPr>
      <w:r>
        <w:t>Comisia pentru libertăți civile, justiție și afaceri</w:t>
      </w:r>
      <w:r>
        <w:t xml:space="preserve"> interne prezintă Comisiei pentru afaceri constituționale, care este comisie competentă, următoarele</w:t>
      </w:r>
      <w:r>
        <w:t>:</w:t>
      </w:r>
    </w:p>
    <w:p>
      <w:pPr>
        <w:pStyle w:val="AmNumberTabs"/>
      </w:pP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având în vedere Tratatul privind funcționarea Uniunii Europene (TFUE), în special articolele 16, 114, 173, 179, 180 și 181,</w:t>
            </w:r>
          </w:p>
        </w:tc>
        <w:tc>
          <w:tcPr>
            <w:tcW w:w="4876" w:type="dxa"/>
            <w:tcBorders>
              <w:top w:val="nil"/>
              <w:left w:val="nil"/>
              <w:bottom w:val="nil"/>
              <w:right w:val="nil"/>
            </w:tcBorders>
          </w:tcPr>
          <w:p>
            <w:pPr>
              <w:pStyle w:val="Normal6a"/>
            </w:pPr>
            <w:r>
              <w:t>–</w:t>
            </w:r>
            <w:r>
              <w:tab/>
            </w:r>
            <w:r>
              <w:t xml:space="preserve">având în vedere Tratatul privind funcționarea Uniunii Europene (TFUE), în special articolele 16, </w:t>
            </w:r>
            <w:r>
              <w:rPr>
                <w:b/>
                <w:i/>
              </w:rPr>
              <w:t>26,</w:t>
            </w:r>
            <w:r>
              <w:t xml:space="preserve"> 114, 173, 179, 180 și 181,</w:t>
            </w:r>
          </w:p>
        </w:tc>
      </w:tr>
    </w:tbl>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având în vedere Convenția-cadru a Consiliului Europei privind inteligența artificială și drepturile omului, democrația și statul de drept, semnată la 5 </w:t>
            </w:r>
            <w:r>
              <w:rPr>
                <w:b/>
                <w:i/>
              </w:rPr>
              <w:t>septembrie 2024</w:t>
            </w:r>
            <w:r>
              <w:t>,</w:t>
            </w:r>
          </w:p>
        </w:tc>
        <w:tc>
          <w:tcPr>
            <w:tcW w:w="4876" w:type="dxa"/>
            <w:tcBorders>
              <w:top w:val="nil"/>
              <w:left w:val="nil"/>
              <w:bottom w:val="nil"/>
              <w:right w:val="nil"/>
            </w:tcBorders>
          </w:tcPr>
          <w:p>
            <w:pPr>
              <w:pStyle w:val="Normal6a"/>
            </w:pPr>
            <w:r>
              <w:t>–</w:t>
            </w:r>
            <w:r>
              <w:tab/>
            </w:r>
            <w:r>
              <w:t>având în vedere Convenția-cadru a Consiliului Europei privind inteligența artificială și drepturile omului, democrația și statul de drept, semnată la 5 </w:t>
            </w:r>
            <w:r>
              <w:rPr>
                <w:b/>
                <w:i/>
              </w:rPr>
              <w:t>septembrie 2024 (Convenția-cadru a Consiliului Europei privind IA)</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w:t>
            </w:r>
            <w:r>
              <w:rPr>
                <w:vertAlign w:val="superscript"/>
              </w:rPr>
              <w:t>1</w:t>
            </w:r>
            <w:r>
              <w:t>,</w:t>
            </w:r>
          </w:p>
        </w:tc>
        <w:tc>
          <w:tcPr>
            <w:tcW w:w="4876" w:type="dxa"/>
            <w:tcBorders>
              <w:top w:val="nil"/>
              <w:left w:val="nil"/>
              <w:bottom w:val="nil"/>
              <w:right w:val="nil"/>
            </w:tcBorders>
          </w:tcPr>
          <w:p>
            <w:pPr>
              <w:pStyle w:val="Normal6a"/>
            </w:pPr>
            <w:r>
              <w:t>–</w:t>
            </w:r>
            <w:r>
              <w:tab/>
            </w:r>
            <w:r>
              <w:t>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w:t>
            </w:r>
            <w:r>
              <w:rPr>
                <w:vertAlign w:val="superscript"/>
              </w:rPr>
              <w:t>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JO L, 2024/1689, 12.7.2024, ELI: http://data.europa.eu/eli/reg/2024/1689/oj.</w:t>
            </w:r>
          </w:p>
        </w:tc>
        <w:tc>
          <w:tcPr>
            <w:tcW w:w="4876" w:type="dxa"/>
            <w:tcBorders>
              <w:top w:val="nil"/>
              <w:left w:val="nil"/>
              <w:bottom w:val="nil"/>
              <w:right w:val="nil"/>
            </w:tcBorders>
          </w:tcPr>
          <w:p>
            <w:pPr>
              <w:pStyle w:val="Normal6a"/>
            </w:pPr>
            <w:r>
              <w:rPr>
                <w:vertAlign w:val="superscript"/>
              </w:rPr>
              <w:t>1</w:t>
            </w:r>
            <w:r>
              <w:t xml:space="preserve"> </w:t>
            </w:r>
            <w:r>
              <w:t>JO L, 2024/1689, 12.7.2024, ELI: http://data.europa.eu/eli/reg/2024/1689/oj.</w:t>
            </w:r>
          </w:p>
        </w:tc>
      </w:tr>
    </w:tbl>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având în vedere propunerea Comisiei din 19 noiembrie 2025 de regulament al Parlamentului European și al Consiliului de modificare a Regulamentelor (UE) 2024/1689 și (UE) 2018/1139 în ceea ce privește simplificarea punerii în aplicare a normelor armonizate privind inteligența artificială (Regulamentul omnibus în domeniul digital privind IA) [</w:t>
            </w:r>
            <w:r>
              <w:rPr>
                <w:b/>
                <w:i/>
              </w:rPr>
              <w:t>COM(2025)0836</w:t>
            </w:r>
            <w:r>
              <w:t>]</w:t>
            </w:r>
            <w:r>
              <w:rPr>
                <w:b/>
                <w:i/>
              </w:rPr>
              <w:t>,</w:t>
            </w:r>
          </w:p>
        </w:tc>
      </w:tr>
    </w:tbl>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 xml:space="preserve">având în vedere propunerea Comisiei din 19 noiembrie 2025 de regulament al Parlamentului European și al Consiliului de modificare a Regulamentelor (UE) 2016/679, (UE) 2018/1724, (UE) 2018/1725, (UE) 2023/2854 și a Directivelor 2002/58/CE, (UE) 2022/2555 și (UE) 2022/2557 în ceea ce privește simplificarea cadrului legislativ în domeniul digital și de abrogare a Regulamentelor (UE) 2018/1807, (UE) 2019/1150, (UE) 2022/868 și a Directivei (UE) 2019/1024 (Regulamentul omnibus în domeniul digital) </w:t>
            </w:r>
            <w:r>
              <w:rPr>
                <w:b/>
                <w:i/>
              </w:rPr>
              <w:t>[</w:t>
            </w:r>
            <w:r>
              <w:rPr>
                <w:b/>
                <w:i/>
              </w:rPr>
              <w:t>COM(2025)0837</w:t>
            </w:r>
            <w:r>
              <w:rPr>
                <w:b/>
                <w:i/>
              </w:rPr>
              <w:t>]</w:t>
            </w:r>
            <w:r>
              <w:rPr>
                <w:b/>
                <w:i/>
              </w:rPr>
              <w:t>,</w:t>
            </w:r>
          </w:p>
        </w:tc>
      </w:tr>
    </w:tbl>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articolul 2 din TUE </w:t>
            </w:r>
            <w:r>
              <w:rPr>
                <w:b/>
                <w:i/>
              </w:rPr>
              <w:t>abordează identitatea constituțională a Uniunii</w:t>
            </w:r>
            <w:r>
              <w:t xml:space="preserve"> și </w:t>
            </w:r>
            <w:r>
              <w:rPr>
                <w:b/>
                <w:i/>
              </w:rPr>
              <w:t>legitimează</w:t>
            </w:r>
            <w:r>
              <w:t xml:space="preserve"> controlul exercitat de Parlament asupra inteligenței artificiale (IA) </w:t>
            </w:r>
            <w:r>
              <w:rPr>
                <w:b/>
                <w:i/>
              </w:rPr>
              <w:t>atunci când implementarea acesteia poate afecta valorile</w:t>
            </w:r>
            <w:r>
              <w:t xml:space="preserve"> fundamentale;</w:t>
            </w:r>
          </w:p>
        </w:tc>
        <w:tc>
          <w:tcPr>
            <w:tcW w:w="4876" w:type="dxa"/>
            <w:tcBorders>
              <w:top w:val="nil"/>
              <w:left w:val="nil"/>
              <w:bottom w:val="nil"/>
              <w:right w:val="nil"/>
            </w:tcBorders>
          </w:tcPr>
          <w:p>
            <w:pPr>
              <w:pStyle w:val="Normal6a"/>
            </w:pPr>
            <w:r>
              <w:t>A.</w:t>
            </w:r>
            <w:r>
              <w:tab/>
            </w:r>
            <w:r>
              <w:t xml:space="preserve">întrucât articolul 2 din TUE </w:t>
            </w:r>
            <w:r>
              <w:rPr>
                <w:b/>
                <w:i/>
              </w:rPr>
              <w:t>stabilește valorile comune fondatoare pe care se întemeiază Uniunea</w:t>
            </w:r>
            <w:r>
              <w:t xml:space="preserve"> și </w:t>
            </w:r>
            <w:r>
              <w:rPr>
                <w:b/>
                <w:i/>
              </w:rPr>
              <w:t>oferă un cadru constituțional important pentru</w:t>
            </w:r>
            <w:r>
              <w:t xml:space="preserve"> controlul exercitat de Parlament asupra inteligenței artificiale (IA) </w:t>
            </w:r>
            <w:r>
              <w:rPr>
                <w:b/>
                <w:i/>
              </w:rPr>
              <w:t>pe baza acestor valori</w:t>
            </w:r>
            <w:r>
              <w:t xml:space="preserve"> fundamentale;</w:t>
            </w:r>
          </w:p>
        </w:tc>
      </w:tr>
    </w:tbl>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AA.</w:t>
            </w:r>
            <w:r>
              <w:tab/>
            </w:r>
            <w:r>
              <w:rPr>
                <w:b/>
                <w:i/>
              </w:rPr>
              <w:t>întrucât tratatele și Carta drepturilor fundamentale a Uniunii Europene constituie fundamentul protecției drepturilor fundamentale în UE; întrucât aceste principii formează un cadru orientativ important pentru elaborarea politicilor UE, inclusiv în domeniul IA;</w:t>
            </w:r>
          </w:p>
        </w:tc>
      </w:tr>
    </w:tbl>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în conformitate cu articolele 10, 11 și 14 din TUE, Parlamentul are responsabilitatea specifică de a asigura răspunderea democratică, transparența și controlul eficace al evoluțiilor tehnologice care afectează funcționarea instituțiilor Uniunii; întrucât pentru a dezvolta și implementa IA într-un mod sigur, etic și legal sunt necesare cadre de guvernanță solide, întemeiate pe tratatele Uniunii;</w:t>
            </w:r>
          </w:p>
        </w:tc>
        <w:tc>
          <w:tcPr>
            <w:tcW w:w="4876" w:type="dxa"/>
            <w:tcBorders>
              <w:top w:val="nil"/>
              <w:left w:val="nil"/>
              <w:bottom w:val="nil"/>
              <w:right w:val="nil"/>
            </w:tcBorders>
          </w:tcPr>
          <w:p>
            <w:pPr>
              <w:pStyle w:val="Normal6a"/>
            </w:pPr>
            <w:r>
              <w:t>B.</w:t>
            </w:r>
            <w:r>
              <w:tab/>
            </w:r>
            <w:r>
              <w:t xml:space="preserve">întrucât, în conformitate cu articolele 10, 11 și 14 din TUE, Parlamentul are responsabilitatea specifică de a asigura răspunderea democratică, transparența și controlul eficace al evoluțiilor tehnologice care afectează funcționarea instituțiilor Uniunii; întrucât pentru a dezvolta și implementa IA într-un mod sigur, etic și legal sunt necesare cadre de guvernanță solide, întemeiate pe </w:t>
            </w:r>
            <w:r>
              <w:rPr>
                <w:b/>
                <w:i/>
              </w:rPr>
              <w:t>legislația UE, pe</w:t>
            </w:r>
            <w:r>
              <w:t xml:space="preserve"> tratatele Uniunii </w:t>
            </w:r>
            <w:r>
              <w:rPr>
                <w:b/>
                <w:i/>
              </w:rPr>
              <w:t>și pe convențiile internaționale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BA.</w:t>
            </w:r>
            <w:r>
              <w:tab/>
            </w:r>
            <w:r>
              <w:rPr>
                <w:b/>
                <w:i/>
              </w:rPr>
              <w:t>întrucât abordarea instituțională a UE în materie de IA trebuie să garanteze că cadrele de reglementare rămân proporționale și nu creează sarcini administrative inutile; întrucât structurile de guvernanță ale UE în domeniul IA ar trebui să promoveze activ medii favorabile inovării, care să îi ajute pe inovatorii europeni să concureze la nivel mondial, respectând totodată drepturile fundamentale; întrucât o astfel de abordare a IA este esențială nu numai pentru competitivitatea UE, ci și pentru securitatea, suveranitatea tehnologică și autonomia strategică a acesteia;</w:t>
            </w:r>
          </w:p>
        </w:tc>
      </w:tr>
    </w:tbl>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Regulamentul privind inteligența artificială introduce primul cadru de reglementare cuprinzător pentru IA din lume; întrucât IA avansează într-un ritm fără precedent, remodelând activitatea economică, administrația publică și interacțiunile societale;</w:t>
            </w:r>
          </w:p>
        </w:tc>
        <w:tc>
          <w:tcPr>
            <w:tcW w:w="4876" w:type="dxa"/>
            <w:tcBorders>
              <w:top w:val="nil"/>
              <w:left w:val="nil"/>
              <w:bottom w:val="nil"/>
              <w:right w:val="nil"/>
            </w:tcBorders>
          </w:tcPr>
          <w:p>
            <w:pPr>
              <w:pStyle w:val="Normal6a"/>
            </w:pPr>
            <w:r>
              <w:t>C.</w:t>
            </w:r>
            <w:r>
              <w:tab/>
            </w:r>
            <w:r>
              <w:t xml:space="preserve">întrucât Regulamentul privind inteligența artificială </w:t>
            </w:r>
            <w:r>
              <w:rPr>
                <w:b/>
                <w:i/>
              </w:rPr>
              <w:t>(Regulamentul privind IA)</w:t>
            </w:r>
            <w:r>
              <w:t xml:space="preserve"> introduce primul cadru de reglementare cuprinzător pentru IA din lume</w:t>
            </w:r>
            <w:r>
              <w:rPr>
                <w:b/>
                <w:i/>
              </w:rPr>
              <w:t>;</w:t>
            </w:r>
            <w:r>
              <w:rPr>
                <w:b/>
                <w:i/>
              </w:rPr>
              <w:t xml:space="preserve"> </w:t>
            </w:r>
            <w:r>
              <w:rPr>
                <w:b/>
                <w:i/>
              </w:rPr>
              <w:t>întrucât acesta constă într-un set solid de norme care reglementează furnizarea și implementarea IA pe piața internă, sprijină inovarea și promovează adoptarea unei IA de încredere și centrate pe factorul uman, stabilind un standard ridicat la nivel mondial</w:t>
            </w:r>
            <w:r>
              <w:t>; întrucât IA avansează într-un ritm fără precedent, remodelând activitatea economică, administrația publică și interacțiunile societale;</w:t>
            </w:r>
          </w:p>
        </w:tc>
      </w:tr>
    </w:tbl>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CA.</w:t>
            </w:r>
            <w:r>
              <w:tab/>
            </w:r>
            <w:r>
              <w:rPr>
                <w:b/>
                <w:i/>
              </w:rPr>
              <w:t>întrucât regulament omnibus în domeniul digital privind IA introduce măsuri specifice de simplificare pentru a asigura punerea în aplicare în timp util, fluidă și proporțională a anumitor dispoziții ale Regulamentului privind IA; întrucât propunerea separată de regulament omnibus în domeniul digital analizează în detaliu nevoia de a clarifica modul în care datele cu caracter personal pot fi utilizate pentru antrenarea și dezvoltarea IA; întrucât ambele propuneri reflectă necesitatea de a adapta cadrul juridic al UE, având în vedere progresul rapid al IA în Uniune și la nivel mondial;</w:t>
            </w:r>
          </w:p>
        </w:tc>
      </w:tr>
    </w:tbl>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CB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CB.</w:t>
            </w:r>
            <w:r>
              <w:tab/>
            </w:r>
            <w:r>
              <w:rPr>
                <w:b/>
                <w:i/>
              </w:rPr>
              <w:t xml:space="preserve">întrucât Convenția-cadru a Consiliului Europei privind IA propune norme pentru a garanta că sistemele de IA respectă standarde etice stricte pe parcursul ciclurilor lor de viață, promovează transparența, posibilitatea auditării și supravegherea eficace și consolidează garanțiile pentru protejarea drepturilor fundamentale, a democrației și a statului de drept; întrucât Convenția-cadru, deschisă aderării țărilor din afara Europei, promovează un nivel de referință mondial pentru guvernanța în domeniul IA care se axează pe protecția drepturilor; întrucât, la nivelul UE, principiile și obligațiile prevăzute de Convenția-cadru sunt deja puse în aplicare printr-un corpus legislativ coerent care stabilește un nivel de protecție mai ridicat și mai detaliat, inclusiv, în special, prin Regulamentul privind IA; </w:t>
            </w:r>
          </w:p>
        </w:tc>
      </w:tr>
    </w:tbl>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CC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CC.</w:t>
            </w:r>
            <w:r>
              <w:tab/>
            </w:r>
            <w:r>
              <w:rPr>
                <w:b/>
                <w:i/>
              </w:rPr>
              <w:t>întrucât, pentru a întări competitivitatea, capacitatea de inovare, suveranitatea tehnologică și autonomia strategică a UE într-un peisaj mondial tot mai competitiv, este esențial să se promoveze o IA de încredere și centrată pe factorul uman;</w:t>
            </w:r>
          </w:p>
        </w:tc>
      </w:tr>
    </w:tbl>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Parlamentul, în calitate de instituție democratică reprezentativă a </w:t>
            </w:r>
            <w:r>
              <w:rPr>
                <w:b/>
                <w:i/>
              </w:rPr>
              <w:t>Uniunii</w:t>
            </w:r>
            <w:r>
              <w:t xml:space="preserve">, are un rol legitim în a contribui la aceste discuții la nivel mondial, în conformitate cu articolele 10, 11 și 13 din TUE, și are responsabilitatea de a garanta răspunderea democratică și coerența instituțională în cadrul angajamentului extern al </w:t>
            </w:r>
            <w:r>
              <w:rPr>
                <w:b/>
                <w:i/>
              </w:rPr>
              <w:t>Uniunii</w:t>
            </w:r>
            <w:r>
              <w:t>;</w:t>
            </w:r>
          </w:p>
        </w:tc>
        <w:tc>
          <w:tcPr>
            <w:tcW w:w="4876" w:type="dxa"/>
            <w:tcBorders>
              <w:top w:val="nil"/>
              <w:left w:val="nil"/>
              <w:bottom w:val="nil"/>
              <w:right w:val="nil"/>
            </w:tcBorders>
          </w:tcPr>
          <w:p>
            <w:pPr>
              <w:pStyle w:val="Normal6a"/>
            </w:pPr>
            <w:r>
              <w:t>E.</w:t>
            </w:r>
            <w:r>
              <w:tab/>
            </w:r>
            <w:r>
              <w:t>întrucât Parlamentul, în calitate de instituție democratică reprezentativă a </w:t>
            </w:r>
            <w:r>
              <w:rPr>
                <w:b/>
                <w:i/>
              </w:rPr>
              <w:t>Uniunii aleasă în mod direct</w:t>
            </w:r>
            <w:r>
              <w:t>, are un rol legitim în a contribui la aceste discuții la nivel mondial, în conformitate cu articolele 10, 11 și 13 din TUE, și are responsabilitatea de a garanta răspunderea democratică și coerența instituțională în cadrul angajamentului extern al </w:t>
            </w:r>
            <w:r>
              <w:rPr>
                <w:b/>
                <w:i/>
              </w:rPr>
              <w:t>Uniunii, protejând în același timp capacitatea întreprinderilor europene din domeniul tehnologiei de a dezvolta și de a implementa IA, promovând inovarea, competitivitatea și poziția de lider tehnologic a Europei, precum și protejând drepturile fundamentale și ordinea juridică</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monitorizarea evoluțiilor mondiale în domeniul IA la nivelul Uniunii, în strânsă cooperare cu Oficiul pentru IA al Comisiei, cu Consiliul european pentru inteligența artificială (Consiliul IA) și cu autoritățile naționale competente, monitorizarea evoluțiilor din statele membre</w:t>
            </w:r>
            <w:r>
              <w:rPr>
                <w:b/>
                <w:i/>
              </w:rPr>
              <w:t>,</w:t>
            </w:r>
            <w:r>
              <w:t xml:space="preserve"> menținerea unor schimburi periodice </w:t>
            </w:r>
            <w:r>
              <w:rPr>
                <w:b/>
                <w:i/>
              </w:rPr>
              <w:t>cu</w:t>
            </w:r>
            <w:r>
              <w:t xml:space="preserve"> parlamentele naționale și identificarea potențialelor suprapuneri și lacune transsectoriale în cadrul juridic al Uniunii în domeniul IA vor fi aspecte extrem de importante; întrucât </w:t>
            </w:r>
            <w:r>
              <w:rPr>
                <w:b/>
                <w:i/>
              </w:rPr>
              <w:t>Observatorul pentru</w:t>
            </w:r>
            <w:r>
              <w:t xml:space="preserve"> IA </w:t>
            </w:r>
            <w:r>
              <w:rPr>
                <w:b/>
                <w:i/>
              </w:rPr>
              <w:t>propus</w:t>
            </w:r>
            <w:r>
              <w:t xml:space="preserve"> de </w:t>
            </w:r>
            <w:r>
              <w:rPr>
                <w:b/>
                <w:i/>
              </w:rPr>
              <w:t>Parlamentul European</w:t>
            </w:r>
            <w:r>
              <w:t xml:space="preserve"> ar </w:t>
            </w:r>
            <w:r>
              <w:rPr>
                <w:b/>
                <w:i/>
              </w:rPr>
              <w:t>trebui să joace</w:t>
            </w:r>
            <w:r>
              <w:t xml:space="preserve"> un rol central în acest </w:t>
            </w:r>
            <w:r>
              <w:rPr>
                <w:b/>
                <w:i/>
              </w:rPr>
              <w:t>sens</w:t>
            </w:r>
            <w:r>
              <w:t>;</w:t>
            </w:r>
          </w:p>
        </w:tc>
        <w:tc>
          <w:tcPr>
            <w:tcW w:w="4876" w:type="dxa"/>
            <w:tcBorders>
              <w:top w:val="nil"/>
              <w:left w:val="nil"/>
              <w:bottom w:val="nil"/>
              <w:right w:val="nil"/>
            </w:tcBorders>
          </w:tcPr>
          <w:p>
            <w:pPr>
              <w:pStyle w:val="Normal6a"/>
            </w:pPr>
            <w:r>
              <w:t>H.</w:t>
            </w:r>
            <w:r>
              <w:tab/>
            </w:r>
            <w:r>
              <w:t xml:space="preserve">întrucât monitorizarea evoluțiilor mondiale în domeniul IA la nivelul Uniunii </w:t>
            </w:r>
            <w:r>
              <w:rPr>
                <w:b/>
                <w:i/>
              </w:rPr>
              <w:t>și al statelor membre</w:t>
            </w:r>
            <w:r>
              <w:t xml:space="preserve">, în strânsă cooperare cu Oficiul pentru IA al Comisiei, cu Consiliul european pentru inteligența artificială (Consiliul IA) și cu autoritățile naționale competente, monitorizarea evoluțiilor din statele membre </w:t>
            </w:r>
            <w:r>
              <w:rPr>
                <w:b/>
                <w:i/>
              </w:rPr>
              <w:t>și</w:t>
            </w:r>
            <w:r>
              <w:t xml:space="preserve"> menținerea unor schimburi periodice </w:t>
            </w:r>
            <w:r>
              <w:rPr>
                <w:b/>
                <w:i/>
              </w:rPr>
              <w:t>între Parlamentul European și</w:t>
            </w:r>
            <w:r>
              <w:t xml:space="preserve"> parlamentele naționale și identificarea potențialelor suprapuneri și lacune transsectoriale în cadrul juridic al Uniunii în domeniul IA</w:t>
            </w:r>
            <w:r>
              <w:rPr>
                <w:b/>
                <w:i/>
              </w:rPr>
              <w:t>, în vederea îmbunătățirii coerenței, a securității juridice și a punerii în aplicare favorabile inovării în întreaga UE,</w:t>
            </w:r>
            <w:r>
              <w:t xml:space="preserve"> vor fi aspecte extrem de importante; întrucât </w:t>
            </w:r>
            <w:r>
              <w:rPr>
                <w:b/>
                <w:i/>
              </w:rPr>
              <w:t>eforturile Parlamentului de a-și consolida capacitatea internă de analiză și de guvernanță în domeniul</w:t>
            </w:r>
            <w:r>
              <w:t> IA</w:t>
            </w:r>
            <w:r>
              <w:rPr>
                <w:b/>
                <w:i/>
              </w:rPr>
              <w:t>, inclusiv prin constituirea unei unități administrative dedicate, s-ar putea baza pe activitatea Grupului</w:t>
            </w:r>
            <w:r>
              <w:t xml:space="preserve"> de </w:t>
            </w:r>
            <w:r>
              <w:rPr>
                <w:b/>
                <w:i/>
              </w:rPr>
              <w:t>lucru pentru Regulamentul privind IA și</w:t>
            </w:r>
            <w:r>
              <w:t xml:space="preserve"> ar </w:t>
            </w:r>
            <w:r>
              <w:rPr>
                <w:b/>
                <w:i/>
              </w:rPr>
              <w:t>putea juca în continuare</w:t>
            </w:r>
            <w:r>
              <w:t xml:space="preserve"> un rol central în </w:t>
            </w:r>
            <w:r>
              <w:rPr>
                <w:b/>
                <w:i/>
              </w:rPr>
              <w:t>guvernanța instituțională a Parlamentului în domeniul IA în ceea ce privește responsabilitatea și explicabilitatea implicațiilor sistemelor de IA implementate în cadrul instituției;</w:t>
            </w:r>
            <w:r>
              <w:rPr>
                <w:b/>
                <w:i/>
              </w:rPr>
              <w:t xml:space="preserve"> </w:t>
            </w:r>
            <w:r>
              <w:rPr>
                <w:b/>
                <w:i/>
              </w:rPr>
              <w:t>întrucât</w:t>
            </w:r>
            <w:r>
              <w:t xml:space="preserve"> acest </w:t>
            </w:r>
            <w:r>
              <w:rPr>
                <w:b/>
                <w:i/>
              </w:rPr>
              <w:t>lucru ar putea contribui, de asemenea, la atingerea unui nivel adecvat de alfabetizare în domeniul IA în rândul personalului Parlamentului;</w:t>
            </w:r>
            <w:r>
              <w:rPr>
                <w:b/>
                <w:i/>
              </w:rPr>
              <w:t xml:space="preserve"> </w:t>
            </w:r>
            <w:r>
              <w:rPr>
                <w:b/>
                <w:i/>
              </w:rPr>
              <w:t>întrucât această unitate administrativă ar trebui, de asemenea, să valorifice experiența Comitetului pentru viitorul științei și tehnologiei (STOA), care a fost înființat ca organism permanent în 1988 și care are IA printre principalele sale priorități tematice, precum și experiența Serviciului de Cercetare al Parlamentului European (EPRS)</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HA.</w:t>
            </w:r>
            <w:r>
              <w:tab/>
            </w:r>
            <w:r>
              <w:rPr>
                <w:b/>
                <w:i/>
              </w:rPr>
              <w:t>întrucât Comisia pentru piața internă și protecția consumatorilor (IMCO) a Parlamentului, împreună cu Comisia pentru libertăți civile, justiție și afaceri interne (LIBE), a înființat un grup de lucru comun IMCO-LIBE privind punerea în aplicare și asigurarea respectării Regulamentului privind IA (Grupul de lucru pentru Regulamentul privind IA), care servește drept platformă pentru schimburi de informații cu Comisia, în special cu Oficiul pentru IA al acesteia, și cu alte părți interesate relevante, cu privire la situația actuală a punerii în aplicare a Regulamentului privind IA, precum și pentru a monitoriza evoluțiile IA în sens mai larg;</w:t>
            </w:r>
          </w:p>
        </w:tc>
      </w:tr>
    </w:tbl>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întrucât Observatorul pentru IA propus de Parlamentul European ar putea fi considerat drept un organism al Uniunii care poate fi invitat la reuniunile Consiliului IA, în conformitate cu articolul 65 alineatul (2) din Regulamentul privind inteligența artificială;</w:t>
            </w:r>
          </w:p>
        </w:tc>
        <w:tc>
          <w:tcPr>
            <w:tcW w:w="4876" w:type="dxa"/>
            <w:tcBorders>
              <w:top w:val="nil"/>
              <w:left w:val="nil"/>
              <w:bottom w:val="nil"/>
              <w:right w:val="nil"/>
            </w:tcBorders>
          </w:tcPr>
          <w:p>
            <w:pPr>
              <w:pStyle w:val="Normal6a"/>
            </w:pPr>
            <w:r>
              <w:rPr>
                <w:b/>
                <w:i/>
              </w:rPr>
              <w:t>eliminat</w:t>
            </w:r>
          </w:p>
        </w:tc>
      </w:tr>
    </w:tbl>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întrucât IA poate sprijini controlul parlamentar al implementării și aplicării dreptului Uniunii, reducând asimetriile informaționale și atenuând dificultățile recurente întâmpinate de Parlament pentru a accesa datele pertinente, precum și contribuind la îmbunătățirea proceselor legislative ale Uniunii;</w:t>
            </w:r>
          </w:p>
        </w:tc>
        <w:tc>
          <w:tcPr>
            <w:tcW w:w="4876" w:type="dxa"/>
            <w:tcBorders>
              <w:top w:val="nil"/>
              <w:left w:val="nil"/>
              <w:bottom w:val="nil"/>
              <w:right w:val="nil"/>
            </w:tcBorders>
          </w:tcPr>
          <w:p>
            <w:pPr>
              <w:pStyle w:val="Normal6a"/>
            </w:pPr>
            <w:r>
              <w:t>J.</w:t>
            </w:r>
            <w:r>
              <w:tab/>
            </w:r>
            <w:r>
              <w:t>întrucât IA</w:t>
            </w:r>
            <w:r>
              <w:rPr>
                <w:b/>
                <w:i/>
              </w:rPr>
              <w:t>, sub o supraveghere umană efectivă,</w:t>
            </w:r>
            <w:r>
              <w:t xml:space="preserve"> poate sprijini controlul parlamentar al implementării și aplicării dreptului Uniunii, reducând asimetriile informaționale și atenuând dificultățile recurente întâmpinate de Parlament pentru a accesa datele pertinente, precum și contribuind la îmbunătățirea proceselor legislative ale Uniunii</w:t>
            </w:r>
            <w:r>
              <w:rPr>
                <w:b/>
                <w:i/>
              </w:rPr>
              <w:t>, inclusiv prin simplificarea acestora și prin sporirea eficienței și a capacității lor de reacție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Ja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JA.</w:t>
            </w:r>
            <w:r>
              <w:tab/>
            </w:r>
            <w:r>
              <w:rPr>
                <w:b/>
                <w:i/>
              </w:rPr>
              <w:t>întrucât utilizarea responsabilă a sistemelor de IA poate îmbunătăți calitatea, accesibilitatea și eficiența proceselor legislative și administrative prin sprijinirea elaborării de politici bazate pe date concrete, prin simplificarea analizei cadrelor de reglementare complexe și îmbunătățirea accesului la informațiile relevante pentru controlul democratic;</w:t>
            </w:r>
          </w:p>
        </w:tc>
      </w:tr>
    </w:tbl>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întrucât evoluția rapidă a tehnologiilor de IA necesită o capacitate analitică continuă cu scopul de a evalua implicațiile lor instituționale, democratice și juridice pentru funcționarea Uniunii; întrucât Parlamentul ar trebui, prin urmare, să își consolideze cunoștințele de specialitate interne și capacitățile de monitorizare în acest domeniu;</w:t>
            </w:r>
          </w:p>
        </w:tc>
        <w:tc>
          <w:tcPr>
            <w:tcW w:w="4876" w:type="dxa"/>
            <w:tcBorders>
              <w:top w:val="nil"/>
              <w:left w:val="nil"/>
              <w:bottom w:val="nil"/>
              <w:right w:val="nil"/>
            </w:tcBorders>
          </w:tcPr>
          <w:p>
            <w:pPr>
              <w:pStyle w:val="Normal6a"/>
            </w:pPr>
            <w:r>
              <w:t>K.</w:t>
            </w:r>
            <w:r>
              <w:tab/>
            </w:r>
            <w:r>
              <w:t xml:space="preserve">întrucât evoluția rapidă a tehnologiilor de IA necesită o capacitate analitică continuă cu scopul de a evalua implicațiile lor instituționale, democratice și juridice pentru funcționarea Uniunii; întrucât Parlamentul ar trebui, prin urmare, să își consolideze cunoștințele de specialitate interne și capacitățile de monitorizare în acest domeniu </w:t>
            </w:r>
            <w:r>
              <w:rPr>
                <w:b/>
                <w:i/>
              </w:rPr>
              <w:t>– inclusiv printr-o formare aprofundată în domeniul alfabetizării în materie de IA – și să sprijine utilizarea informată, eficientă și responsabilă a tehnologiilor de IA</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Ka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KA.</w:t>
            </w:r>
            <w:r>
              <w:tab/>
            </w:r>
            <w:r>
              <w:rPr>
                <w:b/>
                <w:i/>
              </w:rPr>
              <w:t>întrucât divergențele dintre interpretările naționale și punerea în aplicare la nivel național a legislației UE referitoare la IA riscă să creeze fragmentare normativă, să genereze insecuritate juridică și să creeze obstacole în calea implementării transfrontaliere a IA în cadrul pieței interne, în special pentru IMM-urile și start-upurile care își desfășoară activitatea în mai multe state membre; întrucât IA, sub o supraveghere umană adecvată, poate consolida capacitatea Parlamentului de e exercita un control eficace și bazat pe date concrete asupra implementării și aplicării dreptului UE prin reducerea asimetriilor informaționale, îmbunătățirea analizei informațiilor relevante și contribuția la remedierea dificultăților recurente în ceea ce privește accesul la datele necesare pentru controlul democratic;</w:t>
            </w:r>
          </w:p>
        </w:tc>
      </w:tr>
    </w:tbl>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întrucât implementarea rapidă a tehnologiilor de IA transformă profund campaniile electorale și comunicarea politică; întrucât aceste tehnologii pot interfera cu integritatea proceselor electorale și pot submina încrederea în instituțiile democratice, inclusiv în contextul alegerilor europene;</w:t>
            </w:r>
          </w:p>
        </w:tc>
        <w:tc>
          <w:tcPr>
            <w:tcW w:w="4876" w:type="dxa"/>
            <w:tcBorders>
              <w:top w:val="nil"/>
              <w:left w:val="nil"/>
              <w:bottom w:val="nil"/>
              <w:right w:val="nil"/>
            </w:tcBorders>
          </w:tcPr>
          <w:p>
            <w:pPr>
              <w:pStyle w:val="Normal6a"/>
            </w:pPr>
            <w:r>
              <w:t>L.</w:t>
            </w:r>
            <w:r>
              <w:tab/>
            </w:r>
            <w:r>
              <w:t>întrucât implementarea rapidă a tehnologiilor de IA transformă profund campaniile electorale și comunicarea politică</w:t>
            </w:r>
            <w:r>
              <w:rPr>
                <w:b/>
                <w:i/>
              </w:rPr>
              <w:t>, adesea la costuri foarte reduse</w:t>
            </w:r>
            <w:r>
              <w:t>; întrucât aceste tehnologii pot interfera cu integritatea proceselor electorale și pot submina încrederea în instituțiile democratice</w:t>
            </w:r>
            <w:r>
              <w:rPr>
                <w:b/>
                <w:i/>
              </w:rPr>
              <w:t>, în special atunci când sunt exploatate de actori ostili</w:t>
            </w:r>
            <w:r>
              <w:t>, inclusiv în contextul alegerilor europene;</w:t>
            </w:r>
          </w:p>
        </w:tc>
      </w:tr>
    </w:tbl>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Ma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MA.</w:t>
            </w:r>
            <w:r>
              <w:tab/>
            </w:r>
            <w:r>
              <w:rPr>
                <w:b/>
                <w:i/>
              </w:rPr>
              <w:t>întrucât articolul 77 din Regulamentul privind IA prevede că autoritățile sau organismele publice naționale au un rol esențial în supravegherea sau asigurarea respectării obligațiilor prevăzute de dreptul UE care protejează drepturile fundamentale, inclusiv dreptul la nediscriminare;</w:t>
            </w:r>
          </w:p>
        </w:tc>
      </w:tr>
    </w:tbl>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1a.</w:t>
            </w:r>
            <w:r>
              <w:tab/>
            </w:r>
            <w:r>
              <w:rPr>
                <w:b/>
                <w:i/>
              </w:rPr>
              <w:t>subliniază că implementarea rapidă a sistemelor avansate de IA nu trebuie să creeze zone de incertitudine juridică și nici să slăbească asigurarea respectării legislației existente; subliniază că inovarea tehnologică nu poate avea loc niciodată în detrimentul statului de drept, al securității publice sau al răspunderii democratice; solicită ca structurile de guvernanță ale UE în materie de IA să includă mecanisme care să permită consultarea structurată a inovatorilor europeni și subliniază că stimularea inovării în domeniul IA este esențială nu numai pentru a consolida competitivitatea Uniunii, ci și pentru a garanta securitatea, suveranitatea tehnologică și autonomia strategică a acesteia; invită Comisia să se asigure că Regulamentul privind IA este pus în aplicare în mod sistematic și transparent;</w:t>
            </w:r>
          </w:p>
        </w:tc>
      </w:tr>
    </w:tbl>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reafirmă că abordarea Uniunii în domeniul IA trebuie să fie pe deplin aliniată la valorile prevăzute la articolul 2 din TUE, precum democrația, statul de drept și drepturile fundamentale, și că implementarea IA în cadrul instituțiilor trebuie să </w:t>
            </w:r>
            <w:r>
              <w:rPr>
                <w:b/>
                <w:i/>
              </w:rPr>
              <w:t>continue</w:t>
            </w:r>
            <w:r>
              <w:t xml:space="preserve"> să </w:t>
            </w:r>
            <w:r>
              <w:rPr>
                <w:b/>
                <w:i/>
              </w:rPr>
              <w:t>fie centrată</w:t>
            </w:r>
            <w:r>
              <w:t xml:space="preserve"> pe </w:t>
            </w:r>
            <w:r>
              <w:rPr>
                <w:b/>
                <w:i/>
              </w:rPr>
              <w:t>factorul uman</w:t>
            </w:r>
            <w:r>
              <w:t>;</w:t>
            </w:r>
          </w:p>
        </w:tc>
        <w:tc>
          <w:tcPr>
            <w:tcW w:w="4876" w:type="dxa"/>
            <w:tcBorders>
              <w:top w:val="nil"/>
              <w:left w:val="nil"/>
              <w:bottom w:val="nil"/>
              <w:right w:val="nil"/>
            </w:tcBorders>
          </w:tcPr>
          <w:p>
            <w:pPr>
              <w:pStyle w:val="Normal6a"/>
            </w:pPr>
            <w:r>
              <w:t>2.</w:t>
            </w:r>
            <w:r>
              <w:tab/>
            </w:r>
            <w:r>
              <w:t xml:space="preserve">reafirmă că abordarea Uniunii în domeniul IA trebuie să fie pe deplin aliniată la valorile prevăzute la articolul 2 din TUE, precum democrația, statul de drept și drepturile fundamentale, și că implementarea IA </w:t>
            </w:r>
            <w:r>
              <w:rPr>
                <w:b/>
                <w:i/>
              </w:rPr>
              <w:t>și utilizarea acesteia</w:t>
            </w:r>
            <w:r>
              <w:t xml:space="preserve"> în cadrul instituțiilor trebuie să </w:t>
            </w:r>
            <w:r>
              <w:rPr>
                <w:b/>
                <w:i/>
              </w:rPr>
              <w:t>rămână sub o supraveghere umană deplină, în sensul că o persoană fizică trebuie</w:t>
            </w:r>
            <w:r>
              <w:t xml:space="preserve"> să </w:t>
            </w:r>
            <w:r>
              <w:rPr>
                <w:b/>
                <w:i/>
              </w:rPr>
              <w:t>supravegheze efectiv orice instrument de IA</w:t>
            </w:r>
            <w:r>
              <w:t xml:space="preserve"> pe </w:t>
            </w:r>
            <w:r>
              <w:rPr>
                <w:b/>
                <w:i/>
              </w:rPr>
              <w:t>durata utilizării acestuia, contribuind astfel la consolidarea încrederii cetățenilor în instituțiile democratice și în administrația publică</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solicită un dialog interinstituțional structurat și </w:t>
            </w:r>
            <w:r>
              <w:rPr>
                <w:b/>
                <w:i/>
              </w:rPr>
              <w:t>periodic</w:t>
            </w:r>
            <w:r>
              <w:t xml:space="preserve"> între Parlament, Comisie și Consiliu cu privire la implicațiile instituționale ale IA;</w:t>
            </w:r>
          </w:p>
        </w:tc>
        <w:tc>
          <w:tcPr>
            <w:tcW w:w="4876" w:type="dxa"/>
            <w:tcBorders>
              <w:top w:val="nil"/>
              <w:left w:val="nil"/>
              <w:bottom w:val="nil"/>
              <w:right w:val="nil"/>
            </w:tcBorders>
          </w:tcPr>
          <w:p>
            <w:pPr>
              <w:pStyle w:val="Normal6a"/>
            </w:pPr>
            <w:r>
              <w:t>4.</w:t>
            </w:r>
            <w:r>
              <w:tab/>
            </w:r>
            <w:r>
              <w:t>solicită un dialog interinstituțional structurat</w:t>
            </w:r>
            <w:r>
              <w:rPr>
                <w:b/>
                <w:i/>
              </w:rPr>
              <w:t>, periodic</w:t>
            </w:r>
            <w:r>
              <w:t xml:space="preserve"> și </w:t>
            </w:r>
            <w:r>
              <w:rPr>
                <w:b/>
                <w:i/>
              </w:rPr>
              <w:t>transparent</w:t>
            </w:r>
            <w:r>
              <w:t xml:space="preserve"> între Parlament, Comisie și Consiliu cu privire la implicațiile instituționale ale IA</w:t>
            </w:r>
            <w:r>
              <w:rPr>
                <w:b/>
                <w:i/>
              </w:rPr>
              <w:t>, inclusiv schimburi periodice privind punerea în aplicare a legislației UE în domeniul IA, coordonarea administrativă și impactul sistemelor de IA asupra coerenței pieței interne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subliniază importanța </w:t>
            </w:r>
            <w:r>
              <w:rPr>
                <w:b/>
                <w:i/>
              </w:rPr>
              <w:t>participării parlamentare</w:t>
            </w:r>
            <w:r>
              <w:t xml:space="preserve"> la discuțiile privind guvernanța IA la nivel mondial </w:t>
            </w:r>
            <w:r>
              <w:rPr>
                <w:b/>
                <w:i/>
              </w:rPr>
              <w:t>și</w:t>
            </w:r>
            <w:r>
              <w:t xml:space="preserve">, prin urmare, </w:t>
            </w:r>
            <w:r>
              <w:rPr>
                <w:b/>
                <w:i/>
              </w:rPr>
              <w:t>sprijină ferm participarea</w:t>
            </w:r>
            <w:r>
              <w:t xml:space="preserve"> Parlamentului </w:t>
            </w:r>
            <w:r>
              <w:rPr>
                <w:b/>
                <w:i/>
              </w:rPr>
              <w:t>la forumurile</w:t>
            </w:r>
            <w:r>
              <w:t xml:space="preserve"> multilaterale, cum ar fi summitul anual al ONU </w:t>
            </w:r>
            <w:r>
              <w:rPr>
                <w:b/>
                <w:i/>
              </w:rPr>
              <w:t>„AI for Good” (IA</w:t>
            </w:r>
            <w:r>
              <w:t xml:space="preserve"> în serviciul binelui</w:t>
            </w:r>
            <w:r>
              <w:rPr>
                <w:b/>
                <w:i/>
              </w:rPr>
              <w:t>)</w:t>
            </w:r>
            <w:r>
              <w:t>; recunoaște că, implicându-se la nivel mondial cu un set clar de valori și principii etice, Parlamentul își consolidează rolul democratic și credibilitatea, respectând totodată pe deplin competențele Comisiei în domeniu și în conformitate cu principiul cooperării loiale, astfel cum se prevede la articolul 13 alineatul (2) din TUE;</w:t>
            </w:r>
          </w:p>
        </w:tc>
        <w:tc>
          <w:tcPr>
            <w:tcW w:w="4876" w:type="dxa"/>
            <w:tcBorders>
              <w:top w:val="nil"/>
              <w:left w:val="nil"/>
              <w:bottom w:val="nil"/>
              <w:right w:val="nil"/>
            </w:tcBorders>
          </w:tcPr>
          <w:p>
            <w:pPr>
              <w:pStyle w:val="Normal6a"/>
            </w:pPr>
            <w:r>
              <w:t>6.</w:t>
            </w:r>
            <w:r>
              <w:tab/>
            </w:r>
            <w:r>
              <w:t xml:space="preserve">subliniază importanța </w:t>
            </w:r>
            <w:r>
              <w:rPr>
                <w:b/>
                <w:i/>
              </w:rPr>
              <w:t>unei participări largi a reprezentanților europeni</w:t>
            </w:r>
            <w:r>
              <w:t xml:space="preserve"> la discuțiile privind guvernanța IA la nivel mondial</w:t>
            </w:r>
            <w:r>
              <w:rPr>
                <w:b/>
                <w:i/>
              </w:rPr>
              <w:t>;</w:t>
            </w:r>
            <w:r>
              <w:rPr>
                <w:b/>
                <w:i/>
              </w:rPr>
              <w:t xml:space="preserve"> </w:t>
            </w:r>
            <w:r>
              <w:rPr>
                <w:b/>
                <w:i/>
              </w:rPr>
              <w:t>sprijină</w:t>
            </w:r>
            <w:r>
              <w:t xml:space="preserve">, prin urmare, </w:t>
            </w:r>
            <w:r>
              <w:rPr>
                <w:b/>
                <w:i/>
              </w:rPr>
              <w:t>implicarea</w:t>
            </w:r>
            <w:r>
              <w:t xml:space="preserve"> Parlamentului </w:t>
            </w:r>
            <w:r>
              <w:rPr>
                <w:b/>
                <w:i/>
              </w:rPr>
              <w:t>în forumuri</w:t>
            </w:r>
            <w:r>
              <w:t xml:space="preserve"> multilaterale, cum ar fi summitul anual al ONU </w:t>
            </w:r>
            <w:r>
              <w:rPr>
                <w:b/>
                <w:i/>
              </w:rPr>
              <w:t>„IA</w:t>
            </w:r>
            <w:r>
              <w:t xml:space="preserve"> în serviciul binelui</w:t>
            </w:r>
            <w:r>
              <w:rPr>
                <w:b/>
                <w:i/>
              </w:rPr>
              <w:t>”</w:t>
            </w:r>
            <w:r>
              <w:t>; recunoaște că, implicându-se la nivel mondial cu un set clar de valori și principii etice, Parlamentul își consolidează rolul democratic și credibilitatea, respectând totodată pe deplin competențele Comisiei în domeniu și în conformitate cu principiul cooperării loiale, astfel cum se prevede la articolul 13 alineatul (2) din TUE;</w:t>
            </w:r>
          </w:p>
        </w:tc>
      </w:tr>
    </w:tbl>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subliniază că, într-o perioadă marcată de o concurență geopolitică puternică, participarea Parlamentului la forumurile internaționale este esențială; subliniază că practicile și tehnologiile de IA partajate pe plan extern trebuie să respecte </w:t>
            </w:r>
            <w:r>
              <w:rPr>
                <w:b/>
                <w:i/>
              </w:rPr>
              <w:t>angajamentele Parlamentului</w:t>
            </w:r>
            <w:r>
              <w:t xml:space="preserve"> în materie de transparență, sustenabilitate, protecție a datelor și </w:t>
            </w:r>
            <w:r>
              <w:rPr>
                <w:b/>
                <w:i/>
              </w:rPr>
              <w:t>supraveghere democratică</w:t>
            </w:r>
            <w:r>
              <w:t xml:space="preserve">; evidențiază, de asemenea, </w:t>
            </w:r>
            <w:r>
              <w:rPr>
                <w:b/>
                <w:i/>
              </w:rPr>
              <w:t>că este important să se abordeze</w:t>
            </w:r>
            <w:r>
              <w:t xml:space="preserve"> riscurile sistemice asociate IA, </w:t>
            </w:r>
            <w:r>
              <w:rPr>
                <w:b/>
                <w:i/>
              </w:rPr>
              <w:t>cum ar fi propagarea așa-numitelor halucinații</w:t>
            </w:r>
            <w:r>
              <w:t xml:space="preserve">, care </w:t>
            </w:r>
            <w:r>
              <w:rPr>
                <w:b/>
                <w:i/>
              </w:rPr>
              <w:t>pot submina</w:t>
            </w:r>
            <w:r>
              <w:t xml:space="preserve"> acuratețea și fiabilitatea </w:t>
            </w:r>
            <w:r>
              <w:rPr>
                <w:b/>
                <w:i/>
              </w:rPr>
              <w:t>informațiilor</w:t>
            </w:r>
            <w:r>
              <w:t>, precum și impactul socioeconomic potențial al IA, în special în ceea ce privește pierderea locurilor de muncă, mai degrabă decât să se promoveze doar excelența tehnologică;</w:t>
            </w:r>
          </w:p>
        </w:tc>
        <w:tc>
          <w:tcPr>
            <w:tcW w:w="4876" w:type="dxa"/>
            <w:tcBorders>
              <w:top w:val="nil"/>
              <w:left w:val="nil"/>
              <w:bottom w:val="nil"/>
              <w:right w:val="nil"/>
            </w:tcBorders>
          </w:tcPr>
          <w:p>
            <w:pPr>
              <w:pStyle w:val="Normal6a"/>
            </w:pPr>
            <w:r>
              <w:t>7.</w:t>
            </w:r>
            <w:r>
              <w:tab/>
            </w:r>
            <w:r>
              <w:t xml:space="preserve">subliniază că, într-o perioadă marcată de o concurență geopolitică puternică, participarea Parlamentului la forumurile internaționale este esențială; subliniază că practicile și tehnologiile de IA partajate pe plan extern trebuie să </w:t>
            </w:r>
            <w:r>
              <w:rPr>
                <w:b/>
                <w:i/>
              </w:rPr>
              <w:t>sprijine inovarea și competitivitatea și să</w:t>
            </w:r>
            <w:r>
              <w:t xml:space="preserve"> respecte </w:t>
            </w:r>
            <w:r>
              <w:rPr>
                <w:b/>
                <w:i/>
              </w:rPr>
              <w:t>standarde riguroase</w:t>
            </w:r>
            <w:r>
              <w:t xml:space="preserve"> în materie de transparență, sustenabilitate, </w:t>
            </w:r>
            <w:r>
              <w:rPr>
                <w:b/>
                <w:i/>
              </w:rPr>
              <w:t>respectare a vieții private,</w:t>
            </w:r>
            <w:r>
              <w:t xml:space="preserve"> protecție a datelor </w:t>
            </w:r>
            <w:r>
              <w:rPr>
                <w:b/>
                <w:i/>
              </w:rPr>
              <w:t>cu caracter personal</w:t>
            </w:r>
            <w:r>
              <w:t xml:space="preserve"> și </w:t>
            </w:r>
            <w:r>
              <w:rPr>
                <w:b/>
                <w:i/>
              </w:rPr>
              <w:t>securitate cibernetică, precum și în materie de control democratic</w:t>
            </w:r>
            <w:r>
              <w:t xml:space="preserve">; evidențiază, de asemenea, </w:t>
            </w:r>
            <w:r>
              <w:rPr>
                <w:b/>
                <w:i/>
              </w:rPr>
              <w:t>importanța promovării unei IA de încredere și centrate pe factorul uman, abordând totodată</w:t>
            </w:r>
            <w:r>
              <w:t xml:space="preserve"> riscurile sistemice asociate IA, </w:t>
            </w:r>
            <w:r>
              <w:rPr>
                <w:b/>
                <w:i/>
              </w:rPr>
              <w:t>inclusiv așa-numitele halucinații și riscurile de otrăvire a IA sau de manipulare dirijată a modelelor lingvistice de mari dimensiuni (LLM)</w:t>
            </w:r>
            <w:r>
              <w:t xml:space="preserve">, care </w:t>
            </w:r>
            <w:r>
              <w:rPr>
                <w:b/>
                <w:i/>
              </w:rPr>
              <w:t>subminează</w:t>
            </w:r>
            <w:r>
              <w:t xml:space="preserve"> acuratețea și fiabilitatea </w:t>
            </w:r>
            <w:r>
              <w:rPr>
                <w:b/>
                <w:i/>
              </w:rPr>
              <w:t>rezultatelor acesteia</w:t>
            </w:r>
            <w:r>
              <w:t>, precum și impactul socioeconomic potențial al IA, în special în ceea ce privește pierderea locurilor de muncă, mai degrabă decât să se promoveze doar excelența tehnologică;</w:t>
            </w:r>
          </w:p>
        </w:tc>
      </w:tr>
    </w:tbl>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7a.</w:t>
            </w:r>
            <w:r>
              <w:tab/>
            </w:r>
            <w:r>
              <w:rPr>
                <w:b/>
                <w:i/>
              </w:rPr>
              <w:t>constată cu îngrijorare dependența tot mai mare de sistemele de IA de avangardă din afara Europei, lipsa unui acces coordonat la aceste sisteme în vederea evaluării securității, precum și deficitul de capabilități care rezultă în domeniul apărării cibernetice bazate pe IA, ceea ce ridică semne de întrebare cu privire la dependențele strategice și la accesul asimetric la infrastructura critică de IA; avertizează că, potrivit responsabililor din domeniul securității, modelele avansate de IA de avangardă își pot adapta comportamentul în mod dinamic, ceea ce înseamnă că pot fi utilizate pentru descoperirea și exploatarea automatizată a vulnerabilităților, reducând semnificativ barierele din calea atacurilor cibernetice sofisticate, permițând extinderea rapidă a operațiunilor răuvoitoare și modificând în mod fundamental amploarea și viteza riscurilor cibernetice; solicită o supraveghere mai strictă și o pregătire solidă, inclusiv prin teste de rezistență periodice și exerciții bazate pe scenarii, pentru a contracara atacurile cibernetice facilitate de IA și pentru a aborda dependențele strategice de infrastructura, serviciile de cloud și modelele de bază din afara Europei; subliniază că UE trebuie să urmărească o agendă cuprinzătoare în materie de suveranitate tehnologică în dezvoltarea și implementarea sistemelor avansate de IA;</w:t>
            </w:r>
          </w:p>
        </w:tc>
      </w:tr>
    </w:tbl>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subliniază că IA</w:t>
            </w:r>
            <w:r>
              <w:rPr>
                <w:b/>
                <w:i/>
              </w:rPr>
              <w:t>, având în vedere amploarea, viteza și impactul său transfrontalier</w:t>
            </w:r>
            <w:r>
              <w:t xml:space="preserve">, </w:t>
            </w:r>
            <w:r>
              <w:rPr>
                <w:b/>
                <w:i/>
              </w:rPr>
              <w:t>constituie o provocare sistemică pe plan mondial și că</w:t>
            </w:r>
            <w:r>
              <w:t xml:space="preserve">, </w:t>
            </w:r>
            <w:r>
              <w:rPr>
                <w:b/>
                <w:i/>
              </w:rPr>
              <w:t>la fel ca în cazul tehnologiilor transformatoare anterioare</w:t>
            </w:r>
            <w:r>
              <w:t xml:space="preserve">, </w:t>
            </w:r>
            <w:r>
              <w:rPr>
                <w:b/>
                <w:i/>
              </w:rPr>
              <w:t>precum tehnologia nucleară de la jumătatea secolului al XX-lea</w:t>
            </w:r>
            <w:r>
              <w:t xml:space="preserve">, </w:t>
            </w:r>
            <w:r>
              <w:rPr>
                <w:b/>
                <w:i/>
              </w:rPr>
              <w:t>o guvernanță responsabilă necesită negocierea și instituirea în timp util a unei convenții sau a unui tratat internațional specific privind IA la nivel mondial</w:t>
            </w:r>
            <w:r>
              <w:t>;</w:t>
            </w:r>
          </w:p>
        </w:tc>
        <w:tc>
          <w:tcPr>
            <w:tcW w:w="4876" w:type="dxa"/>
            <w:tcBorders>
              <w:top w:val="nil"/>
              <w:left w:val="nil"/>
              <w:bottom w:val="nil"/>
              <w:right w:val="nil"/>
            </w:tcBorders>
          </w:tcPr>
          <w:p>
            <w:pPr>
              <w:pStyle w:val="Normal6a"/>
            </w:pPr>
            <w:r>
              <w:t>8.</w:t>
            </w:r>
            <w:r>
              <w:tab/>
            </w:r>
            <w:r>
              <w:t xml:space="preserve">subliniază că IA </w:t>
            </w:r>
            <w:r>
              <w:rPr>
                <w:b/>
                <w:i/>
              </w:rPr>
              <w:t>creează potențialul de a stimula în mod semnificativ creșterea economică</w:t>
            </w:r>
            <w:r>
              <w:t xml:space="preserve">, </w:t>
            </w:r>
            <w:r>
              <w:rPr>
                <w:b/>
                <w:i/>
              </w:rPr>
              <w:t>de a îmbunătăți productivitatea și de a transforma diferite industrii</w:t>
            </w:r>
            <w:r>
              <w:t xml:space="preserve">, </w:t>
            </w:r>
            <w:r>
              <w:rPr>
                <w:b/>
                <w:i/>
              </w:rPr>
              <w:t>automatizând sarcinile și îmbunătățind procesul decizional;</w:t>
            </w:r>
            <w:r>
              <w:rPr>
                <w:b/>
                <w:i/>
              </w:rPr>
              <w:t xml:space="preserve"> </w:t>
            </w:r>
            <w:r>
              <w:rPr>
                <w:b/>
                <w:i/>
              </w:rPr>
              <w:t>subliniază</w:t>
            </w:r>
            <w:r>
              <w:t xml:space="preserve">, </w:t>
            </w:r>
            <w:r>
              <w:rPr>
                <w:b/>
                <w:i/>
              </w:rPr>
              <w:t>cu toate acestea, că, având în vedere amploarea</w:t>
            </w:r>
            <w:r>
              <w:t xml:space="preserve">, </w:t>
            </w:r>
            <w:r>
              <w:rPr>
                <w:b/>
                <w:i/>
              </w:rPr>
              <w:t>viteza de implementare și impactul său transfrontalier, IA constituie, de asemenea, o tehnologie globală transformatoare, cu implicații considerabile, care necesită o guvernanță responsabilă</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ia </w:t>
            </w:r>
            <w:r>
              <w:rPr>
                <w:b/>
                <w:i/>
              </w:rPr>
              <w:t>act</w:t>
            </w:r>
            <w:r>
              <w:t xml:space="preserve"> de Convenția-cadru a </w:t>
            </w:r>
            <w:r>
              <w:rPr>
                <w:b/>
                <w:i/>
              </w:rPr>
              <w:t>Consiliului Europei privind inteligența artificială:</w:t>
            </w:r>
            <w:r>
              <w:t xml:space="preserve"> consideră că, având în vedere caracterul sistemic mondial al tehnologiilor de IA, ar trebui să </w:t>
            </w:r>
            <w:r>
              <w:rPr>
                <w:b/>
                <w:i/>
              </w:rPr>
              <w:t>se continue reflecția</w:t>
            </w:r>
            <w:r>
              <w:t xml:space="preserve"> cu privire la </w:t>
            </w:r>
            <w:r>
              <w:rPr>
                <w:b/>
                <w:i/>
              </w:rPr>
              <w:t>instituirea unui cadru sau</w:t>
            </w:r>
            <w:r>
              <w:t xml:space="preserve"> a unei </w:t>
            </w:r>
            <w:r>
              <w:rPr>
                <w:b/>
                <w:i/>
              </w:rPr>
              <w:t>convenții multilaterale mondiale menite să prevină</w:t>
            </w:r>
            <w:r>
              <w:t xml:space="preserve"> riscurile sistemice și să </w:t>
            </w:r>
            <w:r>
              <w:rPr>
                <w:b/>
                <w:i/>
              </w:rPr>
              <w:t>asigure responsabilitatea democratică</w:t>
            </w:r>
            <w:r>
              <w:t xml:space="preserve"> la nivel mondial;</w:t>
            </w:r>
          </w:p>
        </w:tc>
        <w:tc>
          <w:tcPr>
            <w:tcW w:w="4876" w:type="dxa"/>
            <w:tcBorders>
              <w:top w:val="nil"/>
              <w:left w:val="nil"/>
              <w:bottom w:val="nil"/>
              <w:right w:val="nil"/>
            </w:tcBorders>
          </w:tcPr>
          <w:p>
            <w:pPr>
              <w:pStyle w:val="Normal6a"/>
            </w:pPr>
            <w:r>
              <w:t>9.</w:t>
            </w:r>
            <w:r>
              <w:tab/>
            </w:r>
            <w:r>
              <w:rPr>
                <w:b/>
                <w:i/>
              </w:rPr>
              <w:t xml:space="preserve">reamintește Convenția-cadru a Consiliului Europei privind IA, care stabilește un nivel de referință mondial pentru guvernanța în domeniul IA; </w:t>
            </w:r>
            <w:r>
              <w:rPr>
                <w:b/>
                <w:i/>
              </w:rPr>
              <w:t>subliniază că Regulamentul privind IA și alte acte legislative relevante ale UE stabilesc deja un nivel de protecție și de armonizare mai ridicat și mai detaliat în cadrul pieței interne;</w:t>
            </w:r>
            <w:r>
              <w:rPr>
                <w:b/>
                <w:i/>
              </w:rPr>
              <w:t xml:space="preserve"> </w:t>
            </w:r>
            <w:r>
              <w:rPr>
                <w:b/>
                <w:i/>
              </w:rPr>
              <w:t>invită țările din întreaga lume să adere la</w:t>
            </w:r>
            <w:r>
              <w:t xml:space="preserve"> Convenția-cadru </w:t>
            </w:r>
            <w:r>
              <w:rPr>
                <w:b/>
                <w:i/>
              </w:rPr>
              <w:t>și să promoveze dezvoltarea la nivel mondial</w:t>
            </w:r>
            <w:r>
              <w:t xml:space="preserve"> a </w:t>
            </w:r>
            <w:r>
              <w:rPr>
                <w:b/>
                <w:i/>
              </w:rPr>
              <w:t>unei IA de încredere și centrate pe factorul uman;</w:t>
            </w:r>
            <w:r>
              <w:t xml:space="preserve"> consideră că, având în vedere caracterul sistemic mondial al tehnologiilor de IA, ar trebui să </w:t>
            </w:r>
            <w:r>
              <w:rPr>
                <w:b/>
                <w:i/>
              </w:rPr>
              <w:t>aibă loc reflecții periodice</w:t>
            </w:r>
            <w:r>
              <w:t xml:space="preserve"> cu privire la </w:t>
            </w:r>
            <w:r>
              <w:rPr>
                <w:b/>
                <w:i/>
              </w:rPr>
              <w:t>promovarea cooperării internaționale și</w:t>
            </w:r>
            <w:r>
              <w:t xml:space="preserve"> a unei </w:t>
            </w:r>
            <w:r>
              <w:rPr>
                <w:b/>
                <w:i/>
              </w:rPr>
              <w:t>guvernanțe eficace, favorabile inovării, asigurând totodată respectarea cadrelor juridice existente, prevenind</w:t>
            </w:r>
            <w:r>
              <w:t xml:space="preserve"> riscurile sistemice și </w:t>
            </w:r>
            <w:r>
              <w:rPr>
                <w:b/>
                <w:i/>
              </w:rPr>
              <w:t>consolidând răspunderea democratică la nivel mondial;</w:t>
            </w:r>
            <w:r>
              <w:rPr>
                <w:b/>
                <w:i/>
              </w:rPr>
              <w:t xml:space="preserve"> consideră că participarea UE la convențiile internaționale ar trebui să servească la promovarea viziunii acesteia privind IA, a abordării sale în materie de reglementare și a competitivității sale la nivel mondial;</w:t>
            </w:r>
          </w:p>
        </w:tc>
      </w:tr>
    </w:tbl>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reamintește că, în conformitate cu articolele 10, 13 și 14 din TUE, Parlamentul exercită un control democratic asupra funcționării Uniunii și a instituțiilor sale; subliniază că implementarea tot mai frecventă a sistemelor de IA în administrațiile publice și în instituțiile Uniunii necesită consolidarea capacității analitice a Parlamentului pentru a asigura transparența, responsabilitatea democratică și supravegherea eficace, în conformitate cu tratatele;</w:t>
            </w:r>
          </w:p>
        </w:tc>
        <w:tc>
          <w:tcPr>
            <w:tcW w:w="4876" w:type="dxa"/>
            <w:tcBorders>
              <w:top w:val="nil"/>
              <w:left w:val="nil"/>
              <w:bottom w:val="nil"/>
              <w:right w:val="nil"/>
            </w:tcBorders>
          </w:tcPr>
          <w:p>
            <w:pPr>
              <w:pStyle w:val="Normal6a"/>
            </w:pPr>
            <w:r>
              <w:t>10.</w:t>
            </w:r>
            <w:r>
              <w:tab/>
            </w:r>
            <w:r>
              <w:t xml:space="preserve">reamintește că, în conformitate cu articolele 10, 13 și 14 din TUE, Parlamentul exercită un control democratic asupra funcționării Uniunii și a instituțiilor sale; subliniază că implementarea tot mai frecventă a sistemelor de IA în administrațiile publice și în instituțiile Uniunii necesită consolidarea capacității analitice </w:t>
            </w:r>
            <w:r>
              <w:rPr>
                <w:b/>
                <w:i/>
              </w:rPr>
              <w:t>și a alfabetizării în domeniul IA</w:t>
            </w:r>
            <w:r>
              <w:t xml:space="preserve"> a Parlamentului pentru a asigura transparența, responsabilitatea democratică și supravegherea eficace, în conformitate cu tratatele;</w:t>
            </w:r>
          </w:p>
        </w:tc>
      </w:tr>
    </w:tbl>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solicită înființarea unui Observator al</w:t>
            </w:r>
            <w:r>
              <w:t xml:space="preserve"> Parlamentului </w:t>
            </w:r>
            <w:r>
              <w:rPr>
                <w:b/>
                <w:i/>
              </w:rPr>
              <w:t>European pentru IA ca structură analitică permanentă</w:t>
            </w:r>
            <w:r>
              <w:t xml:space="preserve"> în </w:t>
            </w:r>
            <w:r>
              <w:rPr>
                <w:b/>
                <w:i/>
              </w:rPr>
              <w:t>cadrul administrației Parlamentului</w:t>
            </w:r>
            <w:r>
              <w:t xml:space="preserve">, </w:t>
            </w:r>
            <w:r>
              <w:rPr>
                <w:b/>
                <w:i/>
              </w:rPr>
              <w:t>care</w:t>
            </w:r>
            <w:r>
              <w:t xml:space="preserve"> să funcționeze ca </w:t>
            </w:r>
            <w:r>
              <w:rPr>
                <w:b/>
                <w:i/>
              </w:rPr>
              <w:t>un</w:t>
            </w:r>
            <w:r>
              <w:t xml:space="preserve"> serviciu în cadrul comisiilor parlamentare pentru a le sprijini în chestiunile legate de IA, </w:t>
            </w:r>
            <w:r>
              <w:rPr>
                <w:b/>
                <w:i/>
              </w:rPr>
              <w:t>de</w:t>
            </w:r>
            <w:r>
              <w:t xml:space="preserve"> guvernanța sa, </w:t>
            </w:r>
            <w:r>
              <w:rPr>
                <w:b/>
                <w:i/>
              </w:rPr>
              <w:t>de</w:t>
            </w:r>
            <w:r>
              <w:t xml:space="preserve"> echilibrul instituțional și </w:t>
            </w:r>
            <w:r>
              <w:rPr>
                <w:b/>
                <w:i/>
              </w:rPr>
              <w:t>de</w:t>
            </w:r>
            <w:r>
              <w:t xml:space="preserve"> supravegherea democratică; subliniază </w:t>
            </w:r>
            <w:r>
              <w:rPr>
                <w:b/>
                <w:i/>
              </w:rPr>
              <w:t>că crearea acestei capacități</w:t>
            </w:r>
            <w:r>
              <w:t xml:space="preserve"> ar </w:t>
            </w:r>
            <w:r>
              <w:rPr>
                <w:b/>
                <w:i/>
              </w:rPr>
              <w:t>putea fi organizată în cadrul structurilor administrative ale Parlamentului fără a afecta bugetul, pe baza competențelor</w:t>
            </w:r>
            <w:r>
              <w:t xml:space="preserve"> și a </w:t>
            </w:r>
            <w:r>
              <w:rPr>
                <w:b/>
                <w:i/>
              </w:rPr>
              <w:t>serviciilor existente</w:t>
            </w:r>
            <w:r>
              <w:t>;</w:t>
            </w:r>
          </w:p>
        </w:tc>
        <w:tc>
          <w:tcPr>
            <w:tcW w:w="4876" w:type="dxa"/>
            <w:tcBorders>
              <w:top w:val="nil"/>
              <w:left w:val="nil"/>
              <w:bottom w:val="nil"/>
              <w:right w:val="nil"/>
            </w:tcBorders>
          </w:tcPr>
          <w:p>
            <w:pPr>
              <w:pStyle w:val="Normal6a"/>
            </w:pPr>
            <w:r>
              <w:t>11.</w:t>
            </w:r>
            <w:r>
              <w:tab/>
            </w:r>
            <w:r>
              <w:rPr>
                <w:b/>
                <w:i/>
              </w:rPr>
              <w:t>recomandă consolidarea capacității interne de analiză și de guvernanță a</w:t>
            </w:r>
            <w:r>
              <w:t xml:space="preserve"> Parlamentului </w:t>
            </w:r>
            <w:r>
              <w:rPr>
                <w:b/>
                <w:i/>
              </w:rPr>
              <w:t>în cadrul administrației sale, în mod specific</w:t>
            </w:r>
            <w:r>
              <w:t xml:space="preserve"> în </w:t>
            </w:r>
            <w:r>
              <w:rPr>
                <w:b/>
                <w:i/>
              </w:rPr>
              <w:t>legătură cu IA</w:t>
            </w:r>
            <w:r>
              <w:t xml:space="preserve">, </w:t>
            </w:r>
            <w:r>
              <w:rPr>
                <w:b/>
                <w:i/>
              </w:rPr>
              <w:t>prin intermediul unei unități administrative dedicate;</w:t>
            </w:r>
            <w:r>
              <w:rPr>
                <w:b/>
                <w:i/>
              </w:rPr>
              <w:t xml:space="preserve"> </w:t>
            </w:r>
            <w:r>
              <w:rPr>
                <w:b/>
                <w:i/>
              </w:rPr>
              <w:t>subliniază că această unitate ar trebui să se bazeze pe expertiza și serviciile existente și să le completeze, inclusiv pe cele furnizate de EPRS și STOA, permițând astfel organizarea sa într-un mod neutru din punct de vedere bugetar, și că ar trebui</w:t>
            </w:r>
            <w:r>
              <w:t xml:space="preserve"> să funcționeze ca serviciu în cadrul comisiilor parlamentare pentru a le sprijini în chestiunile legate de IA, guvernanța sa, echilibrul instituțional și supravegherea democratică</w:t>
            </w:r>
            <w:r>
              <w:rPr>
                <w:b/>
                <w:i/>
              </w:rPr>
              <w:t>, precum și pentru a consolida alfabetizarea în domeniul IA și expertiza tehnică</w:t>
            </w:r>
            <w:r>
              <w:t>; subliniază</w:t>
            </w:r>
            <w:r>
              <w:rPr>
                <w:b/>
                <w:i/>
              </w:rPr>
              <w:t>, de asemenea, că unitatea</w:t>
            </w:r>
            <w:r>
              <w:t xml:space="preserve"> ar </w:t>
            </w:r>
            <w:r>
              <w:rPr>
                <w:b/>
                <w:i/>
              </w:rPr>
              <w:t>trebui să dispună de o structură clară de analiză și guvernanță, care să îi orienteze prioritățile</w:t>
            </w:r>
            <w:r>
              <w:t xml:space="preserve"> și </w:t>
            </w:r>
            <w:r>
              <w:rPr>
                <w:b/>
                <w:i/>
              </w:rPr>
              <w:t>să asigure consolidarea orizontală</w:t>
            </w:r>
            <w:r>
              <w:t xml:space="preserve"> a </w:t>
            </w:r>
            <w:r>
              <w:rPr>
                <w:b/>
                <w:i/>
              </w:rPr>
              <w:t>capacităților și relevanța sa pentru toate comisiile;</w:t>
            </w:r>
            <w:r>
              <w:rPr>
                <w:b/>
                <w:i/>
              </w:rPr>
              <w:t xml:space="preserve"> </w:t>
            </w:r>
            <w:r>
              <w:rPr>
                <w:b/>
                <w:i/>
              </w:rPr>
              <w:t>sugerează că unitatea ar putea fi denumită Observatorul pentru IA al Parlamentului European</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11a.</w:t>
            </w:r>
            <w:r>
              <w:tab/>
            </w:r>
            <w:r>
              <w:rPr>
                <w:b/>
                <w:i/>
              </w:rPr>
              <w:t>reamintește activitatea analitică existentă desfășurată în cadrul Parlamentului, inclusiv de Grupul de lucru pentru Regulamentul privind IA, instituit cu scopul de a monitoriza și de a examina implementarea și asigurarea respectării Regulamentului privind IA, de a contribui la identificarea lacunelor, suprapunerilor și incoerențelor intersectoriale din cadrul juridic mai larg al UE privind IA, precum și de a monitoriza noile evoluții și provocări legate de 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[Mutat de la alineatul (15)]</w:t>
            </w:r>
          </w:p>
        </w:tc>
      </w:tr>
    </w:tbl>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subliniază că consolidarea capacității interne de analiză și de guvernanță a Parlamentului ar putea contribui în continuare la monitorizarea guvernanței instituționale în materie de IA, a răspunderii și a explicabilității, precum și a implicațiilor sistemelor de IA implementate în cadrul instituției, ar putea contribui, de asemenea, la atingerea unui nivel adecvat de alfabetizare în materie de IA în rândul personalului său și ar putea sprijini acțiunile subsecvente ale Parlamentului în urma concluziilor relevante ale Consiliului;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[Mutat de la alineatul (16)]</w:t>
            </w:r>
          </w:p>
        </w:tc>
      </w:tr>
    </w:tbl>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subliniază că implementarea tot mai frecventă a sistemelor de IA în administrațiile publice, inclusiv în instituțiile Uniunii, ridică probleme importante legate de transparență, responsabilitate și respectarea garanțiilor procedurale administrative; subliniază că Parlamentul ar trebui să mențină o capacitate analitică internă suficientă </w:t>
            </w:r>
            <w:r>
              <w:rPr>
                <w:b/>
                <w:i/>
              </w:rPr>
              <w:t>pentru</w:t>
            </w:r>
            <w:r>
              <w:t xml:space="preserve"> a evalua aceste </w:t>
            </w:r>
            <w:r>
              <w:rPr>
                <w:b/>
                <w:i/>
              </w:rPr>
              <w:t>evoluții în mod independent</w:t>
            </w:r>
            <w:r>
              <w:t>, pentru a-și proteja prerogativele instituționale și funcțiile de supraveghere și pentru a-și construi propria memorie instituțională în acest domeniu;</w:t>
            </w:r>
          </w:p>
        </w:tc>
        <w:tc>
          <w:tcPr>
            <w:tcW w:w="4876" w:type="dxa"/>
            <w:tcBorders>
              <w:top w:val="nil"/>
              <w:left w:val="nil"/>
              <w:bottom w:val="nil"/>
              <w:right w:val="nil"/>
            </w:tcBorders>
          </w:tcPr>
          <w:p>
            <w:pPr>
              <w:pStyle w:val="Normal6a"/>
            </w:pPr>
            <w:r>
              <w:t>12.</w:t>
            </w:r>
            <w:r>
              <w:tab/>
            </w:r>
            <w:r>
              <w:t xml:space="preserve">subliniază că implementarea tot mai frecventă a sistemelor de IA în administrațiile publice, inclusiv în instituțiile Uniunii, </w:t>
            </w:r>
            <w:r>
              <w:rPr>
                <w:b/>
                <w:i/>
              </w:rPr>
              <w:t>sporește eficiența proceselor interne, dar</w:t>
            </w:r>
            <w:r>
              <w:t xml:space="preserve"> ridică </w:t>
            </w:r>
            <w:r>
              <w:rPr>
                <w:b/>
                <w:i/>
              </w:rPr>
              <w:t>totodată</w:t>
            </w:r>
            <w:r>
              <w:t xml:space="preserve"> probleme importante legate de transparență, responsabilitate</w:t>
            </w:r>
            <w:r>
              <w:rPr>
                <w:b/>
                <w:i/>
              </w:rPr>
              <w:t>, securitatea sistemelor</w:t>
            </w:r>
            <w:r>
              <w:t xml:space="preserve"> și respectarea garanțiilor procedurale administrative; subliniază că Parlamentul ar trebui să mențină o capacitate analitică internă suficientă </w:t>
            </w:r>
            <w:r>
              <w:rPr>
                <w:b/>
                <w:i/>
              </w:rPr>
              <w:t>de</w:t>
            </w:r>
            <w:r>
              <w:t xml:space="preserve"> a evalua </w:t>
            </w:r>
            <w:r>
              <w:rPr>
                <w:b/>
                <w:i/>
              </w:rPr>
              <w:t>în mod independent</w:t>
            </w:r>
            <w:r>
              <w:t xml:space="preserve"> aceste </w:t>
            </w:r>
            <w:r>
              <w:rPr>
                <w:b/>
                <w:i/>
              </w:rPr>
              <w:t>implementări și evoluțiile conexe</w:t>
            </w:r>
            <w:r>
              <w:t>, pentru a-și proteja prerogativele instituționale și funcțiile de supraveghere și pentru a-și construi propria memorie instituțională în acest domeniu</w:t>
            </w:r>
            <w:r>
              <w:rPr>
                <w:b/>
                <w:i/>
              </w:rPr>
              <w:t>, utilizând, acolo unde este posibil, serviciile și expertiza parlamentare existente, precum și pentru a menține controlul deplin asupra securității sale cibernetice și asupra securității tuturor infrastructurilor și sistemelor;</w:t>
            </w:r>
            <w:r>
              <w:rPr>
                <w:b/>
                <w:i/>
              </w:rPr>
              <w:t xml:space="preserve"> subliniază că acest efort ar trebui să fie completat de programe aprofundate de formare în domeniul IA; </w:t>
            </w:r>
            <w:r>
              <w:rPr>
                <w:b/>
                <w:i/>
              </w:rPr>
              <w:t>solicită, de asemenea, evaluări periodice ale impactului implementării IA asupra drepturilor fundamentale și a vieții private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12a.</w:t>
            </w:r>
            <w:r>
              <w:tab/>
            </w:r>
            <w:r>
              <w:rPr>
                <w:b/>
                <w:i/>
              </w:rPr>
              <w:t>evidențiază potențialul IA de a consolida capacitățile de control și de supraveghere ale Parlamentului prin facilitarea accesului la informațiile relevante, îmbunătățirea analizei evoluțiilor legislative și normative complexe și sprijinirea monitorizării punerii în aplicare și a asigurării respectării dreptului UE; subliniază că utilizarea responsabilă a IA ar putea contribui la reducerea asimetriilor informaționale, la consolidarea coerenței legislative și la îmbunătățirea calității, eficienței și previzibilității proceselor decizionale ale UE, cu respectarea deplină a răspunderii democratice, a transparenței și a unui control uman semnificativ;</w:t>
            </w:r>
          </w:p>
        </w:tc>
      </w:tr>
    </w:tbl>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solicită ca instrumentele de IA să fie utilizate pentru a sprijini monitorizarea și punerea în aplicare a legislației Uniunii care a fost deja adoptată, </w:t>
            </w:r>
            <w:r>
              <w:rPr>
                <w:b/>
                <w:i/>
              </w:rPr>
              <w:t>în special identificând actele</w:t>
            </w:r>
            <w:r>
              <w:t xml:space="preserve"> juridice naționale și regionale care necesită modificări și detectând potențialele inconsecvențe, suprapuneri sau riscuri de fragmentare juridică, cu scopul de a îmbunătăți astfel coerența juridică </w:t>
            </w:r>
            <w:r>
              <w:rPr>
                <w:b/>
                <w:i/>
              </w:rPr>
              <w:t>între nivelurile</w:t>
            </w:r>
            <w:r>
              <w:t xml:space="preserve"> de guvernanță, de a </w:t>
            </w:r>
            <w:r>
              <w:rPr>
                <w:b/>
                <w:i/>
              </w:rPr>
              <w:t>elimina lacunele</w:t>
            </w:r>
            <w:r>
              <w:t xml:space="preserve"> în materie de punere în aplicare în statele membre și de a îmbunătăți eficacitatea și previzibilitatea dreptului Uniunii; subliniază, în acest context, că </w:t>
            </w:r>
            <w:r>
              <w:rPr>
                <w:b/>
                <w:i/>
              </w:rPr>
              <w:t>este important ca aceste instrumente</w:t>
            </w:r>
            <w:r>
              <w:t xml:space="preserve"> să </w:t>
            </w:r>
            <w:r>
              <w:rPr>
                <w:b/>
                <w:i/>
              </w:rPr>
              <w:t>fie implementate utilizând o abordare centrată pe factorul uman</w:t>
            </w:r>
            <w:r>
              <w:t>;</w:t>
            </w:r>
          </w:p>
        </w:tc>
        <w:tc>
          <w:tcPr>
            <w:tcW w:w="4876" w:type="dxa"/>
            <w:tcBorders>
              <w:top w:val="nil"/>
              <w:left w:val="nil"/>
              <w:bottom w:val="nil"/>
              <w:right w:val="nil"/>
            </w:tcBorders>
          </w:tcPr>
          <w:p>
            <w:pPr>
              <w:pStyle w:val="Normal6a"/>
            </w:pPr>
            <w:r>
              <w:t>13.</w:t>
            </w:r>
            <w:r>
              <w:tab/>
            </w:r>
            <w:r>
              <w:t xml:space="preserve">solicită ca instrumentele de IA să fie utilizate pentru a sprijini monitorizarea și punerea în aplicare a legislației Uniunii care a fost deja adoptată, </w:t>
            </w:r>
            <w:r>
              <w:rPr>
                <w:b/>
                <w:i/>
              </w:rPr>
              <w:t>contribuind la identificarea actelor</w:t>
            </w:r>
            <w:r>
              <w:t xml:space="preserve"> juridice naționale și regionale care necesită modificări și detectând potențialele inconsecvențe, suprapuneri sau riscuri de fragmentare juridică, cu scopul de a îmbunătăți astfel coerența juridică </w:t>
            </w:r>
            <w:r>
              <w:rPr>
                <w:b/>
                <w:i/>
              </w:rPr>
              <w:t>și a reduce costurile la diferite niveluri</w:t>
            </w:r>
            <w:r>
              <w:t xml:space="preserve"> de guvernanță, de a </w:t>
            </w:r>
            <w:r>
              <w:rPr>
                <w:b/>
                <w:i/>
              </w:rPr>
              <w:t>contribui la identificarea lacunelor</w:t>
            </w:r>
            <w:r>
              <w:t xml:space="preserve"> în materie de punere în aplicare în statele membre și de a îmbunătăți eficacitatea și previzibilitatea dreptului </w:t>
            </w:r>
            <w:r>
              <w:rPr>
                <w:b/>
                <w:i/>
              </w:rPr>
              <w:t>UE;</w:t>
            </w:r>
            <w:r>
              <w:t xml:space="preserve"> </w:t>
            </w:r>
            <w:r>
              <w:rPr>
                <w:b/>
                <w:i/>
              </w:rPr>
              <w:t xml:space="preserve">subliniază că instrumentele de IA pot sprijini, de asemenea, elaborarea de politici bazate pe date concrete, eforturile de simplificare și evaluarea ex post a legislației Uniunii, inclusiv prin reducerea sarcinilor administrative disproporționate care afectează cetățenii, întreprinderile și administrațiile publice; </w:t>
            </w:r>
            <w:r>
              <w:t xml:space="preserve">subliniază, în acest context, </w:t>
            </w:r>
            <w:r>
              <w:rPr>
                <w:b/>
                <w:i/>
              </w:rPr>
              <w:t>importanța unei supravegheri umane riguroase atunci când sunt utilizate astfel de instrumente;</w:t>
            </w:r>
            <w:r>
              <w:rPr>
                <w:b/>
                <w:i/>
              </w:rPr>
              <w:t xml:space="preserve"> subliniază că sistemele de IA nu trebuie să înlocuiască niciodată responsabilitatea politică sau răspunderea democratică a ființelor umane;</w:t>
            </w:r>
          </w:p>
        </w:tc>
      </w:tr>
    </w:tbl>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13a.</w:t>
            </w:r>
            <w:r>
              <w:tab/>
            </w:r>
            <w:r>
              <w:rPr>
                <w:b/>
                <w:i/>
              </w:rPr>
              <w:t>solicită Comisiei și statelor membre să asigure o implementare uniformă, proporțională și coerentă a cadrului UE privind IA, într-un mod care să sprijine inovarea și competitivitatea, respectând totodată pe deplin drepturile fundamentale, precum și drepturile de proprietate intelectuală și normele privind drepturile de autor, și evitând sarcinile administrative inutile, suprapunerea obligațiilor de raportare și măsurile naționale de suprareglementare care ar putea fragmenta piața internă și împiedica extinderea la scară largă a soluțiilor europene de IA de încredere;</w:t>
            </w:r>
          </w:p>
        </w:tc>
      </w:tr>
    </w:tbl>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solicită să se analizeze suprapunerile, lacunele și inconsecvențele dintre numeroasele instrumente legislative și de politică legate de IA și punerea lor în aplicare, pentru a reduce fragmentarea și a </w:t>
            </w:r>
            <w:r>
              <w:rPr>
                <w:b/>
                <w:i/>
              </w:rPr>
              <w:t>asigura</w:t>
            </w:r>
            <w:r>
              <w:t xml:space="preserve"> o aplicare coerentă în toate domeniile sectoriale, inclusiv o implementare coerentă la nivel instituțional;</w:t>
            </w:r>
          </w:p>
        </w:tc>
        <w:tc>
          <w:tcPr>
            <w:tcW w:w="4876" w:type="dxa"/>
            <w:tcBorders>
              <w:top w:val="nil"/>
              <w:left w:val="nil"/>
              <w:bottom w:val="nil"/>
              <w:right w:val="nil"/>
            </w:tcBorders>
          </w:tcPr>
          <w:p>
            <w:pPr>
              <w:pStyle w:val="Normal6a"/>
            </w:pPr>
            <w:r>
              <w:t>14.</w:t>
            </w:r>
            <w:r>
              <w:tab/>
            </w:r>
            <w:r>
              <w:t xml:space="preserve">solicită să se analizeze suprapunerile, lacunele și inconsecvențele dintre numeroasele instrumente legislative și de politică legate de IA și punerea lor în aplicare, pentru a reduce fragmentarea și a </w:t>
            </w:r>
            <w:r>
              <w:rPr>
                <w:b/>
                <w:i/>
              </w:rPr>
              <w:t>evita sarcinile excesive, asigurând totodată</w:t>
            </w:r>
            <w:r>
              <w:t xml:space="preserve"> o aplicare coerentă în toate domeniile sectoriale, inclusiv o implementare coerentă la nivel instituțional;</w:t>
            </w:r>
          </w:p>
        </w:tc>
      </w:tr>
    </w:tbl>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subliniază că activitatea analitică desfășurată în cadrul Parlamentului, inclusiv de Observatorul pentru IA propus de Parlamentul European, ar putea contribui la identificarea lacunelor, suprapunerilor și inconsecvențelor transsectoriale din cadrul juridic mai larg al Uniunii în domeniul IA;</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[Mutat la alineatul (11) litera (a)]</w:t>
            </w:r>
          </w:p>
        </w:tc>
      </w:tr>
    </w:tbl>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subliniază că Observatorul pentru IA al Parlamentului European ar putea contribui la monitorizarea guvernanței instituționale a IA, a responsabilității și a explicabilității, precum și a implicațiilor sistemelor de IA implementate în cadrul instituției și ar putea sprijini acțiunile întreprinse de Parlament ca urmare a concluziilor pertinente ale Consiliului;</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[Mutat la alineatul (11) litera (b)]</w:t>
            </w:r>
          </w:p>
        </w:tc>
      </w:tr>
    </w:tbl>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solicită președintelui Consiliului IA să invite Observatorul pentru IA al Parlamentului European, odată ce a fost înființat, la reuniunile consiliului pentru a asigura controlul parlamentar și coerența interinstituțională în politica Uniunii în domeniul IA;</w:t>
            </w:r>
          </w:p>
        </w:tc>
        <w:tc>
          <w:tcPr>
            <w:tcW w:w="4876" w:type="dxa"/>
            <w:tcBorders>
              <w:top w:val="nil"/>
              <w:left w:val="nil"/>
              <w:bottom w:val="nil"/>
              <w:right w:val="nil"/>
            </w:tcBorders>
          </w:tcPr>
          <w:p>
            <w:pPr>
              <w:pStyle w:val="Normal6a"/>
            </w:pPr>
            <w:r>
              <w:rPr>
                <w:b/>
                <w:i/>
              </w:rPr>
              <w:t>eliminat</w:t>
            </w:r>
          </w:p>
        </w:tc>
      </w:tr>
    </w:tbl>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subliniază că cooperarea consolidată în domeniul guvernanței IA între </w:t>
            </w:r>
            <w:r>
              <w:rPr>
                <w:b/>
                <w:i/>
              </w:rPr>
              <w:t>Parlament</w:t>
            </w:r>
            <w:r>
              <w:t xml:space="preserve">, parlamentele naționale și autoritățile naționale competente, în conformitate cu articolul 70 din Regulamentul privind </w:t>
            </w:r>
            <w:r>
              <w:rPr>
                <w:b/>
                <w:i/>
              </w:rPr>
              <w:t>inteligența artificială</w:t>
            </w:r>
            <w:r>
              <w:t xml:space="preserve">, este esențială pentru a face schimb de bune practici, a îmbunătăți coerența legislativă și a sprijini controlul parlamentar al implementării IA în întreaga </w:t>
            </w:r>
            <w:r>
              <w:rPr>
                <w:b/>
                <w:i/>
              </w:rPr>
              <w:t>Uniune</w:t>
            </w:r>
            <w:r>
              <w:t>;</w:t>
            </w:r>
          </w:p>
        </w:tc>
        <w:tc>
          <w:tcPr>
            <w:tcW w:w="4876" w:type="dxa"/>
            <w:tcBorders>
              <w:top w:val="nil"/>
              <w:left w:val="nil"/>
              <w:bottom w:val="nil"/>
              <w:right w:val="nil"/>
            </w:tcBorders>
          </w:tcPr>
          <w:p>
            <w:pPr>
              <w:pStyle w:val="Normal6a"/>
            </w:pPr>
            <w:r>
              <w:t>18.</w:t>
            </w:r>
            <w:r>
              <w:tab/>
            </w:r>
            <w:r>
              <w:t xml:space="preserve">subliniază că cooperarea consolidată în domeniul guvernanței IA între </w:t>
            </w:r>
            <w:r>
              <w:rPr>
                <w:b/>
                <w:i/>
              </w:rPr>
              <w:t>Parlamentul European</w:t>
            </w:r>
            <w:r>
              <w:t xml:space="preserve">, parlamentele naționale și autoritățile naționale competente, </w:t>
            </w:r>
            <w:r>
              <w:rPr>
                <w:b/>
                <w:i/>
              </w:rPr>
              <w:t>instituită</w:t>
            </w:r>
            <w:r>
              <w:t xml:space="preserve"> în conformitate cu articolul 70 din Regulamentul privind </w:t>
            </w:r>
            <w:r>
              <w:rPr>
                <w:b/>
                <w:i/>
              </w:rPr>
              <w:t>IA</w:t>
            </w:r>
            <w:r>
              <w:t>, este esențială pentru a face schimb de bune practici, a îmbunătăți coerența legislativă</w:t>
            </w:r>
            <w:r>
              <w:rPr>
                <w:b/>
                <w:i/>
              </w:rPr>
              <w:t>, a contribui la identificarea și eliminarea suprapunerilor și a formalităților administrative inutile</w:t>
            </w:r>
            <w:r>
              <w:t xml:space="preserve"> și a sprijini controlul parlamentar al implementării IA în întreaga </w:t>
            </w:r>
            <w:r>
              <w:rPr>
                <w:b/>
                <w:i/>
              </w:rPr>
              <w:t>UE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solicită o evaluare parlamentară sistematică a riscurilor legate de IA pentru procesele democratice, inclusiv pentru integritatea electorală, și </w:t>
            </w:r>
            <w:r>
              <w:rPr>
                <w:b/>
                <w:i/>
              </w:rPr>
              <w:t>ca Observatorul</w:t>
            </w:r>
            <w:r>
              <w:t xml:space="preserve"> pentru IA </w:t>
            </w:r>
            <w:r>
              <w:rPr>
                <w:b/>
                <w:i/>
              </w:rPr>
              <w:t>al Parlamentului European să sprijine monitorizarea alegerilor și a partidelor politice europene</w:t>
            </w:r>
            <w:r>
              <w:t>, având în vedere că IA modelează din ce în ce mai mult comunicarea politică, procesele electorale, discursul public și procesul decizional;</w:t>
            </w:r>
          </w:p>
        </w:tc>
        <w:tc>
          <w:tcPr>
            <w:tcW w:w="4876" w:type="dxa"/>
            <w:tcBorders>
              <w:top w:val="nil"/>
              <w:left w:val="nil"/>
              <w:bottom w:val="nil"/>
              <w:right w:val="nil"/>
            </w:tcBorders>
          </w:tcPr>
          <w:p>
            <w:pPr>
              <w:pStyle w:val="Normal6a"/>
            </w:pPr>
            <w:r>
              <w:t>19.</w:t>
            </w:r>
            <w:r>
              <w:tab/>
            </w:r>
            <w:r>
              <w:t xml:space="preserve">solicită o evaluare parlamentară sistematică a riscurilor legate de IA pentru procesele democratice, inclusiv pentru integritatea electorală, </w:t>
            </w:r>
            <w:r>
              <w:rPr>
                <w:b/>
                <w:i/>
              </w:rPr>
              <w:t>libertățile fundamentale</w:t>
            </w:r>
            <w:r>
              <w:t xml:space="preserve"> și </w:t>
            </w:r>
            <w:r>
              <w:rPr>
                <w:b/>
                <w:i/>
              </w:rPr>
              <w:t>dreptul la viață privată, precum și sprijin parlamentar</w:t>
            </w:r>
            <w:r>
              <w:t xml:space="preserve"> pentru </w:t>
            </w:r>
            <w:r>
              <w:rPr>
                <w:b/>
                <w:i/>
              </w:rPr>
              <w:t>analizarea evoluțiilor relevante din domeniul</w:t>
            </w:r>
            <w:r>
              <w:t xml:space="preserve"> IA </w:t>
            </w:r>
            <w:r>
              <w:rPr>
                <w:b/>
                <w:i/>
              </w:rPr>
              <w:t>care afectează procesele democratice, inclusiv utilizarea IA în comunicarea politică și în discursul public</w:t>
            </w:r>
            <w:r>
              <w:t xml:space="preserve">, având în vedere că </w:t>
            </w:r>
            <w:r>
              <w:rPr>
                <w:b/>
                <w:i/>
              </w:rPr>
              <w:t>aplicațiile bazate pe</w:t>
            </w:r>
            <w:r>
              <w:t xml:space="preserve"> IA modelează din ce în ce mai mult comunicarea politică, procesele electorale, discursul public și procesul decizional</w:t>
            </w:r>
            <w:r>
              <w:rPr>
                <w:b/>
                <w:i/>
              </w:rPr>
              <w:t>, inclusiv prin deepfake-uri, conținut media sintetic și campanii coordonate de dezinformare;</w:t>
            </w:r>
            <w:r>
              <w:rPr>
                <w:b/>
                <w:i/>
              </w:rPr>
              <w:t xml:space="preserve"> subliniază necesitatea de a asigura respectarea obligațiilor de transparență prevăzute de Regulamentul privind IA în ceea ce privește conținutul generat de IA în acest sens; </w:t>
            </w:r>
            <w:r>
              <w:rPr>
                <w:b/>
                <w:i/>
              </w:rPr>
              <w:t>recunoaște că IA poate, de asemenea, să consolideze participarea democratică, să îmbunătățească accesul la informație și să întărească elaborarea de politici bazate pe date concrete, subliniind totodată necesitatea de a garanta că utilizarea sa rămâne transparentă, responsabilă și conformă cu dreptul UE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subliniază că evoluția rapidă a peisajului de guvernanță al Uniunii, în special ca răspuns la transformarea digitală, la IA și la cadrele de reglementare din ce în ce mai complexe, pune treptat la încercare caracterul adecvat al dispozițiilor existente ale tratatului care reglementează competențele instituționale, responsabilitatea democratică și controlul parlamentar;</w:t>
            </w:r>
          </w:p>
        </w:tc>
        <w:tc>
          <w:tcPr>
            <w:tcW w:w="4876" w:type="dxa"/>
            <w:tcBorders>
              <w:top w:val="nil"/>
              <w:left w:val="nil"/>
              <w:bottom w:val="nil"/>
              <w:right w:val="nil"/>
            </w:tcBorders>
          </w:tcPr>
          <w:p>
            <w:pPr>
              <w:pStyle w:val="Normal6a"/>
            </w:pPr>
            <w:r>
              <w:t>21.</w:t>
            </w:r>
            <w:r>
              <w:tab/>
            </w:r>
            <w:r>
              <w:t>subliniază că evoluția rapidă a peisajului de guvernanță al Uniunii, în special ca răspuns la transformarea digitală, la IA și la cadrele de reglementare din ce în ce mai complexe, pune treptat la încercare caracterul adecvat al dispozițiilor existente ale tratatului care reglementează competențele instituționale, responsabilitatea democratică și controlul parlamentar</w:t>
            </w:r>
            <w:r>
              <w:rPr>
                <w:b/>
                <w:i/>
              </w:rPr>
              <w:t>, evidențiind totodată necesitatea de a asigura transparența și de a reduce complexitatea normativă</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21a.</w:t>
            </w:r>
            <w:r>
              <w:tab/>
            </w:r>
            <w:r>
              <w:rPr>
                <w:b/>
                <w:i/>
              </w:rPr>
              <w:t>subliniază că, pe termen scurt și mediu, progresul rapid al evoluțiilor din domeniul IA se reflectă la nivel de reglementare în Regulamentul privind IA recent adoptat, care nu este încă pe deplin aplicabil și al cărui impact nu a fost încă pe deplin observat; subliniază că cele mai recente progrese în domeniul IA sunt abordate de asemenea în detaliu în propunerea de regulament omnibus în domeniul digital privind IA, ca răspuns la necesitatea de a simplifica și clarifica anumite dispoziții ale Regulamentului privind IA printr-o serie de măsuri specifice menite să asigure punerea sa în aplicare la timp, fluidă și proporțională; subliniază că regulamentul omnibus în domeniul digital privind IA reflectă necesitatea de a se adapta la ritmul rapid de dezvoltare a IA și de a garanta că cadrul juridic al UE favorizează un mediu eficient și competitiv pentru organizațiile care își desfășoară activitatea în UE; reamintește propunerea separată de regulament omnibus în domeniul digital, care clarifică și mai mult modul în care datele cu caracter personal pot fi utilizate pentru antrenarea și dezvoltarea IA; subliniază, în acest context, necesitatea de a pune în aplicare și de a asigura respectarea Regulamentului privind IA și a restului cadrului legislativ al UE în domeniul digital și, acolo unde este necesar, de a-l actualiza în lumina evoluțiilor tehnologice, evitând totodată sarcinile administrative inutile, suprapunerea obligațiilor de raportare și măsurile naționale de suprareglementare care ar putea fragmenta piața internă și împiedica extinderea la scară largă a soluțiilor europene de IA de încredere; subliniază necesitatea unei abordări transparente în această privință;</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ANEXĂ: DECLARAȚIE PRIVIND CONTRIBUȚIILE</w:t>
      </w:r>
    </w:p>
    <w:p>
      <w:pPr>
        <w:pStyle w:val="Normal12a"/>
      </w:pPr>
      <w:r>
        <w:rPr>
          <w:rStyle w:val="HideTWBExt"/>
        </w:rPr>
        <w:t>&lt;FootprintIntro&gt;</w:t>
      </w:r>
      <w:r>
        <w:rPr>
          <w:rStyle w:val="HideTWBExt"/>
        </w:rPr>
        <w:t>&lt;/FootprintIntro&gt;</w:t>
      </w:r>
    </w:p>
    <w:p>
      <w:pPr>
        <w:pStyle w:val="Normal12a"/>
      </w:pPr>
      <w:r>
        <w:t>În conformitate cu articolul 8 din anexa I la Regulamentul de procedură, raportorul declară că a inclus în raportul său contribuții privind aspecte care țin de subiectul dosarului, pe care le-a primit pentru elaborarea proiectului de raport de la următorii reprezentanți de interese care intră sub incidența Acordului interinstituțional privind un registru de transparență obligatoriu</w:t>
      </w:r>
      <w:r>
        <w:rPr>
          <w:rStyle w:val="FootnoteReference"/>
        </w:rPr>
        <w:footnoteReference w:customMarkFollows="1" w:id="2"/>
        <w:t xml:space="preserve">1</w:t>
      </w:r>
      <w:r>
        <w:t xml:space="preserve"> sau de la următorii reprezentanți ai autorităților publice din țările terțe, inclusiv misiuni diplomatice și ambasade ale acestora: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Reprezentanți de interese care intră sub incidența Acordului interinstituțional privind un registru de transparență obligatoriu</w:t>
            </w:r>
          </w:p>
        </w:tc>
      </w:tr>
      <w:tr>
        <w:tblPrEx>
          <w:tblW w:w="0" w:type="auto"/>
          <w:tblLayout w:type="fixed"/>
          <w:tblCellMar>
            <w:left w:w="140" w:type="dxa"/>
            <w:right w:w="140" w:type="dxa"/>
          </w:tblCellMar>
        </w:tblPrEx>
        <w:tc>
          <w:tcPr>
            <w:tcW w:w="9080" w:type="dxa"/>
          </w:tcPr>
          <w:p>
            <w:r>
              <w:t>Pour Demain Europe TI 172933491707-16</w:t>
            </w:r>
          </w:p>
        </w:tc>
      </w:tr>
    </w:tbl>
    <w:p/>
    <w:p>
      <w:pPr>
        <w:pStyle w:val="Normal12a"/>
      </w:pPr>
      <w:r>
        <w:t>Raportorul elaborează lista de mai sus pe propria răspundere.</w:t>
      </w:r>
    </w:p>
    <w:p>
      <w:pPr>
        <w:pStyle w:val="Normal12a"/>
      </w:pPr>
      <w:r>
        <w:t>Dacă în listă sunt identificate persoane fizice prin numele sau funcția lor ori prin ambele, raportorul declară că a transmis persoanelor fizice în cauză Avizul nr. 484 al Parlamentului European privind protecția datelor (</w:t>
      </w:r>
      <w:hyperlink r:id="rId9" w:tgtFrame="https://www.europarl.europa.eu/data-protect/index.do" w:history="1">
        <w:r>
          <w:rPr>
            <w:rStyle w:val="Hyperlink"/>
          </w:rPr>
          <w:t>https://www.europarl.europa.eu/data-protect/index.do</w:t>
        </w:r>
      </w:hyperlink>
      <w:r>
        <w:t>), în care sunt stabilite condițiile în care sunt prelucrate datele lor cu caracter personal, precum și drepturile legate de prelucrarea respectivă.</w:t>
      </w:r>
    </w:p>
    <w:p>
      <w:pPr>
        <w:sectPr>
          <w:footnotePr>
            <w:numRestart w:val="eachSect"/>
          </w:footnotePr>
          <w:type w:val="nextPage"/>
          <w:pgSz w:w="11909" w:h="16834"/>
          <w:pgMar w:top="1134" w:right="1417" w:bottom="1417" w:left="1417" w:header="1134" w:footer="567"/>
          <w:cols w:space="720"/>
        </w:sectPr>
      </w:pPr>
    </w:p>
    <w:p>
      <w:pPr>
        <w:pStyle w:val="PageHeadingNotTOC"/>
      </w:pPr>
      <w:r>
        <w:t>INFORMAȚII PRIVIND ADOPTAREA DE CĂTRE COMISIA SESIZATĂ PENTRU AVIZ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Data adoptării</w:t>
            </w:r>
          </w:p>
        </w:tc>
        <w:tc>
          <w:tcPr>
            <w:tcW w:w="6400" w:type="dxa"/>
            <w:tcBorders>
              <w:left w:val="dotted" w:sz="4" w:space="0" w:color="auto"/>
            </w:tcBorders>
          </w:tcPr>
          <w:p>
            <w:pPr>
              <w:pStyle w:val="ProcedureTable"/>
            </w:pPr>
            <w:r>
              <w:t>24.6.2026</w:t>
            </w:r>
          </w:p>
        </w:tc>
      </w:tr>
      <w:tr>
        <w:tblPrEx>
          <w:tblW w:w="0" w:type="auto"/>
          <w:tblLayout w:type="fixed"/>
          <w:tblCellMar>
            <w:left w:w="140" w:type="dxa"/>
            <w:right w:w="140" w:type="dxa"/>
          </w:tblCellMar>
        </w:tblPrEx>
        <w:tc>
          <w:tcPr>
            <w:tcW w:w="3600" w:type="dxa"/>
          </w:tcPr>
          <w:p>
            <w:pPr>
              <w:pStyle w:val="ProcedureTableBold"/>
            </w:pPr>
            <w:r>
              <w:t>Rezultatul votului final</w:t>
            </w:r>
          </w:p>
        </w:tc>
        <w:tc>
          <w:tcPr>
            <w:tcW w:w="6400" w:type="dxa"/>
            <w:tcBorders>
              <w:left w:val="dotted" w:sz="4" w:space="0" w:color="auto"/>
            </w:tcBorders>
          </w:tcPr>
          <w:p>
            <w:r>
              <w:t>+</w:t>
            </w:r>
            <w:r>
              <w:tab/>
            </w:r>
            <w:r>
              <w:t>:</w:t>
            </w:r>
            <w:r>
              <w:tab/>
            </w:r>
            <w:r>
              <w:t>66</w:t>
            </w:r>
          </w:p>
          <w:p>
            <w:r>
              <w:t>-</w:t>
            </w:r>
            <w:r>
              <w:tab/>
            </w:r>
            <w:r>
              <w:t>:</w:t>
            </w:r>
            <w:r>
              <w:tab/>
            </w:r>
            <w:r>
              <w:t>0</w:t>
            </w:r>
          </w:p>
          <w:p>
            <w:r>
              <w:t>0</w:t>
            </w:r>
            <w:r>
              <w:tab/>
            </w:r>
            <w:r>
              <w:t>:</w:t>
            </w:r>
            <w:r>
              <w:tab/>
            </w:r>
            <w:r>
              <w:t>4</w:t>
            </w:r>
          </w:p>
        </w:tc>
      </w:tr>
    </w:tbl>
    <w:p>
      <w:pPr>
        <w:sectPr>
          <w:type w:val="nextPage"/>
          <w:pgSz w:w="11909" w:h="16834"/>
          <w:pgMar w:top="1134" w:right="1417" w:bottom="1417" w:left="1417" w:header="1134" w:footer="567"/>
          <w:cols w:space="720"/>
        </w:sectPr>
      </w:pPr>
    </w:p>
    <w:p>
      <w:pPr>
        <w:pStyle w:val="PageHeadingNotTOC"/>
      </w:pPr>
      <w:r>
        <w:t xml:space="preserve">VOT FINAL PRIN APEL NOMINAL </w:t>
        <w:br/>
        <w:t>DE CĂTRE COMISIA SESIZATĂ PENTRU AVIZ</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66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Alessandro Ciriani, Geadis Geadi, Paolo Inselvini, Assita Kanko, Georgiana Teodorescu, Maciej Wasik</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Erik Kalinák</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Georgios Aftias, Krzysztof Brejza, Caterina Chinnici, Paulo Cunha, Lena Düpont, Loucas Fourlas, Ondrej Kolár, Marie-Sophie Lanig, Jeroen Lenaers, Verena Mertens, Ana Miguel Pedro, Emil Radev, Karlo Ressler, Bartlomiej Sienkiewicz, Tomas Tobé, Loránt Vincze, Isabel Wiseler-Lima, Javier Zarzalejos, Tomás Zdechovský</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Jaroslav Bzoch, Mélanie Disdier, Marieke Ehlers, Catherine Griset, András László, Fabrice Leggeri, António Tânger Corrêa, Tom Vandendriessche</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Malik Azmani, Veronika Cifrová Ostrihonová, Raquel García Hermida-Van Der Walle, Fabienne Keller, Moritz Körner, Michael McNamara, Marjan Sarec, Hilde Vautmans, Lucia Yar</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Vytenis Povilas Andriukaitis, Francisco Assis, Katarina Barley, Hannes Heide, Alicia Homs Ginel, Evin Incir, Murielle Laurent, Ana Catarina Mendes, Birgit Sippel, Krzysztof Smiszek, Cecilia Strada, Kristian Vigenin, Alessandro Zan</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Giuseppe Antoci, Pernando Barrena Arza, Gaetano Pedulla', Ilaria Salis</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Jaume Asens Llodrà, Saskia Bricmont, Mélissa Camara, Markéta Gregorová, Leoluca Orlando, Tineke Strik</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Alexander Sell, Milan Uhrík, Roberto Vannacci</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Jorge Buxadé Villalba</w:t>
            </w:r>
          </w:p>
        </w:tc>
      </w:tr>
    </w:tbl>
    <w:p/>
    <w:p>
      <w:r>
        <w:t>Legenda simbolurilor utilizate:</w:t>
      </w:r>
    </w:p>
    <w:p>
      <w:pPr>
        <w:pStyle w:val="NormalTab"/>
      </w:pPr>
      <w:r>
        <w:t>+</w:t>
      </w:r>
      <w:r>
        <w:t xml:space="preserve">  :  </w:t>
      </w:r>
      <w:r>
        <w:t>pentru</w:t>
      </w:r>
    </w:p>
    <w:p>
      <w:pPr>
        <w:pStyle w:val="NormalTab"/>
      </w:pPr>
      <w:r>
        <w:t>-</w:t>
      </w:r>
      <w:r>
        <w:t xml:space="preserve">  :  </w:t>
      </w:r>
      <w:r>
        <w:t>împotrivă</w:t>
      </w:r>
    </w:p>
    <w:p>
      <w:pPr>
        <w:pStyle w:val="NormalTab"/>
      </w:pPr>
      <w:r>
        <w:t>0</w:t>
      </w:r>
      <w:r>
        <w:t xml:space="preserve">  :  </w:t>
      </w:r>
      <w:r>
        <w:t>abțineri</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787.655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28</w:t>
    </w:r>
    <w:r>
      <w:fldChar w:fldCharType="end"/>
    </w:r>
    <w:r>
      <w:t>/</w:t>
    </w:r>
    <w:r>
      <w:fldChar w:fldCharType="begin"/>
    </w:r>
    <w:r>
      <w:instrText xml:space="preserve"> NUMPAGES </w:instrText>
    </w:r>
    <w:r>
      <w:fldChar w:fldCharType="separate"/>
    </w:r>
    <w:r>
      <w:t>29</w:t>
    </w:r>
    <w:r>
      <w:fldChar w:fldCharType="end"/>
    </w:r>
    <w:r>
      <w:tab/>
    </w:r>
    <w:r>
      <w:rPr>
        <w:rStyle w:val="HideTWBExt"/>
      </w:rPr>
      <w:t>&lt;PathFdR&gt;</w:t>
    </w:r>
    <w:r>
      <w:t>AD\1346087RO.docx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AD\1346087RO.docx</w:t>
    </w:r>
    <w:r>
      <w:rPr>
        <w:rStyle w:val="HideTWBExt"/>
      </w:rPr>
      <w:t>&lt;/PathFdR&gt;</w:t>
    </w:r>
    <w:r>
      <w:tab/>
    </w:r>
    <w:r>
      <w:fldChar w:fldCharType="begin"/>
    </w:r>
    <w:r>
      <w:instrText xml:space="preserve"> PAGE </w:instrText>
    </w:r>
    <w:r>
      <w:fldChar w:fldCharType="separate"/>
    </w:r>
    <w:r>
      <w:t>29</w:t>
    </w:r>
    <w:r>
      <w:fldChar w:fldCharType="end"/>
    </w:r>
    <w:r>
      <w:t>/</w:t>
    </w:r>
    <w:r>
      <w:fldChar w:fldCharType="begin"/>
    </w:r>
    <w:r>
      <w:instrText xml:space="preserve"> NUMPAGES </w:instrText>
    </w:r>
    <w:r>
      <w:fldChar w:fldCharType="separate"/>
    </w:r>
    <w:r>
      <w:t>29</w:t>
    </w:r>
    <w:r>
      <w:fldChar w:fldCharType="end"/>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AD\1346087RO.docx</w:t>
    </w:r>
    <w:r>
      <w:rPr>
        <w:rStyle w:val="HideTWBExt"/>
      </w:rPr>
      <w:t>&lt;/PathFdR&gt;</w:t>
    </w:r>
    <w:r>
      <w:tab/>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Acordul interinstituțional din 20 mai 2021 dintre Parlamentul European, Consiliul Uniunii Europene și Comisia Europeană privind un registru de transparență obligatoriu (JO L 207, 11.6.2021,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29</Pages>
  <Words>6331</Words>
  <Characters>40384</Characters>
  <Application>Microsoft Office Word</Application>
  <DocSecurity>0</DocSecurity>
  <Lines>1</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1346087</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566227</vt:lpwstr>
  </property>
  <property fmtid="{D5CDD505-2E9C-101B-9397-08002B2CF9AE}" pid="7" name="dmxml.render.traceId">
    <vt:lpwstr>6a4e641566a2222d3aa0a9e188d79665</vt:lpwstr>
  </property>
  <property fmtid="{D5CDD505-2E9C-101B-9397-08002B2CF9AE}" pid="8" name="FooterPath">
    <vt:lpwstr>AD\1346087RO.doc</vt:lpwstr>
  </property>
  <property fmtid="{D5CDD505-2E9C-101B-9397-08002B2CF9AE}" pid="9" name="PE Number">
    <vt:lpwstr>787.655</vt:lpwstr>
  </property>
  <property fmtid="{D5CDD505-2E9C-101B-9397-08002B2CF9AE}" pid="10" name="UID">
    <vt:lpwstr>eu.europa.europarl-DIN1-2026-0000179774_01.07-ro-01.00_text-xml</vt:lpwstr>
  </property>
</Properties>
</file>