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6714F" w:rsidRPr="006F78EF" w:rsidTr="009B4410">
        <w:trPr>
          <w:trHeight w:hRule="exact" w:val="1418"/>
        </w:trPr>
        <w:tc>
          <w:tcPr>
            <w:tcW w:w="6804" w:type="dxa"/>
            <w:shd w:val="clear" w:color="auto" w:fill="auto"/>
            <w:vAlign w:val="center"/>
          </w:tcPr>
          <w:p w:rsidR="00BA3E40" w:rsidRPr="006F78EF" w:rsidRDefault="00E926E2" w:rsidP="009B4410">
            <w:pPr>
              <w:pStyle w:val="EPName"/>
            </w:pPr>
            <w:bookmarkStart w:id="0" w:name="_GoBack"/>
            <w:bookmarkEnd w:id="0"/>
            <w:r w:rsidRPr="006F78EF">
              <w:t>Parlamento Europeo</w:t>
            </w:r>
          </w:p>
          <w:p w:rsidR="00BA3E40" w:rsidRPr="006F78EF" w:rsidRDefault="00E926E2" w:rsidP="00B1755A">
            <w:pPr>
              <w:pStyle w:val="EPTerm"/>
            </w:pPr>
            <w:r w:rsidRPr="006F78EF">
              <w:t>2019-2024</w:t>
            </w:r>
          </w:p>
        </w:tc>
        <w:tc>
          <w:tcPr>
            <w:tcW w:w="2268" w:type="dxa"/>
            <w:shd w:val="clear" w:color="auto" w:fill="auto"/>
          </w:tcPr>
          <w:p w:rsidR="00BA3E40" w:rsidRPr="006F78EF" w:rsidRDefault="00E926E2" w:rsidP="009B4410">
            <w:pPr>
              <w:pStyle w:val="EPLogo"/>
            </w:pPr>
            <w:r w:rsidRPr="006F78E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F78EF" w:rsidRDefault="00F24D40" w:rsidP="00F24D40">
      <w:pPr>
        <w:pStyle w:val="LineTop"/>
      </w:pPr>
    </w:p>
    <w:p w:rsidR="00F24D40" w:rsidRPr="006F78EF" w:rsidRDefault="00E926E2" w:rsidP="00F24D40">
      <w:pPr>
        <w:pStyle w:val="EPBody"/>
      </w:pPr>
      <w:r w:rsidRPr="006F78EF">
        <w:rPr>
          <w:rStyle w:val="HideTWBExt"/>
        </w:rPr>
        <w:t>&lt;</w:t>
      </w:r>
      <w:r w:rsidRPr="006F78EF">
        <w:rPr>
          <w:rStyle w:val="HideTWBExt"/>
          <w:i w:val="0"/>
        </w:rPr>
        <w:t>Commission</w:t>
      </w:r>
      <w:r w:rsidRPr="006F78EF">
        <w:rPr>
          <w:rStyle w:val="HideTWBExt"/>
        </w:rPr>
        <w:t>&gt;</w:t>
      </w:r>
      <w:r w:rsidRPr="006F78EF">
        <w:rPr>
          <w:rStyle w:val="HideTWBInt"/>
          <w:color w:val="auto"/>
        </w:rPr>
        <w:t>{PECH}</w:t>
      </w:r>
      <w:r w:rsidRPr="006F78EF">
        <w:t>Comisión de Pesca</w:t>
      </w:r>
      <w:r w:rsidRPr="006F78EF">
        <w:rPr>
          <w:rStyle w:val="HideTWBExt"/>
        </w:rPr>
        <w:t>&lt;/</w:t>
      </w:r>
      <w:r w:rsidRPr="006F78EF">
        <w:rPr>
          <w:rStyle w:val="HideTWBExt"/>
          <w:i w:val="0"/>
        </w:rPr>
        <w:t>Commission</w:t>
      </w:r>
      <w:r w:rsidRPr="006F78EF">
        <w:rPr>
          <w:rStyle w:val="HideTWBExt"/>
        </w:rPr>
        <w:t>&gt;</w:t>
      </w:r>
    </w:p>
    <w:p w:rsidR="00F24D40" w:rsidRPr="006F78EF" w:rsidRDefault="00F24D40" w:rsidP="00F24D40">
      <w:pPr>
        <w:pStyle w:val="LineBottom"/>
      </w:pPr>
    </w:p>
    <w:p w:rsidR="00DB56E4" w:rsidRPr="006F78EF" w:rsidRDefault="00E926E2" w:rsidP="00DB56E4">
      <w:pPr>
        <w:pStyle w:val="CoverReference"/>
      </w:pPr>
      <w:r w:rsidRPr="006F78EF">
        <w:rPr>
          <w:rStyle w:val="HideTWBExt"/>
          <w:b w:val="0"/>
        </w:rPr>
        <w:t>&lt;RefProc&gt;</w:t>
      </w:r>
      <w:r w:rsidRPr="006F78EF">
        <w:t>2023/0172</w:t>
      </w:r>
      <w:r w:rsidRPr="006F78EF">
        <w:rPr>
          <w:rStyle w:val="HideTWBExt"/>
          <w:b w:val="0"/>
        </w:rPr>
        <w:t>&lt;/RefProc&gt;&lt;RefTypeProc&gt;</w:t>
      </w:r>
      <w:r w:rsidRPr="006F78EF">
        <w:t>(COD)</w:t>
      </w:r>
      <w:r w:rsidRPr="006F78EF">
        <w:rPr>
          <w:rStyle w:val="HideTWBExt"/>
          <w:b w:val="0"/>
        </w:rPr>
        <w:t>&lt;/RefTypeProc&gt;</w:t>
      </w:r>
    </w:p>
    <w:p w:rsidR="00DB56E4" w:rsidRPr="006F78EF" w:rsidRDefault="00E926E2" w:rsidP="00DB56E4">
      <w:pPr>
        <w:pStyle w:val="CoverDate"/>
      </w:pPr>
      <w:r w:rsidRPr="006F78EF">
        <w:rPr>
          <w:rStyle w:val="HideTWBExt"/>
        </w:rPr>
        <w:t>&lt;Date&gt;</w:t>
      </w:r>
      <w:r w:rsidRPr="006F78EF">
        <w:rPr>
          <w:rStyle w:val="HideTWBInt"/>
          <w:color w:val="auto"/>
        </w:rPr>
        <w:t>{29/11/2023}</w:t>
      </w:r>
      <w:r w:rsidRPr="006F78EF">
        <w:t>29.11.2023</w:t>
      </w:r>
      <w:r w:rsidRPr="006F78EF">
        <w:rPr>
          <w:rStyle w:val="HideTWBExt"/>
        </w:rPr>
        <w:t>&lt;/Date&gt;</w:t>
      </w:r>
    </w:p>
    <w:p w:rsidR="00DB56E4" w:rsidRPr="006F78EF" w:rsidRDefault="00E926E2" w:rsidP="00DB56E4">
      <w:pPr>
        <w:pStyle w:val="CoverDocType24a"/>
      </w:pPr>
      <w:r w:rsidRPr="006F78EF">
        <w:rPr>
          <w:rStyle w:val="HideTWBExt"/>
          <w:b w:val="0"/>
        </w:rPr>
        <w:t>&lt;TitreType&gt;</w:t>
      </w:r>
      <w:r w:rsidRPr="006F78EF">
        <w:t>OPINIÓN</w:t>
      </w:r>
      <w:r w:rsidRPr="006F78EF">
        <w:rPr>
          <w:rStyle w:val="HideTWBExt"/>
          <w:b w:val="0"/>
        </w:rPr>
        <w:t>&lt;/TitreType&gt;</w:t>
      </w:r>
    </w:p>
    <w:p w:rsidR="00DB56E4" w:rsidRPr="006F78EF" w:rsidRDefault="00E926E2" w:rsidP="00DB56E4">
      <w:pPr>
        <w:pStyle w:val="CoverNormal24a"/>
      </w:pPr>
      <w:r w:rsidRPr="006F78EF">
        <w:rPr>
          <w:rStyle w:val="HideTWBExt"/>
        </w:rPr>
        <w:t>&lt;CommissionResp&gt;</w:t>
      </w:r>
      <w:r w:rsidRPr="006F78EF">
        <w:t>de la Comisión de Pesca</w:t>
      </w:r>
      <w:r w:rsidRPr="006F78EF">
        <w:rPr>
          <w:rStyle w:val="HideTWBExt"/>
        </w:rPr>
        <w:t>&lt;/CommissionResp&gt;</w:t>
      </w:r>
    </w:p>
    <w:p w:rsidR="00DB56E4" w:rsidRPr="006F78EF" w:rsidRDefault="00E926E2" w:rsidP="00DB56E4">
      <w:pPr>
        <w:pStyle w:val="CoverNormal24a"/>
      </w:pPr>
      <w:r w:rsidRPr="006F78EF">
        <w:rPr>
          <w:rStyle w:val="HideTWBExt"/>
        </w:rPr>
        <w:t>&lt;CommissionInt&gt;</w:t>
      </w:r>
      <w:r w:rsidRPr="006F78EF">
        <w:t>para la Comisión de Transportes y Turismo</w:t>
      </w:r>
      <w:r w:rsidRPr="006F78EF">
        <w:rPr>
          <w:rStyle w:val="HideTWBExt"/>
        </w:rPr>
        <w:t>&lt;/CommissionInt&gt;</w:t>
      </w:r>
    </w:p>
    <w:p w:rsidR="00DB56E4" w:rsidRPr="006F78EF" w:rsidRDefault="00E926E2" w:rsidP="00DB56E4">
      <w:pPr>
        <w:pStyle w:val="CoverNormal"/>
      </w:pPr>
      <w:r w:rsidRPr="006F78EF">
        <w:rPr>
          <w:rStyle w:val="HideTWBExt"/>
        </w:rPr>
        <w:t>&lt;Titre&gt;</w:t>
      </w:r>
      <w:r w:rsidRPr="006F78EF">
        <w:t>sobre la propuesta de Directiva del Parlamento Europeo y del Consejo por la que se modifica la Directiva 2009/21/CE, sobre el cumplimiento de las obligaciones</w:t>
      </w:r>
      <w:r w:rsidRPr="006F78EF">
        <w:t xml:space="preserve"> del Estado de abanderamiento</w:t>
      </w:r>
      <w:r w:rsidRPr="006F78EF">
        <w:rPr>
          <w:rStyle w:val="HideTWBExt"/>
        </w:rPr>
        <w:t>&lt;/Titre&gt;</w:t>
      </w:r>
    </w:p>
    <w:p w:rsidR="00DB56E4" w:rsidRPr="006F78EF" w:rsidRDefault="00E926E2" w:rsidP="00DB56E4">
      <w:pPr>
        <w:pStyle w:val="CoverNormal24a"/>
      </w:pPr>
      <w:r w:rsidRPr="006F78EF">
        <w:rPr>
          <w:rStyle w:val="HideTWBExt"/>
        </w:rPr>
        <w:t>&lt;DocRef&gt;</w:t>
      </w:r>
      <w:r w:rsidRPr="006F78EF">
        <w:t>(COM(2023)272 – C9</w:t>
      </w:r>
      <w:r w:rsidRPr="006F78EF">
        <w:noBreakHyphen/>
        <w:t>0188/2023 – 2023/0172(COD))</w:t>
      </w:r>
      <w:r w:rsidRPr="006F78EF">
        <w:rPr>
          <w:rStyle w:val="HideTWBExt"/>
        </w:rPr>
        <w:t>&lt;/DocRef&gt;</w:t>
      </w:r>
    </w:p>
    <w:p w:rsidR="00DB56E4" w:rsidRPr="006F78EF" w:rsidRDefault="00E926E2" w:rsidP="00DB56E4">
      <w:pPr>
        <w:pStyle w:val="CoverNormal24a"/>
      </w:pPr>
      <w:r w:rsidRPr="006F78EF">
        <w:t xml:space="preserve">Ponente de opinión: </w:t>
      </w:r>
      <w:r w:rsidRPr="006F78EF">
        <w:rPr>
          <w:rStyle w:val="HideTWBExt"/>
        </w:rPr>
        <w:t>&lt;Depute&gt;</w:t>
      </w:r>
      <w:r w:rsidRPr="006F78EF">
        <w:t>Ana Miranda</w:t>
      </w:r>
      <w:r w:rsidRPr="006F78EF">
        <w:rPr>
          <w:rStyle w:val="HideTWBExt"/>
        </w:rPr>
        <w:t>&lt;/Depute&gt;</w:t>
      </w:r>
    </w:p>
    <w:p w:rsidR="00DB56E4" w:rsidRPr="006F78EF" w:rsidRDefault="00E926E2" w:rsidP="0004474F">
      <w:pPr>
        <w:tabs>
          <w:tab w:val="center" w:pos="4677"/>
        </w:tabs>
      </w:pPr>
      <w:r w:rsidRPr="006F78EF">
        <w:br w:type="page"/>
      </w:r>
      <w:r w:rsidRPr="006F78EF">
        <w:lastRenderedPageBreak/>
        <w:t>PA_Legam</w:t>
      </w:r>
    </w:p>
    <w:p w:rsidR="00DB56E4" w:rsidRPr="006F78EF" w:rsidRDefault="00E926E2" w:rsidP="00DB56E4">
      <w:pPr>
        <w:pStyle w:val="PageHeadingNotTOC"/>
      </w:pPr>
      <w:r w:rsidRPr="006F78EF">
        <w:br w:type="page"/>
      </w:r>
      <w:r w:rsidRPr="006F78EF">
        <w:lastRenderedPageBreak/>
        <w:t>BREVE JUSTIFICACIÓN</w:t>
      </w:r>
    </w:p>
    <w:p w:rsidR="007652EA" w:rsidRPr="006F78EF" w:rsidRDefault="00E926E2" w:rsidP="007652EA">
      <w:r w:rsidRPr="006F78EF">
        <w:t xml:space="preserve">La propuesta se integra en un paquete de medidas más amplio para el </w:t>
      </w:r>
      <w:r w:rsidRPr="006F78EF">
        <w:t xml:space="preserve">refuerzo de la seguridad marítima. </w:t>
      </w:r>
      <w:r w:rsidRPr="006F78EF">
        <w:t>Otros elementos del paquete implican modificaciones específicas para el sector pesquero, y también resulta evidente que la Directiva sobre el Estado de abanderamiento reviste una importancia vital para las comunidades pe</w:t>
      </w:r>
      <w:r w:rsidRPr="006F78EF">
        <w:t xml:space="preserve">squeras: los pabellones de conveniencia, por ejemplo, causan problemas importantes en materia de seguridad, condiciones de trabajo, trazabilidad de los productos de la pesca y condiciones de competencia equitativas. </w:t>
      </w:r>
    </w:p>
    <w:p w:rsidR="007652EA" w:rsidRPr="006F78EF" w:rsidRDefault="007652EA" w:rsidP="007652EA"/>
    <w:p w:rsidR="007652EA" w:rsidRPr="006F78EF" w:rsidRDefault="00E926E2" w:rsidP="007652EA">
      <w:r w:rsidRPr="006F78EF">
        <w:t>El paquete de seguridad marítima de</w:t>
      </w:r>
      <w:r w:rsidR="001F7B1A">
        <w:t> </w:t>
      </w:r>
      <w:r w:rsidRPr="006F78EF">
        <w:t>20</w:t>
      </w:r>
      <w:r w:rsidRPr="006F78EF">
        <w:t>09 fue en gran medida una respuesta a una serie de catástrofes marinas, entre ellas la del Prestige, que tuvo lugar en</w:t>
      </w:r>
      <w:r w:rsidR="001F7B1A">
        <w:t> </w:t>
      </w:r>
      <w:r w:rsidRPr="006F78EF">
        <w:t>2002 f</w:t>
      </w:r>
      <w:r w:rsidR="001F7B1A">
        <w:t xml:space="preserve">rente a las costas de Galicia. </w:t>
      </w:r>
      <w:r w:rsidRPr="006F78EF">
        <w:t>Fue un desastre sin precedentes en cuanto a su naturaleza y tuvo un efecto devastador en la vida ma</w:t>
      </w:r>
      <w:r w:rsidRPr="006F78EF">
        <w:t xml:space="preserve">rina, las aves y el medio ambiente en general. </w:t>
      </w:r>
      <w:r w:rsidRPr="006F78EF">
        <w:t>Esto, a su vez, afectó gravemente a todas las personas dedicadas a la pesca, en particular a los pescadores de bajura y artes</w:t>
      </w:r>
      <w:r w:rsidR="001F7B1A">
        <w:t>anales y al sector marisquero.</w:t>
      </w:r>
    </w:p>
    <w:p w:rsidR="007652EA" w:rsidRPr="006F78EF" w:rsidRDefault="007652EA" w:rsidP="007652EA"/>
    <w:p w:rsidR="007652EA" w:rsidRPr="006F78EF" w:rsidRDefault="00E926E2" w:rsidP="007652EA">
      <w:r w:rsidRPr="006F78EF">
        <w:t>La catástrofe también puso de manifiesto importan</w:t>
      </w:r>
      <w:r w:rsidRPr="006F78EF">
        <w:t>tes deficiencias en la respuesta del Gobierno español —señaladas en la Resolución del Parlamento posterior al accidente</w:t>
      </w:r>
      <w:r w:rsidRPr="006F78EF">
        <w:rPr>
          <w:rStyle w:val="FootnoteReference"/>
        </w:rPr>
        <w:footnoteReference w:id="1"/>
      </w:r>
      <w:r w:rsidRPr="006F78EF">
        <w:t>— y disparidades dentro de la Unión en materia de seguridad marítima.</w:t>
      </w:r>
      <w:r w:rsidRPr="006F78EF">
        <w:t xml:space="preserve"> En aquel momento, el Parlamento expresó su profunda preocupación </w:t>
      </w:r>
      <w:r w:rsidRPr="006F78EF">
        <w:t>por los pabellones de conveniencia, una situación remediada en cierta medida por la Directiva sobre las obligaciones d</w:t>
      </w:r>
      <w:r w:rsidR="001F7B1A">
        <w:t>el Estado de abanderamiento, de </w:t>
      </w:r>
      <w:r w:rsidRPr="006F78EF">
        <w:t>2009.</w:t>
      </w:r>
    </w:p>
    <w:p w:rsidR="007652EA" w:rsidRPr="006F78EF" w:rsidRDefault="007652EA" w:rsidP="007652EA"/>
    <w:p w:rsidR="007652EA" w:rsidRPr="006F78EF" w:rsidRDefault="00E926E2" w:rsidP="007652EA">
      <w:r w:rsidRPr="006F78EF">
        <w:t>La Comisión considera que, en general, esta Directiva de</w:t>
      </w:r>
      <w:r w:rsidR="001F7B1A">
        <w:t> </w:t>
      </w:r>
      <w:r w:rsidRPr="006F78EF">
        <w:t>2009 ha sido adecuadamente transpuesta por</w:t>
      </w:r>
      <w:r w:rsidRPr="006F78EF">
        <w:t xml:space="preserve"> los Estados miembros y ha creado unas condiciones de competencia más equitativas en el s</w:t>
      </w:r>
      <w:r w:rsidR="001F7B1A">
        <w:t xml:space="preserve">ector del transporte marítimo. </w:t>
      </w:r>
      <w:r w:rsidRPr="006F78EF">
        <w:t>Sin embargo, no se ha mantenido plenamente al día respecto a los avances en el ámbito de la OMI, y sigue habiendo incoherencias en rela</w:t>
      </w:r>
      <w:r w:rsidRPr="006F78EF">
        <w:t>ción con las inspecciones y el control.</w:t>
      </w:r>
    </w:p>
    <w:p w:rsidR="007652EA" w:rsidRPr="006F78EF" w:rsidRDefault="007652EA" w:rsidP="007652EA"/>
    <w:p w:rsidR="007652EA" w:rsidRPr="006F78EF" w:rsidRDefault="00E926E2" w:rsidP="007652EA">
      <w:r w:rsidRPr="006F78EF">
        <w:t>Por consiguiente, la propuesta de la Comisión tiene por objeto actualizar la Directiva con el fin de ajustarla más plenamente a las normas de la OMI, armonizar las inspecciones y el control, promover soluciones digi</w:t>
      </w:r>
      <w:r w:rsidRPr="006F78EF">
        <w:t>tales y mejorar la cooperación entre las autori</w:t>
      </w:r>
      <w:r w:rsidR="001F7B1A">
        <w:t xml:space="preserve">dades de los Estados miembros. </w:t>
      </w:r>
      <w:r w:rsidRPr="006F78EF">
        <w:t>La propuesta también tiene por objeto mejorar la formación en el Estado de abanderamiento.</w:t>
      </w:r>
    </w:p>
    <w:p w:rsidR="007652EA" w:rsidRPr="006F78EF" w:rsidRDefault="007652EA" w:rsidP="007652EA"/>
    <w:p w:rsidR="007652EA" w:rsidRPr="006F78EF" w:rsidRDefault="00E926E2" w:rsidP="007652EA">
      <w:r w:rsidRPr="006F78EF">
        <w:t>La ponente apoya plenamente el objetivo de la Comisión de actualizar el actual régime</w:t>
      </w:r>
      <w:r w:rsidRPr="006F78EF">
        <w:t>n legislativo y garantizar que este se mantenga plenamente ajustado</w:t>
      </w:r>
      <w:r w:rsidR="001F7B1A">
        <w:t xml:space="preserve"> a las normas internacionales. </w:t>
      </w:r>
      <w:r w:rsidRPr="006F78EF">
        <w:t>También acoge con satisfacción los esfuerzos por adoptar de modo más completo las tecnologías digitales.</w:t>
      </w:r>
    </w:p>
    <w:p w:rsidR="007652EA" w:rsidRPr="006F78EF" w:rsidRDefault="007652EA" w:rsidP="007652EA"/>
    <w:p w:rsidR="007652EA" w:rsidRPr="006F78EF" w:rsidRDefault="00E926E2" w:rsidP="007652EA">
      <w:r w:rsidRPr="006F78EF">
        <w:t>Sin embargo, también destaca resoluciones recientes</w:t>
      </w:r>
      <w:r w:rsidRPr="006F78EF">
        <w:t xml:space="preserve"> en las que el Parlamento Europeo ha seguido expresando su preocupación por el reabanderamiento y los pabellones de conveniencia</w:t>
      </w:r>
      <w:r w:rsidRPr="006F78EF">
        <w:rPr>
          <w:rStyle w:val="FootnoteReference"/>
        </w:rPr>
        <w:footnoteReference w:id="2"/>
      </w:r>
      <w:r w:rsidRPr="006F78EF">
        <w:t>. Esto sigue siendo un problema importante para el medio ambiente y, desde el punto de vista de la pesca, para quienes dependen</w:t>
      </w:r>
      <w:r w:rsidRPr="006F78EF">
        <w:t xml:space="preserve"> de ese medio </w:t>
      </w:r>
      <w:r w:rsidR="001F7B1A">
        <w:t xml:space="preserve">ambiente para su subsistencia. </w:t>
      </w:r>
      <w:r w:rsidRPr="006F78EF">
        <w:t xml:space="preserve">Estos puntos de vista se reflejan en el conjunto de la sociedad civil, por ejemplo en Galicia, </w:t>
      </w:r>
      <w:r w:rsidRPr="006F78EF">
        <w:lastRenderedPageBreak/>
        <w:t>donde la plataforma «Nunca Máis» continúa haciendo campaña a raíz de la catástrofe del Prestige para que todo el tr</w:t>
      </w:r>
      <w:r w:rsidRPr="006F78EF">
        <w:t>ansporte marítimo en aguas de la Unión cumpla las normas de la</w:t>
      </w:r>
      <w:r w:rsidR="001F7B1A">
        <w:t> </w:t>
      </w:r>
      <w:r w:rsidRPr="006F78EF">
        <w:t>OMI.</w:t>
      </w:r>
    </w:p>
    <w:p w:rsidR="007652EA" w:rsidRPr="006F78EF" w:rsidRDefault="007652EA" w:rsidP="007652EA"/>
    <w:p w:rsidR="007652EA" w:rsidRPr="006F78EF" w:rsidRDefault="00E926E2" w:rsidP="007652EA">
      <w:r w:rsidRPr="006F78EF">
        <w:t xml:space="preserve">Algunas de las rutas internacionales de navegación con mayor tráfico del mundo se encuentran en Europa, y los buques con pabellones de conveniencia que atraviesan zonas marinas sensibles </w:t>
      </w:r>
      <w:r w:rsidRPr="006F78EF">
        <w:t>como el corredor de Fisterra siguen constituyendo un problema.</w:t>
      </w:r>
    </w:p>
    <w:p w:rsidR="007652EA" w:rsidRPr="006F78EF" w:rsidRDefault="007652EA" w:rsidP="007652EA"/>
    <w:p w:rsidR="007652EA" w:rsidRPr="006F78EF" w:rsidRDefault="00E926E2" w:rsidP="007652EA">
      <w:r w:rsidRPr="006F78EF">
        <w:t xml:space="preserve">Las necesidades varían entre aguas tan diversas como el Báltico, el Mediterráneo y la costa atlántica. </w:t>
      </w:r>
      <w:r w:rsidRPr="006F78EF">
        <w:t>No obstante, todas estas zonas proporcionan sustento a comunidades que dependen de un en</w:t>
      </w:r>
      <w:r w:rsidRPr="006F78EF">
        <w:t>torno marítimo limpio, y todas dependen de un régimen de seguridad maríti</w:t>
      </w:r>
      <w:r w:rsidR="001F7B1A">
        <w:t xml:space="preserve">ma que funcione correctamente. </w:t>
      </w:r>
      <w:r w:rsidRPr="006F78EF">
        <w:t>La propuesta actual debe formar parte de un esfuerzo continuado por mejorar la labor protectora de la Unión respecto a nuestro vital entorno marino, as</w:t>
      </w:r>
      <w:r w:rsidRPr="006F78EF">
        <w:t>í como a la economía, la seguridad alimentaria y las comunidades dependientes de la pesca, la acuicultura y el marisqueo.</w:t>
      </w:r>
    </w:p>
    <w:p w:rsidR="007652EA" w:rsidRPr="006F78EF" w:rsidRDefault="007652EA" w:rsidP="007652EA"/>
    <w:p w:rsidR="007652EA" w:rsidRPr="006F78EF" w:rsidRDefault="00E926E2" w:rsidP="007652EA">
      <w:r w:rsidRPr="006F78EF">
        <w:t>Por último, la ponente lamenta el procedimiento truncado que ha tenido que</w:t>
      </w:r>
      <w:r w:rsidR="001F7B1A">
        <w:t xml:space="preserve"> afrontar la Comisión de Pesca.</w:t>
      </w:r>
      <w:r w:rsidRPr="006F78EF">
        <w:t xml:space="preserve"> Tratándose de un paquete d</w:t>
      </w:r>
      <w:r w:rsidRPr="006F78EF">
        <w:t xml:space="preserve">e tal importancia para el sector pesquero, la Comisión de Pesca debería haber recibido la posibilidad de ejercer una supervisión plena con unos plazos de tiempo razonables. </w:t>
      </w:r>
    </w:p>
    <w:p w:rsidR="00C15DBE" w:rsidRPr="006F78EF" w:rsidRDefault="00C15DBE" w:rsidP="00C15DBE"/>
    <w:p w:rsidR="00DB56E4" w:rsidRPr="006F78EF" w:rsidRDefault="00E926E2" w:rsidP="00DB56E4">
      <w:pPr>
        <w:pStyle w:val="AmHeadingPA"/>
      </w:pPr>
      <w:r w:rsidRPr="006F78EF">
        <w:t>ENMIENDAS</w:t>
      </w:r>
    </w:p>
    <w:p w:rsidR="00DB56E4" w:rsidRPr="006F78EF" w:rsidRDefault="00E926E2" w:rsidP="001E3AC4">
      <w:pPr>
        <w:pStyle w:val="Normal12a"/>
      </w:pPr>
      <w:bookmarkStart w:id="1" w:name="IntroA"/>
      <w:r w:rsidRPr="006F78EF">
        <w:t xml:space="preserve">La Comisión de Pesca pide a la Comisión de Transportes y Turismo, </w:t>
      </w:r>
      <w:r w:rsidRPr="006F78EF">
        <w:t>competente para el fondo, que tome en consideración lo siguiente:</w:t>
      </w:r>
    </w:p>
    <w:bookmarkEnd w:id="1"/>
    <w:p w:rsidR="007652EA" w:rsidRPr="006F78EF" w:rsidRDefault="00E926E2" w:rsidP="007652EA">
      <w:pPr>
        <w:pStyle w:val="AMNumberTabs0"/>
        <w:keepNext/>
        <w:rPr>
          <w:lang w:val="es-ES_tradnl"/>
        </w:rPr>
      </w:pPr>
      <w:r w:rsidRPr="006F78EF">
        <w:rPr>
          <w:rStyle w:val="HideTWBExt"/>
          <w:b w:val="0"/>
          <w:lang w:val="es-ES_tradnl"/>
        </w:rPr>
        <w:t>&lt;RepeatBlock-Amend&gt;&lt;Amend&gt;</w:t>
      </w:r>
      <w:r w:rsidRPr="006F78EF">
        <w:rPr>
          <w:lang w:val="es-ES_tradnl"/>
        </w:rPr>
        <w:t>Enmienda</w:t>
      </w:r>
      <w:r w:rsidRPr="006F78EF">
        <w:rPr>
          <w:lang w:val="es-ES_tradnl"/>
        </w:rPr>
        <w:tab/>
      </w:r>
      <w:r w:rsidRPr="006F78EF">
        <w:rPr>
          <w:lang w:val="es-ES_tradnl"/>
        </w:rPr>
        <w:tab/>
      </w:r>
      <w:r w:rsidRPr="006F78EF">
        <w:rPr>
          <w:rStyle w:val="HideTWBExt"/>
          <w:b w:val="0"/>
          <w:lang w:val="es-ES_tradnl"/>
        </w:rPr>
        <w:t>&lt;NumAm&gt;</w:t>
      </w:r>
      <w:r w:rsidRPr="006F78EF">
        <w:rPr>
          <w:lang w:val="es-ES_tradnl"/>
        </w:rPr>
        <w:t>1</w:t>
      </w:r>
      <w:r w:rsidRPr="006F78EF">
        <w:rPr>
          <w:rStyle w:val="HideTWBExt"/>
          <w:b w:val="0"/>
          <w:lang w:val="es-ES_tradnl"/>
        </w:rPr>
        <w:t>&lt;/NumAm&gt;</w:t>
      </w:r>
    </w:p>
    <w:p w:rsidR="007652EA" w:rsidRPr="006F78EF" w:rsidRDefault="00E926E2" w:rsidP="007652EA">
      <w:pPr>
        <w:pStyle w:val="NormalBold12b"/>
        <w:keepNext/>
      </w:pPr>
      <w:r w:rsidRPr="006F78EF">
        <w:rPr>
          <w:rStyle w:val="HideTWBExt"/>
          <w:b w:val="0"/>
        </w:rPr>
        <w:t>&lt;DocAmend&gt;</w:t>
      </w:r>
      <w:r w:rsidRPr="006F78EF">
        <w:t>Propuesta de Directiva</w:t>
      </w:r>
      <w:r w:rsidRPr="006F78EF">
        <w:rPr>
          <w:rStyle w:val="HideTWBExt"/>
          <w:b w:val="0"/>
        </w:rPr>
        <w:t>&lt;/DocAmend&gt;</w:t>
      </w:r>
    </w:p>
    <w:p w:rsidR="007652EA" w:rsidRPr="006F78EF" w:rsidRDefault="00E926E2" w:rsidP="007652EA">
      <w:pPr>
        <w:pStyle w:val="NormalBold"/>
      </w:pPr>
      <w:r w:rsidRPr="006F78EF">
        <w:rPr>
          <w:rStyle w:val="HideTWBExt"/>
          <w:b w:val="0"/>
        </w:rPr>
        <w:t>&lt;Article&gt;</w:t>
      </w:r>
      <w:r w:rsidRPr="006F78EF">
        <w:t>Considerando 1</w:t>
      </w:r>
      <w:r w:rsidRPr="006F78E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14F" w:rsidRPr="006F78EF" w:rsidTr="009B4410">
        <w:trPr>
          <w:jc w:val="center"/>
        </w:trPr>
        <w:tc>
          <w:tcPr>
            <w:tcW w:w="9752" w:type="dxa"/>
            <w:gridSpan w:val="2"/>
          </w:tcPr>
          <w:p w:rsidR="007652EA" w:rsidRPr="006F78EF" w:rsidRDefault="007652EA" w:rsidP="009B4410">
            <w:pPr>
              <w:keepNext/>
            </w:pPr>
          </w:p>
        </w:tc>
      </w:tr>
      <w:tr w:rsidR="00C6714F" w:rsidRPr="006F78EF" w:rsidTr="009B4410">
        <w:trPr>
          <w:jc w:val="center"/>
        </w:trPr>
        <w:tc>
          <w:tcPr>
            <w:tcW w:w="4876" w:type="dxa"/>
          </w:tcPr>
          <w:p w:rsidR="007652EA" w:rsidRPr="006F78EF" w:rsidRDefault="00E926E2" w:rsidP="009B4410">
            <w:pPr>
              <w:pStyle w:val="ColumnHeading"/>
              <w:keepNext/>
              <w:rPr>
                <w:lang w:val="es-ES_tradnl"/>
              </w:rPr>
            </w:pPr>
            <w:r w:rsidRPr="006F78EF">
              <w:rPr>
                <w:lang w:val="es-ES_tradnl"/>
              </w:rPr>
              <w:t>Texto de la Comisión</w:t>
            </w:r>
          </w:p>
        </w:tc>
        <w:tc>
          <w:tcPr>
            <w:tcW w:w="4876" w:type="dxa"/>
          </w:tcPr>
          <w:p w:rsidR="007652EA" w:rsidRPr="006F78EF" w:rsidRDefault="00E926E2" w:rsidP="009B4410">
            <w:pPr>
              <w:pStyle w:val="ColumnHeading"/>
              <w:keepNext/>
              <w:rPr>
                <w:lang w:val="es-ES_tradnl"/>
              </w:rPr>
            </w:pPr>
            <w:r w:rsidRPr="006F78EF">
              <w:rPr>
                <w:lang w:val="es-ES_tradnl"/>
              </w:rPr>
              <w:t>Enmienda</w:t>
            </w:r>
          </w:p>
        </w:tc>
      </w:tr>
      <w:tr w:rsidR="00C6714F" w:rsidRPr="006F78EF" w:rsidTr="009B4410">
        <w:trPr>
          <w:jc w:val="center"/>
        </w:trPr>
        <w:tc>
          <w:tcPr>
            <w:tcW w:w="4876" w:type="dxa"/>
          </w:tcPr>
          <w:p w:rsidR="007652EA" w:rsidRPr="006F78EF" w:rsidRDefault="00E926E2" w:rsidP="009B4410">
            <w:pPr>
              <w:pStyle w:val="Normal6"/>
              <w:rPr>
                <w:lang w:val="es-ES_tradnl"/>
              </w:rPr>
            </w:pPr>
            <w:r w:rsidRPr="006F78EF">
              <w:rPr>
                <w:lang w:val="es-ES_tradnl"/>
              </w:rPr>
              <w:t>(1)</w:t>
            </w:r>
            <w:r w:rsidRPr="006F78EF">
              <w:rPr>
                <w:lang w:val="es-ES_tradnl"/>
              </w:rPr>
              <w:tab/>
              <w:t xml:space="preserve">La seguridad del </w:t>
            </w:r>
            <w:r w:rsidRPr="006F78EF">
              <w:rPr>
                <w:b/>
                <w:i/>
                <w:lang w:val="es-ES_tradnl"/>
              </w:rPr>
              <w:t>trans</w:t>
            </w:r>
            <w:r w:rsidRPr="006F78EF">
              <w:rPr>
                <w:b/>
                <w:i/>
                <w:lang w:val="es-ES_tradnl"/>
              </w:rPr>
              <w:t>porte</w:t>
            </w:r>
            <w:r w:rsidRPr="006F78EF">
              <w:rPr>
                <w:lang w:val="es-ES_tradnl"/>
              </w:rPr>
              <w:t xml:space="preserve"> marítimo de la Unión y de los ciudadanos que </w:t>
            </w:r>
            <w:r w:rsidRPr="006F78EF">
              <w:rPr>
                <w:b/>
                <w:i/>
                <w:lang w:val="es-ES_tradnl"/>
              </w:rPr>
              <w:t>lo</w:t>
            </w:r>
            <w:r w:rsidRPr="006F78EF">
              <w:rPr>
                <w:lang w:val="es-ES_tradnl"/>
              </w:rPr>
              <w:t xml:space="preserve"> utilizan, así como la protección del medio ambiente, deben estar garantizados en todo momento.</w:t>
            </w:r>
          </w:p>
        </w:tc>
        <w:tc>
          <w:tcPr>
            <w:tcW w:w="4876" w:type="dxa"/>
          </w:tcPr>
          <w:p w:rsidR="007652EA" w:rsidRPr="006F78EF" w:rsidRDefault="00E926E2" w:rsidP="00043F5D">
            <w:pPr>
              <w:pStyle w:val="Normal6"/>
              <w:rPr>
                <w:szCs w:val="24"/>
                <w:lang w:val="es-ES_tradnl"/>
              </w:rPr>
            </w:pPr>
            <w:r w:rsidRPr="006F78EF">
              <w:rPr>
                <w:lang w:val="es-ES_tradnl"/>
              </w:rPr>
              <w:t>(1)</w:t>
            </w:r>
            <w:r w:rsidRPr="006F78EF">
              <w:rPr>
                <w:lang w:val="es-ES_tradnl"/>
              </w:rPr>
              <w:tab/>
              <w:t xml:space="preserve">La seguridad del </w:t>
            </w:r>
            <w:r w:rsidRPr="006F78EF">
              <w:rPr>
                <w:b/>
                <w:i/>
                <w:lang w:val="es-ES_tradnl"/>
              </w:rPr>
              <w:t>sector</w:t>
            </w:r>
            <w:r w:rsidRPr="006F78EF">
              <w:rPr>
                <w:lang w:val="es-ES_tradnl"/>
              </w:rPr>
              <w:t xml:space="preserve"> marítimo de la Unión</w:t>
            </w:r>
            <w:r w:rsidRPr="006F78EF">
              <w:rPr>
                <w:b/>
                <w:i/>
                <w:lang w:val="es-ES_tradnl"/>
              </w:rPr>
              <w:t>, de la gente de mar</w:t>
            </w:r>
            <w:r w:rsidRPr="006F78EF">
              <w:rPr>
                <w:lang w:val="es-ES_tradnl"/>
              </w:rPr>
              <w:t xml:space="preserve"> y de los ciudadanos que utilizan </w:t>
            </w:r>
            <w:r w:rsidRPr="006F78EF">
              <w:rPr>
                <w:b/>
                <w:i/>
                <w:lang w:val="es-ES_tradnl"/>
              </w:rPr>
              <w:t>dicho</w:t>
            </w:r>
            <w:r w:rsidRPr="006F78EF">
              <w:rPr>
                <w:b/>
                <w:i/>
                <w:lang w:val="es-ES_tradnl"/>
              </w:rPr>
              <w:t xml:space="preserve"> sector</w:t>
            </w:r>
            <w:r w:rsidRPr="006F78EF">
              <w:rPr>
                <w:lang w:val="es-ES_tradnl"/>
              </w:rPr>
              <w:t xml:space="preserve">, así como </w:t>
            </w:r>
            <w:r w:rsidRPr="006F78EF">
              <w:rPr>
                <w:b/>
                <w:i/>
                <w:lang w:val="es-ES_tradnl"/>
              </w:rPr>
              <w:t>el bienestar de los pasajeros y tripulantes y</w:t>
            </w:r>
            <w:r w:rsidRPr="006F78EF">
              <w:rPr>
                <w:lang w:val="es-ES_tradnl"/>
              </w:rPr>
              <w:t xml:space="preserve"> la protección del medio ambiente, deben estar garantizados en todo momento.</w:t>
            </w:r>
            <w:r w:rsidRPr="006F78EF">
              <w:rPr>
                <w:b/>
                <w:i/>
                <w:lang w:val="es-ES_tradnl"/>
              </w:rPr>
              <w:t xml:space="preserve"> Además, debe tenerse siempre en cuenta que innumerables puestos de trabajo y comunidades costeras dependen de esta p</w:t>
            </w:r>
            <w:r w:rsidRPr="006F78EF">
              <w:rPr>
                <w:b/>
                <w:i/>
                <w:lang w:val="es-ES_tradnl"/>
              </w:rPr>
              <w:t>rotección del medio ambiente.</w:t>
            </w:r>
          </w:p>
        </w:tc>
      </w:tr>
    </w:tbl>
    <w:p w:rsidR="007652EA" w:rsidRPr="006F78EF" w:rsidRDefault="00E926E2" w:rsidP="007652EA">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w:t>
      </w:r>
      <w:r w:rsidRPr="006F78EF">
        <w:rPr>
          <w:rStyle w:val="HideTWBExt"/>
        </w:rPr>
        <w:t>&lt;/NumAm&gt;</w:t>
      </w:r>
    </w:p>
    <w:p w:rsidR="009B4410" w:rsidRPr="006F78EF" w:rsidRDefault="00E926E2" w:rsidP="009B4410">
      <w:pPr>
        <w:pStyle w:val="NormalBold12b"/>
      </w:pPr>
      <w:r w:rsidRPr="006F78EF">
        <w:rPr>
          <w:rStyle w:val="HideTWBExt"/>
        </w:rPr>
        <w:lastRenderedPageBreak/>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1 bis (nuevo)</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9B4410" w:rsidP="009B4410">
            <w:pPr>
              <w:pStyle w:val="Normal6a"/>
            </w:pPr>
          </w:p>
        </w:tc>
        <w:tc>
          <w:tcPr>
            <w:tcW w:w="4876" w:type="dxa"/>
          </w:tcPr>
          <w:p w:rsidR="009B4410" w:rsidRPr="006F78EF" w:rsidRDefault="00E926E2" w:rsidP="009B4410">
            <w:pPr>
              <w:pStyle w:val="Normal6a"/>
            </w:pPr>
            <w:r w:rsidRPr="006F78EF">
              <w:rPr>
                <w:b/>
                <w:i/>
              </w:rPr>
              <w:t>(1 bis)</w:t>
            </w:r>
            <w:r w:rsidRPr="006F78EF">
              <w:tab/>
            </w:r>
            <w:r w:rsidRPr="006F78EF">
              <w:rPr>
                <w:b/>
                <w:i/>
              </w:rPr>
              <w:t>Debe garantizarse el bienestar de los trabajadores</w:t>
            </w:r>
            <w:r w:rsidRPr="006F78EF">
              <w:rPr>
                <w:b/>
                <w:i/>
              </w:rPr>
              <w:t xml:space="preserve"> del sector marítimo, con unas condiciones laborales justas y una protección adecuada de la gente de mar.</w:t>
            </w:r>
          </w:p>
        </w:tc>
      </w:tr>
    </w:tbl>
    <w:p w:rsidR="009B4410" w:rsidRPr="006F78EF" w:rsidRDefault="00E926E2" w:rsidP="009B4410">
      <w:pPr>
        <w:pStyle w:val="AmJustTitle"/>
      </w:pPr>
      <w:r w:rsidRPr="006F78EF">
        <w:rPr>
          <w:rStyle w:val="HideTWBExt"/>
        </w:rPr>
        <w:t>&lt;TitreJust&gt;</w:t>
      </w:r>
      <w:r w:rsidRPr="006F78EF">
        <w:t>Justificación</w:t>
      </w:r>
      <w:r w:rsidRPr="006F78EF">
        <w:rPr>
          <w:rStyle w:val="HideTWBExt"/>
        </w:rPr>
        <w:t>&lt;/TitreJust&gt;</w:t>
      </w:r>
    </w:p>
    <w:p w:rsidR="009B4410" w:rsidRPr="006F78EF" w:rsidRDefault="00E926E2" w:rsidP="009B4410">
      <w:pPr>
        <w:pStyle w:val="AmJustText"/>
      </w:pPr>
      <w:r w:rsidRPr="006F78EF">
        <w:t>La presente Directiva destaca, justificadamente, la seguridad del transporte marítimo de la Unión y la protecció</w:t>
      </w:r>
      <w:r w:rsidRPr="006F78EF">
        <w:t>n del medio ambiente. Sin embargo, podría verse mejorada mediante un reconocimiento más explícito de la importancia de unas condiciones laborales justas y del bienestar de la gente de mar, que son aspectos esenciales de las operaciones marítimas.</w:t>
      </w:r>
    </w:p>
    <w:p w:rsidR="009B4410" w:rsidRPr="006F78EF" w:rsidRDefault="00E926E2" w:rsidP="009B4410">
      <w:r w:rsidRPr="006F78EF">
        <w:rPr>
          <w:rStyle w:val="HideTWBExt"/>
        </w:rPr>
        <w:t>&lt;/Amend&gt;</w:t>
      </w:r>
    </w:p>
    <w:p w:rsidR="007652EA" w:rsidRPr="006F78EF" w:rsidRDefault="00E926E2" w:rsidP="007652EA">
      <w:pPr>
        <w:pStyle w:val="AMNumberTabs0"/>
        <w:keepNext/>
        <w:rPr>
          <w:lang w:val="es-ES_tradnl"/>
        </w:rPr>
      </w:pPr>
      <w:r w:rsidRPr="006F78EF">
        <w:rPr>
          <w:rStyle w:val="HideTWBExt"/>
          <w:b w:val="0"/>
          <w:lang w:val="es-ES_tradnl"/>
        </w:rPr>
        <w:t>&lt;Amend&gt;</w:t>
      </w:r>
      <w:r w:rsidRPr="006F78EF">
        <w:rPr>
          <w:lang w:val="es-ES_tradnl"/>
        </w:rPr>
        <w:t>Enmienda</w:t>
      </w:r>
      <w:r w:rsidRPr="006F78EF">
        <w:rPr>
          <w:lang w:val="es-ES_tradnl"/>
        </w:rPr>
        <w:tab/>
      </w:r>
      <w:r w:rsidRPr="006F78EF">
        <w:rPr>
          <w:lang w:val="es-ES_tradnl"/>
        </w:rPr>
        <w:tab/>
      </w:r>
      <w:r w:rsidRPr="006F78EF">
        <w:rPr>
          <w:rStyle w:val="HideTWBExt"/>
          <w:b w:val="0"/>
          <w:lang w:val="es-ES_tradnl"/>
        </w:rPr>
        <w:t>&lt;NumAm&gt;</w:t>
      </w:r>
      <w:r w:rsidRPr="006F78EF">
        <w:rPr>
          <w:lang w:val="es-ES_tradnl"/>
        </w:rPr>
        <w:t>3</w:t>
      </w:r>
      <w:r w:rsidRPr="006F78EF">
        <w:rPr>
          <w:rStyle w:val="HideTWBExt"/>
          <w:b w:val="0"/>
          <w:lang w:val="es-ES_tradnl"/>
        </w:rPr>
        <w:t>&lt;/NumAm&gt;</w:t>
      </w:r>
    </w:p>
    <w:p w:rsidR="007652EA" w:rsidRPr="006F78EF" w:rsidRDefault="00E926E2" w:rsidP="007652EA">
      <w:pPr>
        <w:pStyle w:val="NormalBold12b"/>
        <w:keepNext/>
      </w:pPr>
      <w:r w:rsidRPr="006F78EF">
        <w:rPr>
          <w:rStyle w:val="HideTWBExt"/>
          <w:b w:val="0"/>
        </w:rPr>
        <w:t>&lt;DocAmend&gt;</w:t>
      </w:r>
      <w:r w:rsidRPr="006F78EF">
        <w:t>Propuesta de Directiva</w:t>
      </w:r>
      <w:r w:rsidRPr="006F78EF">
        <w:rPr>
          <w:rStyle w:val="HideTWBExt"/>
          <w:b w:val="0"/>
        </w:rPr>
        <w:t>&lt;/DocAmend&gt;</w:t>
      </w:r>
    </w:p>
    <w:p w:rsidR="007652EA" w:rsidRPr="006F78EF" w:rsidRDefault="00E926E2" w:rsidP="007652EA">
      <w:pPr>
        <w:pStyle w:val="NormalBold"/>
      </w:pPr>
      <w:r w:rsidRPr="006F78EF">
        <w:rPr>
          <w:rStyle w:val="HideTWBExt"/>
          <w:b w:val="0"/>
        </w:rPr>
        <w:t>&lt;Article&gt;</w:t>
      </w:r>
      <w:r w:rsidRPr="006F78EF">
        <w:t>Considerando 2</w:t>
      </w:r>
      <w:r w:rsidRPr="006F78E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14F" w:rsidRPr="006F78EF" w:rsidTr="009B4410">
        <w:trPr>
          <w:jc w:val="center"/>
        </w:trPr>
        <w:tc>
          <w:tcPr>
            <w:tcW w:w="9752" w:type="dxa"/>
            <w:gridSpan w:val="2"/>
          </w:tcPr>
          <w:p w:rsidR="007652EA" w:rsidRPr="006F78EF" w:rsidRDefault="007652EA" w:rsidP="009B4410">
            <w:pPr>
              <w:keepNext/>
            </w:pPr>
          </w:p>
        </w:tc>
      </w:tr>
      <w:tr w:rsidR="00C6714F" w:rsidRPr="006F78EF" w:rsidTr="009B4410">
        <w:trPr>
          <w:jc w:val="center"/>
        </w:trPr>
        <w:tc>
          <w:tcPr>
            <w:tcW w:w="4876" w:type="dxa"/>
          </w:tcPr>
          <w:p w:rsidR="007652EA" w:rsidRPr="006F78EF" w:rsidRDefault="00E926E2" w:rsidP="009B4410">
            <w:pPr>
              <w:pStyle w:val="ColumnHeading"/>
              <w:keepNext/>
              <w:rPr>
                <w:lang w:val="es-ES_tradnl"/>
              </w:rPr>
            </w:pPr>
            <w:r w:rsidRPr="006F78EF">
              <w:rPr>
                <w:lang w:val="es-ES_tradnl"/>
              </w:rPr>
              <w:t>Texto de la Comisión</w:t>
            </w:r>
          </w:p>
        </w:tc>
        <w:tc>
          <w:tcPr>
            <w:tcW w:w="4876" w:type="dxa"/>
          </w:tcPr>
          <w:p w:rsidR="007652EA" w:rsidRPr="006F78EF" w:rsidRDefault="00E926E2" w:rsidP="009B4410">
            <w:pPr>
              <w:pStyle w:val="ColumnHeading"/>
              <w:keepNext/>
              <w:rPr>
                <w:lang w:val="es-ES_tradnl"/>
              </w:rPr>
            </w:pPr>
            <w:r w:rsidRPr="006F78EF">
              <w:rPr>
                <w:lang w:val="es-ES_tradnl"/>
              </w:rPr>
              <w:t>Enmienda</w:t>
            </w:r>
          </w:p>
        </w:tc>
      </w:tr>
      <w:tr w:rsidR="00C6714F" w:rsidRPr="006F78EF" w:rsidTr="009B4410">
        <w:trPr>
          <w:jc w:val="center"/>
        </w:trPr>
        <w:tc>
          <w:tcPr>
            <w:tcW w:w="4876" w:type="dxa"/>
          </w:tcPr>
          <w:p w:rsidR="007652EA" w:rsidRPr="006F78EF" w:rsidRDefault="00E926E2" w:rsidP="009B4410">
            <w:pPr>
              <w:pStyle w:val="Normal6"/>
              <w:rPr>
                <w:lang w:val="es-ES_tradnl"/>
              </w:rPr>
            </w:pPr>
            <w:r w:rsidRPr="006F78EF">
              <w:rPr>
                <w:lang w:val="es-ES_tradnl"/>
              </w:rPr>
              <w:t>(2)</w:t>
            </w:r>
            <w:r w:rsidRPr="006F78EF">
              <w:rPr>
                <w:lang w:val="es-ES_tradnl"/>
              </w:rPr>
              <w:tab/>
              <w:t xml:space="preserve">De conformidad con las disposiciones de la Convención de las Naciones Unidas sobre el Derecho del Mar </w:t>
            </w:r>
            <w:r w:rsidRPr="006F78EF">
              <w:rPr>
                <w:lang w:val="es-ES_tradnl"/>
              </w:rPr>
              <w:t>(CNUDM), de 1982, y de los Convenios depositados ante la OMI, corresponde a los Estados que son parte en dichos instrumentos la responsabilidad de promulgar las leyes y reglamentos, y tomar cualquier otra medida que sea necesaria para darles pleno cumplimi</w:t>
            </w:r>
            <w:r w:rsidRPr="006F78EF">
              <w:rPr>
                <w:lang w:val="es-ES_tradnl"/>
              </w:rPr>
              <w:t>ento, a fin de garantizar que, desde el punto de vista de la seguridad de la vida humana en el mar y de la protección del medio marino, un buque sea apto para el servicio al que se destina.</w:t>
            </w:r>
          </w:p>
        </w:tc>
        <w:tc>
          <w:tcPr>
            <w:tcW w:w="4876" w:type="dxa"/>
          </w:tcPr>
          <w:p w:rsidR="007652EA" w:rsidRPr="006F78EF" w:rsidRDefault="00E926E2" w:rsidP="001F7B1A">
            <w:pPr>
              <w:pStyle w:val="Normal6"/>
              <w:rPr>
                <w:szCs w:val="24"/>
                <w:lang w:val="es-ES_tradnl"/>
              </w:rPr>
            </w:pPr>
            <w:r w:rsidRPr="006F78EF">
              <w:rPr>
                <w:lang w:val="es-ES_tradnl"/>
              </w:rPr>
              <w:t>(2)</w:t>
            </w:r>
            <w:r w:rsidRPr="006F78EF">
              <w:rPr>
                <w:lang w:val="es-ES_tradnl"/>
              </w:rPr>
              <w:tab/>
              <w:t>De conformidad con las disposiciones de la Convención de las N</w:t>
            </w:r>
            <w:r w:rsidRPr="006F78EF">
              <w:rPr>
                <w:lang w:val="es-ES_tradnl"/>
              </w:rPr>
              <w:t>aciones Unidas sobre el Derecho del Mar (CNUDM), de</w:t>
            </w:r>
            <w:r w:rsidR="001F7B1A">
              <w:rPr>
                <w:lang w:val="es-ES_tradnl"/>
              </w:rPr>
              <w:t> </w:t>
            </w:r>
            <w:r w:rsidRPr="006F78EF">
              <w:rPr>
                <w:lang w:val="es-ES_tradnl"/>
              </w:rPr>
              <w:t xml:space="preserve">1982, y de los Convenios depositados ante la OMI, corresponde a los Estados que son parte en dichos instrumentos la responsabilidad de promulgar las leyes y reglamentos, y tomar cualquier otra medida que </w:t>
            </w:r>
            <w:r w:rsidRPr="006F78EF">
              <w:rPr>
                <w:lang w:val="es-ES_tradnl"/>
              </w:rPr>
              <w:t xml:space="preserve">sea necesaria para darles pleno cumplimiento, a fin de garantizar que, desde el punto de vista de la seguridad de la vida humana en el mar y de la protección del medio marino </w:t>
            </w:r>
            <w:r w:rsidRPr="006F78EF">
              <w:rPr>
                <w:b/>
                <w:i/>
                <w:lang w:val="es-ES_tradnl"/>
              </w:rPr>
              <w:t>y de quienes dependen de dicho medio para su subsistencia</w:t>
            </w:r>
            <w:r w:rsidRPr="006F78EF">
              <w:rPr>
                <w:lang w:val="es-ES_tradnl"/>
              </w:rPr>
              <w:t>, un buque sea apto para</w:t>
            </w:r>
            <w:r w:rsidRPr="006F78EF">
              <w:rPr>
                <w:lang w:val="es-ES_tradnl"/>
              </w:rPr>
              <w:t xml:space="preserve"> el servicio al que se destina.</w:t>
            </w:r>
          </w:p>
        </w:tc>
      </w:tr>
    </w:tbl>
    <w:p w:rsidR="007652EA" w:rsidRPr="006F78EF" w:rsidRDefault="00E926E2" w:rsidP="007652EA">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4</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2 bis (nuevo)</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lastRenderedPageBreak/>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9B4410" w:rsidP="009B4410">
            <w:pPr>
              <w:pStyle w:val="Normal6a"/>
            </w:pPr>
          </w:p>
        </w:tc>
        <w:tc>
          <w:tcPr>
            <w:tcW w:w="4876" w:type="dxa"/>
          </w:tcPr>
          <w:p w:rsidR="009B4410" w:rsidRPr="006F78EF" w:rsidRDefault="00E926E2" w:rsidP="009B4410">
            <w:pPr>
              <w:pStyle w:val="Normal6a"/>
            </w:pPr>
            <w:r w:rsidRPr="006F78EF">
              <w:rPr>
                <w:b/>
                <w:i/>
              </w:rPr>
              <w:t>(2 bis)</w:t>
            </w:r>
            <w:r w:rsidRPr="006F78EF">
              <w:tab/>
            </w:r>
            <w:r w:rsidRPr="006F78EF">
              <w:rPr>
                <w:b/>
                <w:i/>
              </w:rPr>
              <w:t xml:space="preserve">Las situaciones de inseguridad en el mar pueden </w:t>
            </w:r>
            <w:r w:rsidRPr="006F78EF">
              <w:rPr>
                <w:b/>
                <w:i/>
              </w:rPr>
              <w:t>provocar accidentes y catástrofes marítimas, que pueden tener un impacto sin precedentes en los (vulnerables) ecosistemas marinos.</w:t>
            </w:r>
            <w:r w:rsidRPr="006F78EF">
              <w:t xml:space="preserve"> </w:t>
            </w:r>
            <w:r w:rsidRPr="006F78EF">
              <w:rPr>
                <w:b/>
                <w:i/>
              </w:rPr>
              <w:t>Los mares y océanos desempeñan un papel crucial en la regulación del clima terrestre y constituyen un enorme sumidero de carb</w:t>
            </w:r>
            <w:r w:rsidRPr="006F78EF">
              <w:rPr>
                <w:b/>
                <w:i/>
              </w:rPr>
              <w:t>ono, por lo que resulta esencial proteger estos ecosistemas.</w:t>
            </w:r>
          </w:p>
        </w:tc>
      </w:tr>
    </w:tbl>
    <w:p w:rsidR="009B4410" w:rsidRPr="006F78EF" w:rsidRDefault="00E926E2" w:rsidP="009B4410">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5</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5</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E926E2" w:rsidP="009B4410">
            <w:pPr>
              <w:pStyle w:val="Normal6a"/>
            </w:pPr>
            <w:r w:rsidRPr="006F78EF">
              <w:t>(5)</w:t>
            </w:r>
            <w:r w:rsidRPr="006F78EF">
              <w:tab/>
            </w:r>
            <w:r w:rsidRPr="006F78EF">
              <w:t xml:space="preserve">A nivel internacional, la función de investigación de accidentes marítimos forma parte de las responsabilidades del Estado de abanderamiento, </w:t>
            </w:r>
            <w:r w:rsidRPr="006F78EF">
              <w:rPr>
                <w:b/>
                <w:i/>
              </w:rPr>
              <w:t>mientras que</w:t>
            </w:r>
            <w:r w:rsidRPr="006F78EF">
              <w:t xml:space="preserve"> a escala de la Unión </w:t>
            </w:r>
            <w:r w:rsidRPr="006F78EF">
              <w:rPr>
                <w:b/>
                <w:i/>
              </w:rPr>
              <w:t>se hace</w:t>
            </w:r>
            <w:r w:rsidRPr="006F78EF">
              <w:t xml:space="preserve"> de manera independiente y está regulada por la Directiva 2009/18/CE del </w:t>
            </w:r>
            <w:r w:rsidRPr="006F78EF">
              <w:t>Parlamento Europeo y del Consejo</w:t>
            </w:r>
            <w:r w:rsidRPr="006F78EF">
              <w:rPr>
                <w:vertAlign w:val="superscript"/>
              </w:rPr>
              <w:t>29</w:t>
            </w:r>
            <w:r w:rsidRPr="006F78EF">
              <w:t>. La presente Directiva no debe afectar a la Directiva 2009/18/CE.</w:t>
            </w:r>
          </w:p>
        </w:tc>
        <w:tc>
          <w:tcPr>
            <w:tcW w:w="4876" w:type="dxa"/>
          </w:tcPr>
          <w:p w:rsidR="009B4410" w:rsidRPr="006F78EF" w:rsidRDefault="00E926E2" w:rsidP="009B4410">
            <w:pPr>
              <w:pStyle w:val="Normal6a"/>
            </w:pPr>
            <w:r w:rsidRPr="006F78EF">
              <w:t>(5)</w:t>
            </w:r>
            <w:r w:rsidRPr="006F78EF">
              <w:tab/>
              <w:t xml:space="preserve">A nivel internacional, la función de investigación de accidentes marítimos forma parte de las responsabilidades del Estado de abanderamiento, </w:t>
            </w:r>
            <w:r w:rsidRPr="006F78EF">
              <w:rPr>
                <w:b/>
                <w:i/>
              </w:rPr>
              <w:t>siendo de</w:t>
            </w:r>
            <w:r w:rsidRPr="006F78EF">
              <w:rPr>
                <w:b/>
                <w:i/>
              </w:rPr>
              <w:t xml:space="preserve"> suma importancia garantizar que las investigaciones sobre accidentes den prioridad a la rendición de cuentas y al aprendizaje para prevenir futuros accidentes;</w:t>
            </w:r>
            <w:r w:rsidRPr="006F78EF">
              <w:t xml:space="preserve"> a escala de la Unión</w:t>
            </w:r>
            <w:r w:rsidRPr="006F78EF">
              <w:rPr>
                <w:b/>
                <w:i/>
              </w:rPr>
              <w:t>, la citada función se lleva a cabo</w:t>
            </w:r>
            <w:r w:rsidRPr="006F78EF">
              <w:t xml:space="preserve"> de manera independiente y está regulada</w:t>
            </w:r>
            <w:r w:rsidRPr="006F78EF">
              <w:t xml:space="preserve"> por la Directiva 2009/18/CE del Parlamento Europeo y del Consejo</w:t>
            </w:r>
            <w:r w:rsidRPr="006F78EF">
              <w:rPr>
                <w:vertAlign w:val="superscript"/>
              </w:rPr>
              <w:t>29</w:t>
            </w:r>
            <w:r w:rsidRPr="006F78EF">
              <w:t>. La presente Directiva no debe afectar a la Directiva 2009/18/CE.</w:t>
            </w:r>
          </w:p>
        </w:tc>
      </w:tr>
      <w:tr w:rsidR="00C6714F" w:rsidRPr="006F78EF" w:rsidTr="009B4410">
        <w:trPr>
          <w:jc w:val="center"/>
        </w:trPr>
        <w:tc>
          <w:tcPr>
            <w:tcW w:w="4876" w:type="dxa"/>
          </w:tcPr>
          <w:p w:rsidR="009B4410" w:rsidRPr="006F78EF" w:rsidRDefault="00E926E2" w:rsidP="009B4410">
            <w:pPr>
              <w:pStyle w:val="Normal6a"/>
            </w:pPr>
            <w:r w:rsidRPr="006F78EF">
              <w:rPr>
                <w:b/>
                <w:i/>
              </w:rPr>
              <w:t>_________________</w:t>
            </w:r>
          </w:p>
        </w:tc>
        <w:tc>
          <w:tcPr>
            <w:tcW w:w="4876" w:type="dxa"/>
          </w:tcPr>
          <w:p w:rsidR="009B4410" w:rsidRPr="006F78EF" w:rsidRDefault="00E926E2" w:rsidP="009B4410">
            <w:pPr>
              <w:pStyle w:val="Normal6a"/>
            </w:pPr>
            <w:r w:rsidRPr="006F78EF">
              <w:rPr>
                <w:b/>
                <w:i/>
              </w:rPr>
              <w:t>_________________</w:t>
            </w:r>
          </w:p>
        </w:tc>
      </w:tr>
      <w:tr w:rsidR="00C6714F" w:rsidRPr="006F78EF" w:rsidTr="009B4410">
        <w:trPr>
          <w:jc w:val="center"/>
        </w:trPr>
        <w:tc>
          <w:tcPr>
            <w:tcW w:w="4876" w:type="dxa"/>
          </w:tcPr>
          <w:p w:rsidR="009B4410" w:rsidRPr="006F78EF" w:rsidRDefault="00E926E2" w:rsidP="009B4410">
            <w:pPr>
              <w:pStyle w:val="Normal6a"/>
            </w:pPr>
            <w:r w:rsidRPr="006F78EF">
              <w:rPr>
                <w:vertAlign w:val="superscript"/>
              </w:rPr>
              <w:t>29</w:t>
            </w:r>
            <w:r w:rsidRPr="006F78EF">
              <w:t xml:space="preserve"> Directiva 2009/18/CE del Parlamento Europeo y del Consejo, de 23 de abril </w:t>
            </w:r>
            <w:r w:rsidRPr="006F78EF">
              <w:t>de 2009, por la que se establecen los principios fundamentales que rigen la investigación de accidentes en el sector del transporte marítimo y se modifican las Directivas 1999/35/CE del Consejo y 2002/59/CE del Parlamento Europeo y del Consejo (DO L 131 de</w:t>
            </w:r>
            <w:r w:rsidRPr="006F78EF">
              <w:t xml:space="preserve"> 28.5.2009, p. 114).</w:t>
            </w:r>
          </w:p>
        </w:tc>
        <w:tc>
          <w:tcPr>
            <w:tcW w:w="4876" w:type="dxa"/>
          </w:tcPr>
          <w:p w:rsidR="009B4410" w:rsidRPr="006F78EF" w:rsidRDefault="00E926E2" w:rsidP="009B4410">
            <w:pPr>
              <w:pStyle w:val="Normal6a"/>
            </w:pPr>
            <w:r w:rsidRPr="006F78EF">
              <w:rPr>
                <w:vertAlign w:val="superscript"/>
              </w:rPr>
              <w:t>29</w:t>
            </w:r>
            <w:r w:rsidRPr="006F78EF">
              <w:t> Directiva 2009/18/CE del Parlamento Europeo y del Consejo, de 23 de abril de 2009, por la que se establecen los principios fundamentales que rigen la investigación de accidentes en el sector del transporte marítimo y se modifican la</w:t>
            </w:r>
            <w:r w:rsidRPr="006F78EF">
              <w:t>s Directivas 1999/35/CE del Consejo y 2002/59/CE del Parlamento Europeo y del Consejo (DO L 131 de 28.5.2009, p. 114).</w:t>
            </w:r>
          </w:p>
        </w:tc>
      </w:tr>
    </w:tbl>
    <w:p w:rsidR="009B4410" w:rsidRPr="006F78EF" w:rsidRDefault="00E926E2" w:rsidP="009B4410">
      <w:pPr>
        <w:pStyle w:val="AmJustTitle"/>
      </w:pPr>
      <w:r w:rsidRPr="006F78EF">
        <w:rPr>
          <w:rStyle w:val="HideTWBExt"/>
        </w:rPr>
        <w:lastRenderedPageBreak/>
        <w:t>&lt;TitreJust&gt;</w:t>
      </w:r>
      <w:r w:rsidRPr="006F78EF">
        <w:t>Justificación</w:t>
      </w:r>
      <w:r w:rsidRPr="006F78EF">
        <w:rPr>
          <w:rStyle w:val="HideTWBExt"/>
        </w:rPr>
        <w:t>&lt;/TitreJust&gt;</w:t>
      </w:r>
    </w:p>
    <w:p w:rsidR="009B4410" w:rsidRPr="006F78EF" w:rsidRDefault="00E926E2" w:rsidP="009B4410">
      <w:pPr>
        <w:pStyle w:val="AmJustText"/>
      </w:pPr>
      <w:r w:rsidRPr="006F78EF">
        <w:t>La Directiva mantiene la independencia de las investigaciones de accidentes marítimos, que es esenc</w:t>
      </w:r>
      <w:r w:rsidRPr="006F78EF">
        <w:t>ial. No obstante, también debe subrayar la importancia de la presentación de informes detallados, la transparencia y la rendición de cuentas en estas investigaciones para garantizar que se extraigan lecciones y se apliquen para prevenir futuros accidentes.</w:t>
      </w:r>
    </w:p>
    <w:p w:rsidR="009B4410" w:rsidRPr="006F78EF" w:rsidRDefault="00E926E2" w:rsidP="009B4410">
      <w:r w:rsidRPr="006F78EF">
        <w:rPr>
          <w:rStyle w:val="HideTWBExt"/>
        </w:rPr>
        <w:t>&lt;/Amend&gt;</w:t>
      </w:r>
    </w:p>
    <w:p w:rsidR="007652EA" w:rsidRPr="006F78EF" w:rsidRDefault="00E926E2" w:rsidP="007652EA">
      <w:pPr>
        <w:pStyle w:val="AMNumberTabs0"/>
        <w:keepNext/>
        <w:rPr>
          <w:lang w:val="es-ES_tradnl"/>
        </w:rPr>
      </w:pPr>
      <w:r w:rsidRPr="006F78EF">
        <w:rPr>
          <w:rStyle w:val="HideTWBExt"/>
          <w:b w:val="0"/>
          <w:lang w:val="es-ES_tradnl"/>
        </w:rPr>
        <w:t>&lt;Amend&gt;</w:t>
      </w:r>
      <w:r w:rsidRPr="006F78EF">
        <w:rPr>
          <w:lang w:val="es-ES_tradnl"/>
        </w:rPr>
        <w:t>Enmienda</w:t>
      </w:r>
      <w:r w:rsidRPr="006F78EF">
        <w:rPr>
          <w:lang w:val="es-ES_tradnl"/>
        </w:rPr>
        <w:tab/>
      </w:r>
      <w:r w:rsidRPr="006F78EF">
        <w:rPr>
          <w:lang w:val="es-ES_tradnl"/>
        </w:rPr>
        <w:tab/>
      </w:r>
      <w:r w:rsidRPr="006F78EF">
        <w:rPr>
          <w:rStyle w:val="HideTWBExt"/>
          <w:b w:val="0"/>
          <w:lang w:val="es-ES_tradnl"/>
        </w:rPr>
        <w:t>&lt;NumAm&gt;</w:t>
      </w:r>
      <w:r w:rsidRPr="006F78EF">
        <w:rPr>
          <w:lang w:val="es-ES_tradnl"/>
        </w:rPr>
        <w:t>6</w:t>
      </w:r>
      <w:r w:rsidRPr="006F78EF">
        <w:rPr>
          <w:rStyle w:val="HideTWBExt"/>
          <w:b w:val="0"/>
          <w:lang w:val="es-ES_tradnl"/>
        </w:rPr>
        <w:t>&lt;/NumAm&gt;</w:t>
      </w:r>
    </w:p>
    <w:p w:rsidR="007652EA" w:rsidRPr="006F78EF" w:rsidRDefault="00E926E2" w:rsidP="007652EA">
      <w:pPr>
        <w:pStyle w:val="NormalBold12b"/>
        <w:keepNext/>
      </w:pPr>
      <w:r w:rsidRPr="006F78EF">
        <w:rPr>
          <w:rStyle w:val="HideTWBExt"/>
          <w:b w:val="0"/>
        </w:rPr>
        <w:t>&lt;DocAmend&gt;</w:t>
      </w:r>
      <w:r w:rsidRPr="006F78EF">
        <w:t>Propuesta de Directiva</w:t>
      </w:r>
      <w:r w:rsidRPr="006F78EF">
        <w:rPr>
          <w:rStyle w:val="HideTWBExt"/>
          <w:b w:val="0"/>
        </w:rPr>
        <w:t>&lt;/DocAmend&gt;</w:t>
      </w:r>
    </w:p>
    <w:p w:rsidR="007652EA" w:rsidRPr="006F78EF" w:rsidRDefault="00E926E2" w:rsidP="007652EA">
      <w:pPr>
        <w:pStyle w:val="NormalBold"/>
      </w:pPr>
      <w:r w:rsidRPr="006F78EF">
        <w:rPr>
          <w:rStyle w:val="HideTWBExt"/>
          <w:b w:val="0"/>
        </w:rPr>
        <w:t>&lt;Article&gt;</w:t>
      </w:r>
      <w:r w:rsidRPr="006F78EF">
        <w:t>Considerando 7</w:t>
      </w:r>
      <w:r w:rsidRPr="006F78E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14F" w:rsidRPr="006F78EF" w:rsidTr="009B4410">
        <w:trPr>
          <w:jc w:val="center"/>
        </w:trPr>
        <w:tc>
          <w:tcPr>
            <w:tcW w:w="9752" w:type="dxa"/>
            <w:gridSpan w:val="2"/>
          </w:tcPr>
          <w:p w:rsidR="007652EA" w:rsidRPr="006F78EF" w:rsidRDefault="007652EA" w:rsidP="009B4410">
            <w:pPr>
              <w:keepNext/>
            </w:pPr>
          </w:p>
        </w:tc>
      </w:tr>
      <w:tr w:rsidR="00C6714F" w:rsidRPr="006F78EF" w:rsidTr="009B4410">
        <w:trPr>
          <w:jc w:val="center"/>
        </w:trPr>
        <w:tc>
          <w:tcPr>
            <w:tcW w:w="4876" w:type="dxa"/>
          </w:tcPr>
          <w:p w:rsidR="007652EA" w:rsidRPr="006F78EF" w:rsidRDefault="00E926E2" w:rsidP="009B4410">
            <w:pPr>
              <w:pStyle w:val="ColumnHeading"/>
              <w:keepNext/>
              <w:rPr>
                <w:lang w:val="es-ES_tradnl"/>
              </w:rPr>
            </w:pPr>
            <w:r w:rsidRPr="006F78EF">
              <w:rPr>
                <w:lang w:val="es-ES_tradnl"/>
              </w:rPr>
              <w:t>Texto de la Comisión</w:t>
            </w:r>
          </w:p>
        </w:tc>
        <w:tc>
          <w:tcPr>
            <w:tcW w:w="4876" w:type="dxa"/>
          </w:tcPr>
          <w:p w:rsidR="007652EA" w:rsidRPr="006F78EF" w:rsidRDefault="00E926E2" w:rsidP="009B4410">
            <w:pPr>
              <w:pStyle w:val="ColumnHeading"/>
              <w:keepNext/>
              <w:rPr>
                <w:lang w:val="es-ES_tradnl"/>
              </w:rPr>
            </w:pPr>
            <w:r w:rsidRPr="006F78EF">
              <w:rPr>
                <w:lang w:val="es-ES_tradnl"/>
              </w:rPr>
              <w:t>Enmienda</w:t>
            </w:r>
          </w:p>
        </w:tc>
      </w:tr>
      <w:tr w:rsidR="00C6714F" w:rsidRPr="006F78EF" w:rsidTr="009B4410">
        <w:trPr>
          <w:jc w:val="center"/>
        </w:trPr>
        <w:tc>
          <w:tcPr>
            <w:tcW w:w="4876" w:type="dxa"/>
          </w:tcPr>
          <w:p w:rsidR="007652EA" w:rsidRPr="006F78EF" w:rsidRDefault="00E926E2" w:rsidP="009B4410">
            <w:pPr>
              <w:pStyle w:val="Normal6"/>
              <w:rPr>
                <w:lang w:val="es-ES_tradnl"/>
              </w:rPr>
            </w:pPr>
            <w:r w:rsidRPr="006F78EF">
              <w:rPr>
                <w:lang w:val="es-ES_tradnl"/>
              </w:rPr>
              <w:t>(7)</w:t>
            </w:r>
            <w:r w:rsidRPr="006F78EF">
              <w:rPr>
                <w:lang w:val="es-ES_tradnl"/>
              </w:rPr>
              <w:tab/>
              <w:t xml:space="preserve">Las administraciones marítimas de los Estados miembros deben contar con recursos apropiados, </w:t>
            </w:r>
            <w:r w:rsidRPr="006F78EF">
              <w:rPr>
                <w:lang w:val="es-ES_tradnl"/>
              </w:rPr>
              <w:t>entre ellos la capacidad de tomar decisiones técnicas, para atender sus obligaciones como Estado de abanderamiento, acordes con el tamaño y tipo de sus flotas y sobre la base de las prescripciones pertinentes de la OMI. Con el fin de mejorar la actuación c</w:t>
            </w:r>
            <w:r w:rsidRPr="006F78EF">
              <w:rPr>
                <w:lang w:val="es-ES_tradnl"/>
              </w:rPr>
              <w:t>ualitativa general de los buques que enarbolan pabellón de un Estado miembro, también es necesario armonizar la supervisión estricta y exhaustiva, lo que incluye la elaboración de normas y la revisión del diseño, de las organizaciones reconocidas que desem</w:t>
            </w:r>
            <w:r w:rsidRPr="006F78EF">
              <w:rPr>
                <w:lang w:val="es-ES_tradnl"/>
              </w:rPr>
              <w:t>peñan funciones del Estado de abanderamiento en nombre de los Estados miembros.</w:t>
            </w:r>
          </w:p>
        </w:tc>
        <w:tc>
          <w:tcPr>
            <w:tcW w:w="4876" w:type="dxa"/>
          </w:tcPr>
          <w:p w:rsidR="007652EA" w:rsidRPr="006F78EF" w:rsidRDefault="00E926E2" w:rsidP="00043F5D">
            <w:pPr>
              <w:pStyle w:val="Normal6"/>
              <w:rPr>
                <w:szCs w:val="24"/>
                <w:lang w:val="es-ES_tradnl"/>
              </w:rPr>
            </w:pPr>
            <w:r w:rsidRPr="006F78EF">
              <w:rPr>
                <w:lang w:val="es-ES_tradnl"/>
              </w:rPr>
              <w:t>(7)</w:t>
            </w:r>
            <w:r w:rsidRPr="006F78EF">
              <w:rPr>
                <w:lang w:val="es-ES_tradnl"/>
              </w:rPr>
              <w:tab/>
              <w:t xml:space="preserve">Las administraciones marítimas de los Estados miembros deben contar con recursos apropiados, entre ellos la capacidad de tomar decisiones técnicas, para atender sus </w:t>
            </w:r>
            <w:r w:rsidRPr="006F78EF">
              <w:rPr>
                <w:lang w:val="es-ES_tradnl"/>
              </w:rPr>
              <w:t>obligaciones como Estado de abanderamiento, acordes con el tamaño y tipo de sus flotas y sobre la base de las prescripciones pertinentes de la OMI.</w:t>
            </w:r>
            <w:r w:rsidRPr="006F78EF">
              <w:rPr>
                <w:b/>
                <w:i/>
                <w:lang w:val="es-ES_tradnl"/>
              </w:rPr>
              <w:t xml:space="preserve"> Se debe tener plenamente en cuenta a las Administraciones subnacionales con competencias en materia de pesca</w:t>
            </w:r>
            <w:r w:rsidRPr="006F78EF">
              <w:rPr>
                <w:b/>
                <w:i/>
                <w:lang w:val="es-ES_tradnl"/>
              </w:rPr>
              <w:t>, con arreglo al ordenamiento jurídico de cada Estado miembro.</w:t>
            </w:r>
            <w:r w:rsidRPr="006F78EF">
              <w:rPr>
                <w:lang w:val="es-ES_tradnl"/>
              </w:rPr>
              <w:t xml:space="preserve"> Con el fin de mejorar la actuación cualitativa general de los buques que enarbolan pabellón de un Estado miembro, también es necesario armonizar la supervisión estricta y exhaustiva, lo que inc</w:t>
            </w:r>
            <w:r w:rsidRPr="006F78EF">
              <w:rPr>
                <w:lang w:val="es-ES_tradnl"/>
              </w:rPr>
              <w:t>luye la elaboración de normas y la revisión del diseño, de las organizaciones reconocidas que desempeñan funciones del Estado de abanderamiento en nombre de los Estados miembros.</w:t>
            </w:r>
          </w:p>
        </w:tc>
      </w:tr>
    </w:tbl>
    <w:p w:rsidR="00983849" w:rsidRPr="006F78EF" w:rsidRDefault="00E926E2" w:rsidP="00983849">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7</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w:t>
      </w:r>
      <w:r w:rsidRPr="006F78EF">
        <w:rPr>
          <w:rStyle w:val="HideTWBExt"/>
        </w:rPr>
        <w:t>/DocAmend&gt;</w:t>
      </w:r>
    </w:p>
    <w:p w:rsidR="009B4410" w:rsidRPr="006F78EF" w:rsidRDefault="00E926E2" w:rsidP="009B4410">
      <w:pPr>
        <w:pStyle w:val="NormalBold"/>
      </w:pPr>
      <w:r w:rsidRPr="006F78EF">
        <w:rPr>
          <w:rStyle w:val="HideTWBExt"/>
        </w:rPr>
        <w:t>&lt;Article&gt;</w:t>
      </w:r>
      <w:r w:rsidRPr="006F78EF">
        <w:t>Considerando 8</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E926E2" w:rsidP="009B4410">
            <w:pPr>
              <w:pStyle w:val="Normal6a"/>
            </w:pPr>
            <w:r w:rsidRPr="006F78EF">
              <w:t>(8)</w:t>
            </w:r>
            <w:r w:rsidRPr="006F78EF">
              <w:tab/>
              <w:t xml:space="preserve">Los criterios mínimos y los objetivos de inspección relacionados con </w:t>
            </w:r>
            <w:r w:rsidRPr="006F78EF">
              <w:lastRenderedPageBreak/>
              <w:t xml:space="preserve">esos recursos deben establecerse sobre la base de la experiencia práctica de los Estados miembros, </w:t>
            </w:r>
            <w:r w:rsidRPr="006F78EF">
              <w:t>incluido el empleo de inspectores no exclusivos, a través de medidas de ejecución.</w:t>
            </w:r>
          </w:p>
        </w:tc>
        <w:tc>
          <w:tcPr>
            <w:tcW w:w="4876" w:type="dxa"/>
          </w:tcPr>
          <w:p w:rsidR="009B4410" w:rsidRPr="006F78EF" w:rsidRDefault="00E926E2" w:rsidP="009B4410">
            <w:pPr>
              <w:pStyle w:val="Normal6a"/>
            </w:pPr>
            <w:r w:rsidRPr="006F78EF">
              <w:lastRenderedPageBreak/>
              <w:t>(8)</w:t>
            </w:r>
            <w:r w:rsidRPr="006F78EF">
              <w:tab/>
              <w:t xml:space="preserve">Los criterios mínimos y los objetivos de inspección relacionados con </w:t>
            </w:r>
            <w:r w:rsidRPr="006F78EF">
              <w:lastRenderedPageBreak/>
              <w:t xml:space="preserve">esos recursos deben establecerse sobre la base de la experiencia práctica </w:t>
            </w:r>
            <w:r w:rsidRPr="006F78EF">
              <w:rPr>
                <w:b/>
                <w:i/>
              </w:rPr>
              <w:t>y observacional</w:t>
            </w:r>
            <w:r w:rsidRPr="006F78EF">
              <w:t xml:space="preserve"> de los Est</w:t>
            </w:r>
            <w:r w:rsidRPr="006F78EF">
              <w:t>ados miembros, incluido el empleo de inspectores no exclusivos, a través de medidas de ejecución.</w:t>
            </w:r>
          </w:p>
        </w:tc>
      </w:tr>
    </w:tbl>
    <w:p w:rsidR="009B4410" w:rsidRPr="006F78EF" w:rsidRDefault="00E926E2" w:rsidP="009B4410">
      <w:pPr>
        <w:pStyle w:val="AmJustTitle"/>
      </w:pPr>
      <w:r w:rsidRPr="006F78EF">
        <w:rPr>
          <w:rStyle w:val="HideTWBExt"/>
        </w:rPr>
        <w:lastRenderedPageBreak/>
        <w:t>&lt;TitreJust&gt;</w:t>
      </w:r>
      <w:r w:rsidRPr="006F78EF">
        <w:t>Justificación</w:t>
      </w:r>
      <w:r w:rsidRPr="006F78EF">
        <w:rPr>
          <w:rStyle w:val="HideTWBExt"/>
        </w:rPr>
        <w:t>&lt;/TitreJust&gt;</w:t>
      </w:r>
    </w:p>
    <w:p w:rsidR="009B4410" w:rsidRPr="006F78EF" w:rsidRDefault="00E926E2" w:rsidP="009B4410">
      <w:pPr>
        <w:pStyle w:val="AmJustText"/>
      </w:pPr>
      <w:r w:rsidRPr="006F78EF">
        <w:t>Si bien la experiencia teórica puede no ser la más útil para las inspecciones, la experiencia observacional puede ayudar</w:t>
      </w:r>
      <w:r w:rsidRPr="006F78EF">
        <w:t xml:space="preserve"> significativamente a los Estados miembros a lograr resultados óptimos basados en la forma de proceder en otros países, al proporcionar información práctica, oportunidades de aprendizaje y una base para la toma de decisiones con conocimiento de causa.</w:t>
      </w:r>
    </w:p>
    <w:p w:rsidR="009B4410" w:rsidRPr="006F78EF" w:rsidRDefault="00E926E2" w:rsidP="009B4410">
      <w:r w:rsidRPr="006F78EF">
        <w:rPr>
          <w:rStyle w:val="HideTWBExt"/>
        </w:rPr>
        <w:t>&lt;/Am</w:t>
      </w:r>
      <w:r w:rsidRPr="006F78EF">
        <w:rPr>
          <w:rStyle w:val="HideTWBExt"/>
        </w:rPr>
        <w:t>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8</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9</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E926E2" w:rsidP="009B4410">
            <w:pPr>
              <w:pStyle w:val="Normal6a"/>
            </w:pPr>
            <w:r w:rsidRPr="006F78EF">
              <w:t>(9)</w:t>
            </w:r>
            <w:r w:rsidRPr="006F78EF">
              <w:tab/>
              <w:t xml:space="preserve">La consecución de un sistema armonizado de creación de capacidades (posterior a la cualificación) por </w:t>
            </w:r>
            <w:r w:rsidRPr="006F78EF">
              <w:t>los supervisores e inspectores de los Estados de abanderamiento debe garantizar la igualdad de condiciones entre administraciones marítimas y contribuir a la actuación cualitativa de los buques que enarbolen pabellón de un Estado miembro.</w:t>
            </w:r>
          </w:p>
        </w:tc>
        <w:tc>
          <w:tcPr>
            <w:tcW w:w="4876" w:type="dxa"/>
          </w:tcPr>
          <w:p w:rsidR="009B4410" w:rsidRPr="006F78EF" w:rsidRDefault="00E926E2" w:rsidP="009B4410">
            <w:pPr>
              <w:pStyle w:val="Normal6a"/>
            </w:pPr>
            <w:r w:rsidRPr="006F78EF">
              <w:t>(9)</w:t>
            </w:r>
            <w:r w:rsidRPr="006F78EF">
              <w:tab/>
              <w:t>La consecució</w:t>
            </w:r>
            <w:r w:rsidRPr="006F78EF">
              <w:t>n de un sistema armonizado de creación de capacidades (posterior a la cualificación) por los supervisores e inspectores de los Estados de abanderamiento debe garantizar la igualdad de condiciones entre administraciones marítimas y contribuir a la actuación</w:t>
            </w:r>
            <w:r w:rsidRPr="006F78EF">
              <w:t xml:space="preserve"> cualitativa de los buques que enarbolen pabellón de un Estado miembro. </w:t>
            </w:r>
            <w:r w:rsidRPr="006F78EF">
              <w:rPr>
                <w:b/>
                <w:i/>
              </w:rPr>
              <w:t>Debe garantizarse la formación y el desarrollo profesional continuos de la gente de mar para que esta se mantenga al día de la evolución de las normas de seguridad y medioambientales.</w:t>
            </w:r>
          </w:p>
        </w:tc>
      </w:tr>
    </w:tbl>
    <w:p w:rsidR="009B4410" w:rsidRPr="006F78EF" w:rsidRDefault="00E926E2" w:rsidP="009B4410">
      <w:pPr>
        <w:pStyle w:val="AmJustTitle"/>
      </w:pPr>
      <w:r w:rsidRPr="006F78EF">
        <w:rPr>
          <w:rStyle w:val="HideTWBExt"/>
        </w:rPr>
        <w:t>&lt;TitreJust&gt;</w:t>
      </w:r>
      <w:r w:rsidRPr="006F78EF">
        <w:t>Justificación</w:t>
      </w:r>
      <w:r w:rsidRPr="006F78EF">
        <w:rPr>
          <w:rStyle w:val="HideTWBExt"/>
        </w:rPr>
        <w:t>&lt;/TitreJust&gt;</w:t>
      </w:r>
    </w:p>
    <w:p w:rsidR="009B4410" w:rsidRPr="006F78EF" w:rsidRDefault="00E926E2" w:rsidP="009B4410">
      <w:pPr>
        <w:pStyle w:val="AmJustText"/>
      </w:pPr>
      <w:r w:rsidRPr="006F78EF">
        <w:t>El programa de desarrollo de capacidades para los supervisores e inspectores de los Estados de abanderamiento es un paso positivo. Para potenciarlo, podría hacerse hincapié en las oportunidades de desarrollo profesiona</w:t>
      </w:r>
      <w:r w:rsidRPr="006F78EF">
        <w:t>l y formación continuos para garantizar que la gente de mar siga estando bien equipada para adaptarse a la evolución de las normas de seguridad y medio ambiente.</w:t>
      </w:r>
    </w:p>
    <w:p w:rsidR="009B4410" w:rsidRPr="006F78EF" w:rsidRDefault="00E926E2" w:rsidP="009B4410">
      <w:r w:rsidRPr="006F78EF">
        <w:rPr>
          <w:rStyle w:val="HideTWBExt"/>
        </w:rPr>
        <w:t>&lt;/Amend&gt;</w:t>
      </w:r>
    </w:p>
    <w:p w:rsidR="009B4410" w:rsidRPr="006F78EF" w:rsidRDefault="00E926E2" w:rsidP="009B4410">
      <w:pPr>
        <w:pStyle w:val="AmNumberTabs"/>
      </w:pPr>
      <w:r w:rsidRPr="006F78EF">
        <w:rPr>
          <w:rStyle w:val="HideTWBExt"/>
        </w:rPr>
        <w:lastRenderedPageBreak/>
        <w:t>&lt;Amend&gt;</w:t>
      </w:r>
      <w:r w:rsidRPr="006F78EF">
        <w:t>Enmienda</w:t>
      </w:r>
      <w:r w:rsidRPr="006F78EF">
        <w:tab/>
      </w:r>
      <w:r w:rsidRPr="006F78EF">
        <w:tab/>
      </w:r>
      <w:r w:rsidRPr="006F78EF">
        <w:rPr>
          <w:rStyle w:val="HideTWBExt"/>
        </w:rPr>
        <w:t>&lt;NumAm&gt;</w:t>
      </w:r>
      <w:r w:rsidRPr="006F78EF">
        <w:t>9</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11</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E926E2" w:rsidP="009B4410">
            <w:pPr>
              <w:pStyle w:val="Normal6a"/>
            </w:pPr>
            <w:r w:rsidRPr="006F78EF">
              <w:t>(11)</w:t>
            </w:r>
            <w:r w:rsidRPr="006F78EF">
              <w:tab/>
            </w:r>
            <w:r w:rsidRPr="006F78EF">
              <w:t xml:space="preserve">La creación y el desarrollo de una base de datos que proporcione información esencial, en formato electrónico, sobre los buques que enarbolen pabellón de un Estado miembro debe contribuir a mejorar el intercambio de información, seguir </w:t>
            </w:r>
            <w:r w:rsidRPr="006F78EF">
              <w:rPr>
                <w:b/>
                <w:i/>
              </w:rPr>
              <w:t>aumentando la transp</w:t>
            </w:r>
            <w:r w:rsidRPr="006F78EF">
              <w:rPr>
                <w:b/>
                <w:i/>
              </w:rPr>
              <w:t>arencia de la actuación de una flota de alta calidad</w:t>
            </w:r>
            <w:r w:rsidRPr="006F78EF">
              <w:t xml:space="preserve"> y permitir una mejor supervisión de las obligaciones del Estado de abanderamiento para garantizar la igualdad de condiciones entre las administraciones marítimas.</w:t>
            </w:r>
          </w:p>
        </w:tc>
        <w:tc>
          <w:tcPr>
            <w:tcW w:w="4876" w:type="dxa"/>
          </w:tcPr>
          <w:p w:rsidR="009B4410" w:rsidRPr="006F78EF" w:rsidRDefault="00E926E2" w:rsidP="009B4410">
            <w:pPr>
              <w:pStyle w:val="Normal6a"/>
            </w:pPr>
            <w:r w:rsidRPr="006F78EF">
              <w:t>(11)</w:t>
            </w:r>
            <w:r w:rsidRPr="006F78EF">
              <w:tab/>
              <w:t xml:space="preserve">La creación y el desarrollo de una </w:t>
            </w:r>
            <w:r w:rsidRPr="006F78EF">
              <w:t xml:space="preserve">base de datos que proporcione información esencial, en formato electrónico, sobre los buques que enarbolen pabellón de un Estado miembro debe contribuir a mejorar el intercambio de información, seguir </w:t>
            </w:r>
            <w:r w:rsidRPr="006F78EF">
              <w:rPr>
                <w:b/>
                <w:i/>
              </w:rPr>
              <w:t xml:space="preserve">mejorando las condiciones de trabajo y los salarios en </w:t>
            </w:r>
            <w:r w:rsidRPr="006F78EF">
              <w:rPr>
                <w:b/>
                <w:i/>
              </w:rPr>
              <w:t>la flota para promover unas prácticas laborales justas</w:t>
            </w:r>
            <w:r w:rsidRPr="006F78EF">
              <w:t xml:space="preserve"> y permitir una mejor supervisión de las obligaciones del Estado de abanderamiento para garantizar la igualdad de condiciones entre las administraciones marítimas.</w:t>
            </w:r>
          </w:p>
        </w:tc>
      </w:tr>
    </w:tbl>
    <w:p w:rsidR="009B4410" w:rsidRPr="006F78EF" w:rsidRDefault="00E926E2" w:rsidP="009B4410">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10</w:t>
      </w:r>
      <w:r w:rsidRPr="006F78EF">
        <w:rPr>
          <w:rStyle w:val="HideTWBExt"/>
        </w:rPr>
        <w:t>&lt;/</w:t>
      </w:r>
      <w:r w:rsidRPr="006F78EF">
        <w:rPr>
          <w:rStyle w:val="HideTWBExt"/>
        </w:rPr>
        <w: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12 bis (nuevo)</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9B4410" w:rsidP="009B4410">
            <w:pPr>
              <w:pStyle w:val="Normal6a"/>
            </w:pPr>
          </w:p>
        </w:tc>
        <w:tc>
          <w:tcPr>
            <w:tcW w:w="4876" w:type="dxa"/>
          </w:tcPr>
          <w:p w:rsidR="009B4410" w:rsidRPr="006F78EF" w:rsidRDefault="00E926E2" w:rsidP="009B4410">
            <w:pPr>
              <w:pStyle w:val="Normal6a"/>
            </w:pPr>
            <w:r w:rsidRPr="006F78EF">
              <w:rPr>
                <w:b/>
                <w:i/>
              </w:rPr>
              <w:t>(12 bis)</w:t>
            </w:r>
            <w:r w:rsidRPr="006F78EF">
              <w:tab/>
            </w:r>
            <w:r w:rsidRPr="006F78EF">
              <w:rPr>
                <w:b/>
                <w:i/>
              </w:rPr>
              <w:t xml:space="preserve">Debe garantizarse la transparencia de las operaciones marítimas, así como la rendición de cuentas de los armadores </w:t>
            </w:r>
            <w:r w:rsidRPr="006F78EF">
              <w:rPr>
                <w:b/>
                <w:i/>
              </w:rPr>
              <w:t>por cualquier infracción de la normativa en materia de seguridad o medio ambiente.</w:t>
            </w:r>
          </w:p>
        </w:tc>
      </w:tr>
    </w:tbl>
    <w:p w:rsidR="009B4410" w:rsidRPr="006F78EF" w:rsidRDefault="00E926E2" w:rsidP="009B4410">
      <w:pPr>
        <w:pStyle w:val="AmJustTitle"/>
      </w:pPr>
      <w:r w:rsidRPr="006F78EF">
        <w:rPr>
          <w:rStyle w:val="HideTWBExt"/>
        </w:rPr>
        <w:t>&lt;TitreJust&gt;</w:t>
      </w:r>
      <w:r w:rsidRPr="006F78EF">
        <w:t>Justificación</w:t>
      </w:r>
      <w:r w:rsidRPr="006F78EF">
        <w:rPr>
          <w:rStyle w:val="HideTWBExt"/>
        </w:rPr>
        <w:t>&lt;/TitreJust&gt;</w:t>
      </w:r>
    </w:p>
    <w:p w:rsidR="009B4410" w:rsidRPr="006F78EF" w:rsidRDefault="00E926E2" w:rsidP="009B4410">
      <w:pPr>
        <w:pStyle w:val="AmJustText"/>
      </w:pPr>
      <w:r w:rsidRPr="006F78EF">
        <w:t>Garantizar el acceso de las autoridades pertinentes a la información es crucial a efectos de seguimiento. Además, podrían adoptarse dis</w:t>
      </w:r>
      <w:r w:rsidRPr="006F78EF">
        <w:t>posiciones para proteger a las personas que denuncien infracciones en materia de seguridad o medio ambiente, lo que contribuiría a una cultura de transparencia y rendición de cuentas.</w:t>
      </w:r>
    </w:p>
    <w:p w:rsidR="009B4410" w:rsidRPr="006F78EF" w:rsidRDefault="00E926E2" w:rsidP="009B4410">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11</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 xml:space="preserve">Propuesta de </w:t>
      </w:r>
      <w:r w:rsidRPr="006F78EF">
        <w:t>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12 ter (nuevo)</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lastRenderedPageBreak/>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9B4410" w:rsidP="009B4410">
            <w:pPr>
              <w:pStyle w:val="Normal6a"/>
            </w:pPr>
          </w:p>
        </w:tc>
        <w:tc>
          <w:tcPr>
            <w:tcW w:w="4876" w:type="dxa"/>
          </w:tcPr>
          <w:p w:rsidR="009B4410" w:rsidRPr="006F78EF" w:rsidRDefault="00E926E2" w:rsidP="009B4410">
            <w:pPr>
              <w:pStyle w:val="Normal6a"/>
            </w:pPr>
            <w:r w:rsidRPr="006F78EF">
              <w:rPr>
                <w:b/>
                <w:i/>
              </w:rPr>
              <w:t>(12 ter)</w:t>
            </w:r>
            <w:r w:rsidRPr="006F78EF">
              <w:tab/>
            </w:r>
            <w:r w:rsidRPr="006F78EF">
              <w:rPr>
                <w:b/>
                <w:i/>
              </w:rPr>
              <w:t xml:space="preserve">Las autoridades competentes deben establecer mecanismos que permitan denunciar infracciones en materia de seguridad y medio ambiente sin temor a </w:t>
            </w:r>
            <w:r w:rsidRPr="006F78EF">
              <w:rPr>
                <w:b/>
                <w:i/>
              </w:rPr>
              <w:t>represalias.</w:t>
            </w:r>
          </w:p>
        </w:tc>
      </w:tr>
    </w:tbl>
    <w:p w:rsidR="009B4410" w:rsidRPr="006F78EF" w:rsidRDefault="00E926E2" w:rsidP="009B4410">
      <w:pPr>
        <w:pStyle w:val="AmJustTitle"/>
      </w:pPr>
      <w:r w:rsidRPr="006F78EF">
        <w:rPr>
          <w:rStyle w:val="HideTWBExt"/>
        </w:rPr>
        <w:t>&lt;TitreJust&gt;</w:t>
      </w:r>
      <w:r w:rsidRPr="006F78EF">
        <w:t>Justificación</w:t>
      </w:r>
      <w:r w:rsidRPr="006F78EF">
        <w:rPr>
          <w:rStyle w:val="HideTWBExt"/>
        </w:rPr>
        <w:t>&lt;/TitreJust&gt;</w:t>
      </w:r>
    </w:p>
    <w:p w:rsidR="009B4410" w:rsidRPr="006F78EF" w:rsidRDefault="00E926E2" w:rsidP="009B4410">
      <w:pPr>
        <w:pStyle w:val="AmJustText"/>
      </w:pPr>
      <w:r w:rsidRPr="006F78EF">
        <w:t>La Directiva también debe establecer mecanismos claros para que los trabajadores comuniquen cualquier preocupación en materia de seguridad y medio ambiente y fomentar un enfoque proactivo de la seguridad.</w:t>
      </w:r>
    </w:p>
    <w:p w:rsidR="009B4410" w:rsidRPr="006F78EF" w:rsidRDefault="00E926E2" w:rsidP="009B4410">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12</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17</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E926E2" w:rsidP="009B4410">
            <w:pPr>
              <w:pStyle w:val="Normal6a"/>
            </w:pPr>
            <w:r w:rsidRPr="006F78EF">
              <w:t>(17)</w:t>
            </w:r>
            <w:r w:rsidRPr="006F78EF">
              <w:tab/>
            </w:r>
            <w:r w:rsidRPr="006F78EF">
              <w:t>Con el fin de debatir cuestiones relativas al Estado de abanderamiento, incluidos los aspectos técnicos, y facilitar el intercambio de conocimientos especializados y de información, debe crearse un grupo de alto nivel sobre cuestiones relativas al Estado d</w:t>
            </w:r>
            <w:r w:rsidRPr="006F78EF">
              <w:t xml:space="preserve">e abanderamiento compuesto por autoridades nacionales de los Estados miembros, expertos e inspectores del Estado de abanderamiento, así como, </w:t>
            </w:r>
            <w:r w:rsidRPr="006F78EF">
              <w:rPr>
                <w:b/>
                <w:i/>
              </w:rPr>
              <w:t>en su caso</w:t>
            </w:r>
            <w:r w:rsidRPr="006F78EF">
              <w:t>, expertos del sector privado.</w:t>
            </w:r>
          </w:p>
        </w:tc>
        <w:tc>
          <w:tcPr>
            <w:tcW w:w="4876" w:type="dxa"/>
          </w:tcPr>
          <w:p w:rsidR="009B4410" w:rsidRPr="006F78EF" w:rsidRDefault="00E926E2" w:rsidP="009B4410">
            <w:pPr>
              <w:pStyle w:val="Normal6a"/>
            </w:pPr>
            <w:r w:rsidRPr="006F78EF">
              <w:t>(17)</w:t>
            </w:r>
            <w:r w:rsidRPr="006F78EF">
              <w:tab/>
              <w:t>Con el fin de debatir cuestiones relativas al Estado de abanderamien</w:t>
            </w:r>
            <w:r w:rsidRPr="006F78EF">
              <w:t>to, incluidos los aspectos técnicos, y facilitar el intercambio de conocimientos especializados y de información, debe crearse un grupo de alto nivel sobre cuestiones relativas al Estado de abanderamiento compuesto por autoridades nacionales de los Estados</w:t>
            </w:r>
            <w:r w:rsidRPr="006F78EF">
              <w:t xml:space="preserve"> miembros, expertos e inspectores del Estado de abanderamiento, así como,</w:t>
            </w:r>
            <w:r w:rsidRPr="006F78EF">
              <w:rPr>
                <w:b/>
                <w:i/>
              </w:rPr>
              <w:t xml:space="preserve"> cuando proceda</w:t>
            </w:r>
            <w:r w:rsidRPr="006F78EF">
              <w:t xml:space="preserve">, expertos del sector privado </w:t>
            </w:r>
            <w:r w:rsidRPr="006F78EF">
              <w:rPr>
                <w:b/>
                <w:i/>
              </w:rPr>
              <w:t>y representantes de los trabajadores del mar</w:t>
            </w:r>
            <w:r w:rsidRPr="006F78EF">
              <w:t>.</w:t>
            </w:r>
          </w:p>
        </w:tc>
      </w:tr>
    </w:tbl>
    <w:p w:rsidR="009B4410" w:rsidRPr="006F78EF" w:rsidRDefault="00E926E2" w:rsidP="009B4410">
      <w:pPr>
        <w:pStyle w:val="AmJustTitle"/>
      </w:pPr>
      <w:r w:rsidRPr="006F78EF">
        <w:rPr>
          <w:rStyle w:val="HideTWBExt"/>
        </w:rPr>
        <w:t>&lt;TitreJust&gt;</w:t>
      </w:r>
      <w:r w:rsidRPr="006F78EF">
        <w:t>Justificación</w:t>
      </w:r>
      <w:r w:rsidRPr="006F78EF">
        <w:rPr>
          <w:rStyle w:val="HideTWBExt"/>
        </w:rPr>
        <w:t>&lt;/TitreJust&gt;</w:t>
      </w:r>
    </w:p>
    <w:p w:rsidR="009B4410" w:rsidRPr="006F78EF" w:rsidRDefault="00E926E2" w:rsidP="009B4410">
      <w:pPr>
        <w:pStyle w:val="AmJustText"/>
      </w:pPr>
      <w:r w:rsidRPr="006F78EF">
        <w:t>La creación de un grupo de alto nivel sobre cuestiones</w:t>
      </w:r>
      <w:r w:rsidRPr="006F78EF">
        <w:t xml:space="preserve"> relativas el Estado de abanderamiento constituye un avance positivo. Sin embargo, podría reforzarse mediante la participación de los trabajadores y sus representantes para garantizar un enfoque integral de la gobernanza marítima.</w:t>
      </w:r>
    </w:p>
    <w:p w:rsidR="009B4410" w:rsidRPr="006F78EF" w:rsidRDefault="00E926E2" w:rsidP="009B4410">
      <w:r w:rsidRPr="006F78EF">
        <w:rPr>
          <w:rStyle w:val="HideTWBExt"/>
        </w:rPr>
        <w:t>&lt;/Amend&gt;</w:t>
      </w:r>
    </w:p>
    <w:p w:rsidR="009B4410" w:rsidRPr="006F78EF" w:rsidRDefault="00E926E2" w:rsidP="009B4410">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13</w:t>
      </w:r>
      <w:r w:rsidRPr="006F78EF">
        <w:rPr>
          <w:rStyle w:val="HideTWBExt"/>
        </w:rPr>
        <w:t>&lt;/NumAm&gt;</w:t>
      </w:r>
    </w:p>
    <w:p w:rsidR="009B4410" w:rsidRPr="006F78EF" w:rsidRDefault="00E926E2" w:rsidP="009B4410">
      <w:pPr>
        <w:pStyle w:val="NormalBold12b"/>
      </w:pPr>
      <w:r w:rsidRPr="006F78EF">
        <w:rPr>
          <w:rStyle w:val="HideTWBExt"/>
        </w:rPr>
        <w:t>&lt;DocAmend&gt;</w:t>
      </w:r>
      <w:r w:rsidRPr="006F78EF">
        <w:t>Propuesta de Directiva</w:t>
      </w:r>
      <w:r w:rsidRPr="006F78EF">
        <w:rPr>
          <w:rStyle w:val="HideTWBExt"/>
        </w:rPr>
        <w:t>&lt;/DocAmend&gt;</w:t>
      </w:r>
    </w:p>
    <w:p w:rsidR="009B4410" w:rsidRPr="006F78EF" w:rsidRDefault="00E926E2" w:rsidP="009B4410">
      <w:pPr>
        <w:pStyle w:val="NormalBold"/>
      </w:pPr>
      <w:r w:rsidRPr="006F78EF">
        <w:rPr>
          <w:rStyle w:val="HideTWBExt"/>
        </w:rPr>
        <w:t>&lt;Article&gt;</w:t>
      </w:r>
      <w:r w:rsidRPr="006F78EF">
        <w:t>Considerando 18</w:t>
      </w:r>
      <w:r w:rsidRPr="006F78E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B4410" w:rsidRPr="006F78EF" w:rsidRDefault="009B4410" w:rsidP="009B4410"/>
        </w:tc>
      </w:tr>
      <w:tr w:rsidR="00C6714F" w:rsidRPr="006F78EF" w:rsidTr="009B4410">
        <w:trPr>
          <w:trHeight w:val="240"/>
          <w:jc w:val="center"/>
        </w:trPr>
        <w:tc>
          <w:tcPr>
            <w:tcW w:w="4876" w:type="dxa"/>
          </w:tcPr>
          <w:p w:rsidR="009B4410" w:rsidRPr="006F78EF" w:rsidRDefault="00E926E2" w:rsidP="009B4410">
            <w:pPr>
              <w:pStyle w:val="AmColumnHeading"/>
            </w:pPr>
            <w:r w:rsidRPr="006F78EF">
              <w:t>Texto de la Comisión</w:t>
            </w:r>
          </w:p>
        </w:tc>
        <w:tc>
          <w:tcPr>
            <w:tcW w:w="4876" w:type="dxa"/>
          </w:tcPr>
          <w:p w:rsidR="009B4410" w:rsidRPr="006F78EF" w:rsidRDefault="00E926E2" w:rsidP="009B4410">
            <w:pPr>
              <w:pStyle w:val="AmColumnHeading"/>
            </w:pPr>
            <w:r w:rsidRPr="006F78EF">
              <w:t>Enmienda</w:t>
            </w:r>
          </w:p>
        </w:tc>
      </w:tr>
      <w:tr w:rsidR="00C6714F" w:rsidRPr="006F78EF" w:rsidTr="009B4410">
        <w:trPr>
          <w:jc w:val="center"/>
        </w:trPr>
        <w:tc>
          <w:tcPr>
            <w:tcW w:w="4876" w:type="dxa"/>
          </w:tcPr>
          <w:p w:rsidR="009B4410" w:rsidRPr="006F78EF" w:rsidRDefault="00E926E2" w:rsidP="009B4410">
            <w:pPr>
              <w:pStyle w:val="Normal6a"/>
            </w:pPr>
            <w:r w:rsidRPr="006F78EF">
              <w:t>(18)</w:t>
            </w:r>
            <w:r w:rsidRPr="006F78EF">
              <w:tab/>
              <w:t xml:space="preserve">Debe crearse una herramienta electrónica de notificación con el fin de seguir mejorando la recopilación coherente de </w:t>
            </w:r>
            <w:r w:rsidRPr="006F78EF">
              <w:t>estadísticas y de datos e información marítimos pertinentes de los Estados miembros.</w:t>
            </w:r>
          </w:p>
        </w:tc>
        <w:tc>
          <w:tcPr>
            <w:tcW w:w="4876" w:type="dxa"/>
          </w:tcPr>
          <w:p w:rsidR="009B4410" w:rsidRPr="006F78EF" w:rsidRDefault="00E926E2" w:rsidP="009B4410">
            <w:pPr>
              <w:pStyle w:val="Normal6a"/>
            </w:pPr>
            <w:r w:rsidRPr="006F78EF">
              <w:t>(18)</w:t>
            </w:r>
            <w:r w:rsidRPr="006F78EF">
              <w:tab/>
              <w:t>Debe crearse una herramienta electrónica de notificación con el fin de seguir mejorando la recopilación coherente de estadísticas y de datos e información marítimos p</w:t>
            </w:r>
            <w:r w:rsidRPr="006F78EF">
              <w:t>ertinentes de los Estados miembros</w:t>
            </w:r>
            <w:r w:rsidRPr="006F78EF">
              <w:rPr>
                <w:b/>
                <w:i/>
              </w:rPr>
              <w:t>, teniendo en cuenta las obligaciones de notificación ya establecidas en otros actos de la Unión, como el Reglamento (CE) n.º 1224/2009</w:t>
            </w:r>
            <w:r w:rsidRPr="006F78EF">
              <w:t>.</w:t>
            </w:r>
          </w:p>
        </w:tc>
      </w:tr>
    </w:tbl>
    <w:p w:rsidR="009B4410" w:rsidRPr="006F78EF" w:rsidRDefault="00E926E2" w:rsidP="009B4410">
      <w:r w:rsidRPr="006F78EF">
        <w:rPr>
          <w:rStyle w:val="HideTWBExt"/>
        </w:rPr>
        <w:t>&lt;/Amend&gt;</w:t>
      </w:r>
    </w:p>
    <w:p w:rsidR="00983849" w:rsidRPr="006F78EF" w:rsidRDefault="00E926E2" w:rsidP="00983849">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14</w:t>
      </w:r>
      <w:r w:rsidRPr="006F78EF">
        <w:rPr>
          <w:rStyle w:val="HideTWBExt"/>
        </w:rPr>
        <w:t>&lt;/NumAm&gt;</w:t>
      </w:r>
    </w:p>
    <w:p w:rsidR="00983849" w:rsidRPr="006F78EF" w:rsidRDefault="00E926E2" w:rsidP="00983849">
      <w:pPr>
        <w:pStyle w:val="NormalBold12b"/>
      </w:pPr>
      <w:r w:rsidRPr="006F78EF">
        <w:rPr>
          <w:rStyle w:val="HideTWBExt"/>
        </w:rPr>
        <w:t>&lt;DocAmend&gt;</w:t>
      </w:r>
      <w:r w:rsidRPr="006F78EF">
        <w:t>Propuesta de Directiva</w:t>
      </w:r>
      <w:r w:rsidRPr="006F78EF">
        <w:rPr>
          <w:rStyle w:val="HideTWBExt"/>
        </w:rPr>
        <w:t>&lt;/DocAme</w:t>
      </w:r>
      <w:r w:rsidRPr="006F78EF">
        <w:rPr>
          <w:rStyle w:val="HideTWBExt"/>
        </w:rPr>
        <w:t>nd&gt;</w:t>
      </w:r>
    </w:p>
    <w:p w:rsidR="00983849" w:rsidRPr="006F78EF" w:rsidRDefault="00E926E2" w:rsidP="00983849">
      <w:pPr>
        <w:pStyle w:val="NormalBold"/>
      </w:pPr>
      <w:r w:rsidRPr="006F78EF">
        <w:rPr>
          <w:rStyle w:val="HideTWBExt"/>
        </w:rPr>
        <w:t>&lt;Article&gt;</w:t>
      </w:r>
      <w:r w:rsidRPr="006F78EF">
        <w:t>Artículo 1 – párrafo 1 – punto 2</w:t>
      </w:r>
      <w:r w:rsidRPr="006F78EF">
        <w:rPr>
          <w:rStyle w:val="HideTWBExt"/>
        </w:rPr>
        <w:t>&lt;/Article&gt;</w:t>
      </w:r>
    </w:p>
    <w:p w:rsidR="00983849" w:rsidRPr="006F78EF" w:rsidRDefault="00E926E2" w:rsidP="00983849">
      <w:r w:rsidRPr="006F78EF">
        <w:rPr>
          <w:rStyle w:val="HideTWBExt"/>
        </w:rPr>
        <w:t>&lt;DocAmend2&gt;</w:t>
      </w:r>
      <w:r w:rsidRPr="006F78EF">
        <w:t>Directiva 2009/21/CE</w:t>
      </w:r>
      <w:r w:rsidRPr="006F78EF">
        <w:rPr>
          <w:rStyle w:val="HideTWBExt"/>
        </w:rPr>
        <w:t>&lt;/DocAmend2&gt;</w:t>
      </w:r>
    </w:p>
    <w:p w:rsidR="00983849" w:rsidRPr="006F78EF" w:rsidRDefault="00E926E2" w:rsidP="00983849">
      <w:r w:rsidRPr="006F78EF">
        <w:rPr>
          <w:rStyle w:val="HideTWBExt"/>
        </w:rPr>
        <w:t>&lt;Article2&gt;</w:t>
      </w:r>
      <w:r w:rsidRPr="006F78EF">
        <w:t>Artículo 4 – apartado 1</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83849" w:rsidRPr="006F78EF" w:rsidRDefault="00983849" w:rsidP="009B4410"/>
        </w:tc>
      </w:tr>
      <w:tr w:rsidR="00C6714F" w:rsidRPr="006F78EF" w:rsidTr="009B4410">
        <w:trPr>
          <w:trHeight w:val="240"/>
          <w:jc w:val="center"/>
        </w:trPr>
        <w:tc>
          <w:tcPr>
            <w:tcW w:w="4876" w:type="dxa"/>
          </w:tcPr>
          <w:p w:rsidR="00983849" w:rsidRPr="006F78EF" w:rsidRDefault="00E926E2" w:rsidP="009B4410">
            <w:pPr>
              <w:pStyle w:val="AmColumnHeading"/>
            </w:pPr>
            <w:r w:rsidRPr="006F78EF">
              <w:t>Texto de la Comisión</w:t>
            </w:r>
          </w:p>
        </w:tc>
        <w:tc>
          <w:tcPr>
            <w:tcW w:w="4876" w:type="dxa"/>
          </w:tcPr>
          <w:p w:rsidR="00983849" w:rsidRPr="006F78EF" w:rsidRDefault="00E926E2" w:rsidP="009B4410">
            <w:pPr>
              <w:pStyle w:val="AmColumnHeading"/>
            </w:pPr>
            <w:r w:rsidRPr="006F78EF">
              <w:t>Enmienda</w:t>
            </w:r>
          </w:p>
        </w:tc>
      </w:tr>
      <w:tr w:rsidR="00C6714F" w:rsidRPr="006F78EF" w:rsidTr="009B4410">
        <w:trPr>
          <w:jc w:val="center"/>
        </w:trPr>
        <w:tc>
          <w:tcPr>
            <w:tcW w:w="4876" w:type="dxa"/>
          </w:tcPr>
          <w:p w:rsidR="00983849" w:rsidRPr="006F78EF" w:rsidRDefault="00E926E2" w:rsidP="009B4410">
            <w:pPr>
              <w:pStyle w:val="Normal6a"/>
            </w:pPr>
            <w:r w:rsidRPr="006F78EF">
              <w:t>1.</w:t>
            </w:r>
            <w:r w:rsidRPr="006F78EF">
              <w:tab/>
              <w:t xml:space="preserve">El Estado miembro de que se trate, antes de permitir que comience a operar </w:t>
            </w:r>
            <w:r w:rsidRPr="006F78EF">
              <w:t>un buque al que haya abanderado, garantizará que dicho buque cumple las normas y reglamentaciones internacionales aplicables. En particular, verificará los registros de seguridad del buque utilizando los informes de inspección y los certificados que figure</w:t>
            </w:r>
            <w:r w:rsidRPr="006F78EF">
              <w:t xml:space="preserve">n en la base de datos contemplada en el artículo 6 bis. En caso necesario, consultará al anterior Estado de abanderamiento </w:t>
            </w:r>
            <w:r w:rsidRPr="006F78EF">
              <w:rPr>
                <w:b/>
                <w:i/>
              </w:rPr>
              <w:t>a fin de determinar si siguen sin resolver algunas de las deficiencias o cuestiones</w:t>
            </w:r>
            <w:r w:rsidRPr="006F78EF">
              <w:t xml:space="preserve"> de seguridad </w:t>
            </w:r>
            <w:r w:rsidRPr="006F78EF">
              <w:rPr>
                <w:b/>
                <w:i/>
              </w:rPr>
              <w:t>pendientes observadas por este</w:t>
            </w:r>
            <w:r w:rsidRPr="006F78EF">
              <w:t>.</w:t>
            </w:r>
          </w:p>
        </w:tc>
        <w:tc>
          <w:tcPr>
            <w:tcW w:w="4876" w:type="dxa"/>
          </w:tcPr>
          <w:p w:rsidR="00983849" w:rsidRPr="006F78EF" w:rsidRDefault="00E926E2" w:rsidP="009B4410">
            <w:pPr>
              <w:pStyle w:val="Normal6a"/>
            </w:pPr>
            <w:r w:rsidRPr="006F78EF">
              <w:t>1.</w:t>
            </w:r>
            <w:r w:rsidRPr="006F78EF">
              <w:tab/>
              <w:t>E</w:t>
            </w:r>
            <w:r w:rsidRPr="006F78EF">
              <w:t>l Estado miembro de que se trate, antes de permitir que comience a operar un buque al que haya abanderado, garantizará que dicho buque cumple las normas y reglamentaciones internacionales aplicables</w:t>
            </w:r>
            <w:r w:rsidRPr="006F78EF">
              <w:rPr>
                <w:b/>
                <w:i/>
              </w:rPr>
              <w:t xml:space="preserve">, especialmente en relación con las condiciones laborales </w:t>
            </w:r>
            <w:r w:rsidRPr="006F78EF">
              <w:rPr>
                <w:b/>
                <w:i/>
              </w:rPr>
              <w:t>de la gente de mar y con la protección del medio ambiente</w:t>
            </w:r>
            <w:r w:rsidRPr="006F78EF">
              <w:t>. En particular, verificará los registros de seguridad del buque utilizando los informes de inspección y los certificados que figuren en la base de datos contemplada en el artículo 6 bis. En caso nec</w:t>
            </w:r>
            <w:r w:rsidRPr="006F78EF">
              <w:t xml:space="preserve">esario, consultará al anterior Estado de abanderamiento </w:t>
            </w:r>
            <w:r w:rsidRPr="006F78EF">
              <w:rPr>
                <w:b/>
                <w:i/>
              </w:rPr>
              <w:t>para abordar cualquier deficiencia o cuestión</w:t>
            </w:r>
            <w:r w:rsidRPr="006F78EF">
              <w:t xml:space="preserve"> de seguridad </w:t>
            </w:r>
            <w:r w:rsidRPr="006F78EF">
              <w:rPr>
                <w:b/>
                <w:i/>
              </w:rPr>
              <w:t>pendiente</w:t>
            </w:r>
            <w:r w:rsidRPr="006F78EF">
              <w:t xml:space="preserve">. </w:t>
            </w:r>
            <w:r w:rsidRPr="006F78EF">
              <w:rPr>
                <w:b/>
                <w:i/>
              </w:rPr>
              <w:t>Esta colaboración tendrá por objeto garantizar que cualquier deficiencia o cuestión de seguridad pendiente se resuelva por complet</w:t>
            </w:r>
            <w:r w:rsidRPr="006F78EF">
              <w:rPr>
                <w:b/>
                <w:i/>
              </w:rPr>
              <w:t>o antes de que el buque comience a operar.</w:t>
            </w:r>
          </w:p>
        </w:tc>
      </w:tr>
    </w:tbl>
    <w:p w:rsidR="00983849" w:rsidRPr="006F78EF" w:rsidRDefault="00E926E2" w:rsidP="00983849">
      <w:r w:rsidRPr="006F78EF">
        <w:rPr>
          <w:rStyle w:val="HideTWBExt"/>
        </w:rPr>
        <w:t>&lt;/Amend&gt;</w:t>
      </w:r>
    </w:p>
    <w:p w:rsidR="00983849" w:rsidRPr="006F78EF" w:rsidRDefault="00E926E2" w:rsidP="00983849">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15</w:t>
      </w:r>
      <w:r w:rsidRPr="006F78EF">
        <w:rPr>
          <w:rStyle w:val="HideTWBExt"/>
        </w:rPr>
        <w:t>&lt;/NumAm&gt;</w:t>
      </w:r>
    </w:p>
    <w:p w:rsidR="00983849" w:rsidRPr="006F78EF" w:rsidRDefault="00E926E2" w:rsidP="00983849">
      <w:pPr>
        <w:pStyle w:val="NormalBold12b"/>
      </w:pPr>
      <w:r w:rsidRPr="006F78EF">
        <w:rPr>
          <w:rStyle w:val="HideTWBExt"/>
        </w:rPr>
        <w:t>&lt;DocAmend&gt;</w:t>
      </w:r>
      <w:r w:rsidRPr="006F78EF">
        <w:t>Propuesta de Directiva</w:t>
      </w:r>
      <w:r w:rsidRPr="006F78EF">
        <w:rPr>
          <w:rStyle w:val="HideTWBExt"/>
        </w:rPr>
        <w:t>&lt;/DocAmend&gt;</w:t>
      </w:r>
    </w:p>
    <w:p w:rsidR="00983849" w:rsidRPr="006F78EF" w:rsidRDefault="00E926E2" w:rsidP="00983849">
      <w:pPr>
        <w:pStyle w:val="NormalBold"/>
      </w:pPr>
      <w:r w:rsidRPr="006F78EF">
        <w:rPr>
          <w:rStyle w:val="HideTWBExt"/>
        </w:rPr>
        <w:t>&lt;Article&gt;</w:t>
      </w:r>
      <w:r w:rsidRPr="006F78EF">
        <w:t>Artículo 1 – párrafo 1 – punto 3</w:t>
      </w:r>
      <w:r w:rsidRPr="006F78EF">
        <w:rPr>
          <w:rStyle w:val="HideTWBExt"/>
        </w:rPr>
        <w:t>&lt;/Article&gt;</w:t>
      </w:r>
    </w:p>
    <w:p w:rsidR="00983849" w:rsidRPr="006F78EF" w:rsidRDefault="00E926E2" w:rsidP="00983849">
      <w:r w:rsidRPr="006F78EF">
        <w:rPr>
          <w:rStyle w:val="HideTWBExt"/>
        </w:rPr>
        <w:t>&lt;DocAmend2&gt;</w:t>
      </w:r>
      <w:r w:rsidRPr="006F78EF">
        <w:t>Directiva 2009/21/CE</w:t>
      </w:r>
      <w:r w:rsidRPr="006F78EF">
        <w:rPr>
          <w:rStyle w:val="HideTWBExt"/>
        </w:rPr>
        <w:t>&lt;/DocAmend2&gt;</w:t>
      </w:r>
    </w:p>
    <w:p w:rsidR="00983849" w:rsidRPr="006F78EF" w:rsidRDefault="00E926E2" w:rsidP="00983849">
      <w:r w:rsidRPr="006F78EF">
        <w:rPr>
          <w:rStyle w:val="HideTWBExt"/>
        </w:rPr>
        <w:t>&lt;Article2&gt;</w:t>
      </w:r>
      <w:r w:rsidRPr="006F78EF">
        <w:t>Artículo 4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83849" w:rsidRPr="006F78EF" w:rsidRDefault="00983849" w:rsidP="009B4410"/>
        </w:tc>
      </w:tr>
      <w:tr w:rsidR="00C6714F" w:rsidRPr="006F78EF" w:rsidTr="009B4410">
        <w:trPr>
          <w:trHeight w:val="240"/>
          <w:jc w:val="center"/>
        </w:trPr>
        <w:tc>
          <w:tcPr>
            <w:tcW w:w="4876" w:type="dxa"/>
          </w:tcPr>
          <w:p w:rsidR="00983849" w:rsidRPr="006F78EF" w:rsidRDefault="00E926E2" w:rsidP="009B4410">
            <w:pPr>
              <w:pStyle w:val="AmColumnHeading"/>
            </w:pPr>
            <w:r w:rsidRPr="006F78EF">
              <w:t>Texto de la Comisión</w:t>
            </w:r>
          </w:p>
        </w:tc>
        <w:tc>
          <w:tcPr>
            <w:tcW w:w="4876" w:type="dxa"/>
          </w:tcPr>
          <w:p w:rsidR="00983849" w:rsidRPr="006F78EF" w:rsidRDefault="00E926E2" w:rsidP="009B4410">
            <w:pPr>
              <w:pStyle w:val="AmColumnHeading"/>
            </w:pPr>
            <w:r w:rsidRPr="006F78EF">
              <w:t>Enmienda</w:t>
            </w:r>
          </w:p>
        </w:tc>
      </w:tr>
      <w:tr w:rsidR="00C6714F" w:rsidRPr="006F78EF" w:rsidTr="009B4410">
        <w:trPr>
          <w:jc w:val="center"/>
        </w:trPr>
        <w:tc>
          <w:tcPr>
            <w:tcW w:w="4876" w:type="dxa"/>
          </w:tcPr>
          <w:p w:rsidR="00983849" w:rsidRPr="006F78EF" w:rsidRDefault="00E926E2" w:rsidP="009B4410">
            <w:pPr>
              <w:pStyle w:val="Normal6a"/>
            </w:pPr>
            <w:r w:rsidRPr="006F78EF">
              <w:t>a)</w:t>
            </w:r>
            <w:r w:rsidRPr="006F78EF">
              <w:tab/>
              <w:t>prohibir que los buques zarpen antes de que cumplan lo prescrito en las reglas y normas internacionales;</w:t>
            </w:r>
          </w:p>
        </w:tc>
        <w:tc>
          <w:tcPr>
            <w:tcW w:w="4876" w:type="dxa"/>
          </w:tcPr>
          <w:p w:rsidR="00983849" w:rsidRPr="006F78EF" w:rsidRDefault="00E926E2" w:rsidP="009B4410">
            <w:pPr>
              <w:pStyle w:val="Normal6a"/>
            </w:pPr>
            <w:r w:rsidRPr="006F78EF">
              <w:t>a)</w:t>
            </w:r>
            <w:r w:rsidRPr="006F78EF">
              <w:tab/>
              <w:t xml:space="preserve">prohibir que los buques zarpen antes de que cumplan lo prescrito en las reglas y normas </w:t>
            </w:r>
            <w:r w:rsidRPr="006F78EF">
              <w:t xml:space="preserve">internacionales; </w:t>
            </w:r>
            <w:r w:rsidRPr="006F78EF">
              <w:rPr>
                <w:b/>
                <w:i/>
              </w:rPr>
              <w:t>prever la realización de simulacros y ejercicios de seguridad periódicos para garantizar que la tripulación esté preparada ante situaciones de emergencia y hacer cumplir la normativa sobre las horas de descanso de la tripulación para evita</w:t>
            </w:r>
            <w:r w:rsidRPr="006F78EF">
              <w:rPr>
                <w:b/>
                <w:i/>
              </w:rPr>
              <w:t>r accidentes relacionados con el cansancio;</w:t>
            </w:r>
          </w:p>
        </w:tc>
      </w:tr>
    </w:tbl>
    <w:p w:rsidR="00983849" w:rsidRPr="006F78EF" w:rsidRDefault="00E926E2" w:rsidP="00983849">
      <w:r w:rsidRPr="006F78EF">
        <w:rPr>
          <w:rStyle w:val="HideTWBExt"/>
        </w:rPr>
        <w:t>&lt;/Amend&gt;</w:t>
      </w:r>
    </w:p>
    <w:p w:rsidR="00983849" w:rsidRPr="006F78EF" w:rsidRDefault="00E926E2" w:rsidP="00983849">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16</w:t>
      </w:r>
      <w:r w:rsidRPr="006F78EF">
        <w:rPr>
          <w:rStyle w:val="HideTWBExt"/>
        </w:rPr>
        <w:t>&lt;/NumAm&gt;</w:t>
      </w:r>
    </w:p>
    <w:p w:rsidR="00983849" w:rsidRPr="006F78EF" w:rsidRDefault="00E926E2" w:rsidP="00983849">
      <w:pPr>
        <w:pStyle w:val="NormalBold12b"/>
      </w:pPr>
      <w:r w:rsidRPr="006F78EF">
        <w:rPr>
          <w:rStyle w:val="HideTWBExt"/>
        </w:rPr>
        <w:t>&lt;DocAmend&gt;</w:t>
      </w:r>
      <w:r w:rsidRPr="006F78EF">
        <w:t>Propuesta de Directiva</w:t>
      </w:r>
      <w:r w:rsidRPr="006F78EF">
        <w:rPr>
          <w:rStyle w:val="HideTWBExt"/>
        </w:rPr>
        <w:t>&lt;/DocAmend&gt;</w:t>
      </w:r>
    </w:p>
    <w:p w:rsidR="00983849" w:rsidRPr="006F78EF" w:rsidRDefault="00E926E2" w:rsidP="00983849">
      <w:pPr>
        <w:pStyle w:val="NormalBold"/>
      </w:pPr>
      <w:r w:rsidRPr="006F78EF">
        <w:rPr>
          <w:rStyle w:val="HideTWBExt"/>
        </w:rPr>
        <w:t>&lt;Article&gt;</w:t>
      </w:r>
      <w:r w:rsidRPr="006F78EF">
        <w:t>Artículo 1 – párrafo 1 – punto 3</w:t>
      </w:r>
      <w:r w:rsidRPr="006F78EF">
        <w:rPr>
          <w:rStyle w:val="HideTWBExt"/>
        </w:rPr>
        <w:t>&lt;/Article&gt;</w:t>
      </w:r>
    </w:p>
    <w:p w:rsidR="00983849" w:rsidRPr="006F78EF" w:rsidRDefault="00E926E2" w:rsidP="00983849">
      <w:r w:rsidRPr="006F78EF">
        <w:rPr>
          <w:rStyle w:val="HideTWBExt"/>
        </w:rPr>
        <w:t>&lt;DocAmend2&gt;</w:t>
      </w:r>
      <w:r w:rsidRPr="006F78EF">
        <w:t>Directiva 2009/21/CE</w:t>
      </w:r>
      <w:r w:rsidRPr="006F78EF">
        <w:rPr>
          <w:rStyle w:val="HideTWBExt"/>
        </w:rPr>
        <w:t>&lt;/DocAmend2&gt;</w:t>
      </w:r>
    </w:p>
    <w:p w:rsidR="00983849" w:rsidRPr="006F78EF" w:rsidRDefault="00E926E2" w:rsidP="00983849">
      <w:r w:rsidRPr="006F78EF">
        <w:rPr>
          <w:rStyle w:val="HideTWBExt"/>
        </w:rPr>
        <w:t>&lt;Article2&gt;</w:t>
      </w:r>
      <w:r w:rsidRPr="006F78EF">
        <w:t>Artículo 4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83849" w:rsidRPr="006F78EF" w:rsidRDefault="00983849" w:rsidP="009B4410"/>
        </w:tc>
      </w:tr>
      <w:tr w:rsidR="00C6714F" w:rsidRPr="006F78EF" w:rsidTr="009B4410">
        <w:trPr>
          <w:trHeight w:val="240"/>
          <w:jc w:val="center"/>
        </w:trPr>
        <w:tc>
          <w:tcPr>
            <w:tcW w:w="4876" w:type="dxa"/>
          </w:tcPr>
          <w:p w:rsidR="00983849" w:rsidRPr="006F78EF" w:rsidRDefault="00E926E2" w:rsidP="009B4410">
            <w:pPr>
              <w:pStyle w:val="AmColumnHeading"/>
            </w:pPr>
            <w:r w:rsidRPr="006F78EF">
              <w:t>Texto de la Comisión</w:t>
            </w:r>
          </w:p>
        </w:tc>
        <w:tc>
          <w:tcPr>
            <w:tcW w:w="4876" w:type="dxa"/>
          </w:tcPr>
          <w:p w:rsidR="00983849" w:rsidRPr="006F78EF" w:rsidRDefault="00E926E2" w:rsidP="009B4410">
            <w:pPr>
              <w:pStyle w:val="AmColumnHeading"/>
            </w:pPr>
            <w:r w:rsidRPr="006F78EF">
              <w:t>Enmienda</w:t>
            </w:r>
          </w:p>
        </w:tc>
      </w:tr>
      <w:tr w:rsidR="00C6714F" w:rsidRPr="006F78EF" w:rsidTr="009B4410">
        <w:trPr>
          <w:jc w:val="center"/>
        </w:trPr>
        <w:tc>
          <w:tcPr>
            <w:tcW w:w="4876" w:type="dxa"/>
          </w:tcPr>
          <w:p w:rsidR="00983849" w:rsidRPr="006F78EF" w:rsidRDefault="00E926E2" w:rsidP="009B4410">
            <w:pPr>
              <w:pStyle w:val="Normal6a"/>
            </w:pPr>
            <w:r w:rsidRPr="006F78EF">
              <w:t>b)</w:t>
            </w:r>
            <w:r w:rsidRPr="006F78EF">
              <w:tab/>
              <w:t xml:space="preserve">garantizar que se haya supervisado a los buques autorizados a enarbolar su pabellón de conformidad con las directrices para efectuar reconocimientos del sistema armonizado de reconocimientos y certificación </w:t>
            </w:r>
            <w:r w:rsidRPr="006F78EF">
              <w:t>(SARC)</w:t>
            </w:r>
            <w:r w:rsidRPr="006F78EF">
              <w:rPr>
                <w:b/>
                <w:i/>
              </w:rPr>
              <w:t>;</w:t>
            </w:r>
            <w:r w:rsidRPr="006F78EF">
              <w:t xml:space="preserve"> </w:t>
            </w:r>
            <w:r w:rsidRPr="006F78EF">
              <w:rPr>
                <w:b/>
                <w:i/>
              </w:rPr>
              <w:t>y</w:t>
            </w:r>
          </w:p>
        </w:tc>
        <w:tc>
          <w:tcPr>
            <w:tcW w:w="4876" w:type="dxa"/>
          </w:tcPr>
          <w:p w:rsidR="00983849" w:rsidRPr="006F78EF" w:rsidRDefault="00E926E2" w:rsidP="009B4410">
            <w:pPr>
              <w:pStyle w:val="Normal6a"/>
            </w:pPr>
            <w:r w:rsidRPr="006F78EF">
              <w:t>b)</w:t>
            </w:r>
            <w:r w:rsidRPr="006F78EF">
              <w:tab/>
              <w:t>garantizar que se haya supervisado a los buques autorizados a enarbolar su pabellón de conformidad con las directrices para efectuar reconocimientos del sistema armonizado de reconocimientos y certificación (SARC)</w:t>
            </w:r>
            <w:r w:rsidRPr="006F78EF">
              <w:rPr>
                <w:b/>
                <w:i/>
              </w:rPr>
              <w:t>.</w:t>
            </w:r>
            <w:r w:rsidRPr="006F78EF">
              <w:t xml:space="preserve"> </w:t>
            </w:r>
            <w:r w:rsidRPr="006F78EF">
              <w:rPr>
                <w:b/>
                <w:i/>
              </w:rPr>
              <w:t xml:space="preserve">Esto incluye la realización </w:t>
            </w:r>
            <w:r w:rsidRPr="006F78EF">
              <w:rPr>
                <w:b/>
                <w:i/>
              </w:rPr>
              <w:t>de auditorías medioambientales —que vayan más allá de las inspecciones de seguridad ordinarias— para evaluar el cumplimiento de la normativa relativa a las emisiones, la gestión del agua de lastre y otras cuestiones medioambientales;</w:t>
            </w:r>
          </w:p>
        </w:tc>
      </w:tr>
    </w:tbl>
    <w:p w:rsidR="00983849" w:rsidRPr="006F78EF" w:rsidRDefault="00E926E2" w:rsidP="00983849">
      <w:r w:rsidRPr="006F78EF">
        <w:rPr>
          <w:rStyle w:val="HideTWBExt"/>
        </w:rPr>
        <w:t>&lt;/Amend&gt;</w:t>
      </w:r>
    </w:p>
    <w:p w:rsidR="00983849" w:rsidRPr="006F78EF" w:rsidRDefault="00E926E2" w:rsidP="00983849">
      <w:pPr>
        <w:pStyle w:val="AmNumberTabs"/>
      </w:pPr>
      <w:r w:rsidRPr="006F78EF">
        <w:rPr>
          <w:rStyle w:val="HideTWBExt"/>
        </w:rPr>
        <w:t>&lt;Amend&gt;</w:t>
      </w:r>
      <w:r w:rsidRPr="006F78EF">
        <w:t>Enmie</w:t>
      </w:r>
      <w:r w:rsidRPr="006F78EF">
        <w:t>nda</w:t>
      </w:r>
      <w:r w:rsidRPr="006F78EF">
        <w:tab/>
      </w:r>
      <w:r w:rsidRPr="006F78EF">
        <w:tab/>
      </w:r>
      <w:r w:rsidRPr="006F78EF">
        <w:rPr>
          <w:rStyle w:val="HideTWBExt"/>
        </w:rPr>
        <w:t>&lt;NumAm&gt;</w:t>
      </w:r>
      <w:r w:rsidRPr="006F78EF">
        <w:t>17</w:t>
      </w:r>
      <w:r w:rsidRPr="006F78EF">
        <w:rPr>
          <w:rStyle w:val="HideTWBExt"/>
        </w:rPr>
        <w:t>&lt;/NumAm&gt;</w:t>
      </w:r>
    </w:p>
    <w:p w:rsidR="00983849" w:rsidRPr="006F78EF" w:rsidRDefault="00E926E2" w:rsidP="00983849">
      <w:pPr>
        <w:pStyle w:val="NormalBold12b"/>
      </w:pPr>
      <w:r w:rsidRPr="006F78EF">
        <w:rPr>
          <w:rStyle w:val="HideTWBExt"/>
        </w:rPr>
        <w:t>&lt;DocAmend&gt;</w:t>
      </w:r>
      <w:r w:rsidRPr="006F78EF">
        <w:t>Propuesta de Directiva</w:t>
      </w:r>
      <w:r w:rsidRPr="006F78EF">
        <w:rPr>
          <w:rStyle w:val="HideTWBExt"/>
        </w:rPr>
        <w:t>&lt;/DocAmend&gt;</w:t>
      </w:r>
    </w:p>
    <w:p w:rsidR="00983849" w:rsidRPr="006F78EF" w:rsidRDefault="00E926E2" w:rsidP="00983849">
      <w:pPr>
        <w:pStyle w:val="NormalBold"/>
      </w:pPr>
      <w:r w:rsidRPr="006F78EF">
        <w:rPr>
          <w:rStyle w:val="HideTWBExt"/>
        </w:rPr>
        <w:t>&lt;Article&gt;</w:t>
      </w:r>
      <w:r w:rsidRPr="006F78EF">
        <w:t>Artículo 1 – párrafo 1 – punto 3</w:t>
      </w:r>
      <w:r w:rsidRPr="006F78EF">
        <w:rPr>
          <w:rStyle w:val="HideTWBExt"/>
        </w:rPr>
        <w:t>&lt;/Article&gt;</w:t>
      </w:r>
    </w:p>
    <w:p w:rsidR="00983849" w:rsidRPr="006F78EF" w:rsidRDefault="00E926E2" w:rsidP="00983849">
      <w:r w:rsidRPr="006F78EF">
        <w:rPr>
          <w:rStyle w:val="HideTWBExt"/>
        </w:rPr>
        <w:t>&lt;DocAmend2&gt;</w:t>
      </w:r>
      <w:r w:rsidRPr="006F78EF">
        <w:t>Directiva 2009/21/CE</w:t>
      </w:r>
      <w:r w:rsidRPr="006F78EF">
        <w:rPr>
          <w:rStyle w:val="HideTWBExt"/>
        </w:rPr>
        <w:t>&lt;/DocAmend2&gt;</w:t>
      </w:r>
    </w:p>
    <w:p w:rsidR="00983849" w:rsidRPr="006F78EF" w:rsidRDefault="00E926E2" w:rsidP="00983849">
      <w:r w:rsidRPr="006F78EF">
        <w:rPr>
          <w:rStyle w:val="HideTWBExt"/>
        </w:rPr>
        <w:t>&lt;Article2&gt;</w:t>
      </w:r>
      <w:r w:rsidRPr="006F78EF">
        <w:t>Artículo 4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83849" w:rsidRPr="006F78EF" w:rsidRDefault="00983849" w:rsidP="009B4410"/>
        </w:tc>
      </w:tr>
      <w:tr w:rsidR="00C6714F" w:rsidRPr="006F78EF" w:rsidTr="009B4410">
        <w:trPr>
          <w:trHeight w:val="240"/>
          <w:jc w:val="center"/>
        </w:trPr>
        <w:tc>
          <w:tcPr>
            <w:tcW w:w="4876" w:type="dxa"/>
          </w:tcPr>
          <w:p w:rsidR="00983849" w:rsidRPr="006F78EF" w:rsidRDefault="00E926E2" w:rsidP="009B4410">
            <w:pPr>
              <w:pStyle w:val="AmColumnHeading"/>
            </w:pPr>
            <w:r w:rsidRPr="006F78EF">
              <w:t>Texto de la Comisión</w:t>
            </w:r>
          </w:p>
        </w:tc>
        <w:tc>
          <w:tcPr>
            <w:tcW w:w="4876" w:type="dxa"/>
          </w:tcPr>
          <w:p w:rsidR="00983849" w:rsidRPr="006F78EF" w:rsidRDefault="00E926E2" w:rsidP="009B4410">
            <w:pPr>
              <w:pStyle w:val="AmColumnHeading"/>
            </w:pPr>
            <w:r w:rsidRPr="006F78EF">
              <w:t>Enmienda</w:t>
            </w:r>
          </w:p>
        </w:tc>
      </w:tr>
      <w:tr w:rsidR="00C6714F" w:rsidRPr="006F78EF" w:rsidTr="009B4410">
        <w:trPr>
          <w:jc w:val="center"/>
        </w:trPr>
        <w:tc>
          <w:tcPr>
            <w:tcW w:w="4876" w:type="dxa"/>
          </w:tcPr>
          <w:p w:rsidR="00983849" w:rsidRPr="006F78EF" w:rsidRDefault="00983849" w:rsidP="009B4410">
            <w:pPr>
              <w:pStyle w:val="Normal6a"/>
            </w:pPr>
          </w:p>
        </w:tc>
        <w:tc>
          <w:tcPr>
            <w:tcW w:w="4876" w:type="dxa"/>
          </w:tcPr>
          <w:p w:rsidR="00983849" w:rsidRPr="006F78EF" w:rsidRDefault="00E926E2" w:rsidP="009B4410">
            <w:pPr>
              <w:pStyle w:val="Normal6a"/>
            </w:pPr>
            <w:r w:rsidRPr="006F78EF">
              <w:rPr>
                <w:b/>
                <w:i/>
              </w:rPr>
              <w:t>b bis)</w:t>
            </w:r>
            <w:r w:rsidRPr="006F78EF">
              <w:tab/>
            </w:r>
            <w:r w:rsidRPr="006F78EF">
              <w:rPr>
                <w:b/>
                <w:i/>
              </w:rPr>
              <w:t xml:space="preserve">promover una </w:t>
            </w:r>
            <w:r w:rsidRPr="006F78EF">
              <w:rPr>
                <w:b/>
                <w:i/>
              </w:rPr>
              <w:t>cultura de la seguridad a bordo de los buques fomentando la notificación de cuasiaccidentes y condiciones inseguras, así como la mejora continua de las prácticas en materia de seguridad;</w:t>
            </w:r>
          </w:p>
        </w:tc>
      </w:tr>
    </w:tbl>
    <w:p w:rsidR="00983849" w:rsidRPr="006F78EF" w:rsidRDefault="00E926E2" w:rsidP="00983849">
      <w:r w:rsidRPr="006F78EF">
        <w:rPr>
          <w:rStyle w:val="HideTWBExt"/>
        </w:rPr>
        <w:t>&lt;/Amend&gt;</w:t>
      </w:r>
    </w:p>
    <w:p w:rsidR="00983849" w:rsidRPr="006F78EF" w:rsidRDefault="00E926E2" w:rsidP="00983849">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18</w:t>
      </w:r>
      <w:r w:rsidRPr="006F78EF">
        <w:rPr>
          <w:rStyle w:val="HideTWBExt"/>
        </w:rPr>
        <w:t>&lt;/NumAm&gt;</w:t>
      </w:r>
    </w:p>
    <w:p w:rsidR="00983849" w:rsidRPr="006F78EF" w:rsidRDefault="00E926E2" w:rsidP="00983849">
      <w:pPr>
        <w:pStyle w:val="NormalBold12b"/>
      </w:pPr>
      <w:r w:rsidRPr="006F78EF">
        <w:rPr>
          <w:rStyle w:val="HideTWBExt"/>
        </w:rPr>
        <w:t>&lt;DocAmend&gt;</w:t>
      </w:r>
      <w:r w:rsidRPr="006F78EF">
        <w:t xml:space="preserve">Propuesta de </w:t>
      </w:r>
      <w:r w:rsidRPr="006F78EF">
        <w:t>Directiva</w:t>
      </w:r>
      <w:r w:rsidRPr="006F78EF">
        <w:rPr>
          <w:rStyle w:val="HideTWBExt"/>
        </w:rPr>
        <w:t>&lt;/DocAmend&gt;</w:t>
      </w:r>
    </w:p>
    <w:p w:rsidR="00983849" w:rsidRPr="006F78EF" w:rsidRDefault="00E926E2" w:rsidP="00983849">
      <w:pPr>
        <w:pStyle w:val="NormalBold"/>
      </w:pPr>
      <w:r w:rsidRPr="006F78EF">
        <w:rPr>
          <w:rStyle w:val="HideTWBExt"/>
        </w:rPr>
        <w:t>&lt;Article&gt;</w:t>
      </w:r>
      <w:r w:rsidRPr="006F78EF">
        <w:t>Artículo 1 – párrafo 1 – punto 3</w:t>
      </w:r>
      <w:r w:rsidRPr="006F78EF">
        <w:rPr>
          <w:rStyle w:val="HideTWBExt"/>
        </w:rPr>
        <w:t>&lt;/Article&gt;</w:t>
      </w:r>
    </w:p>
    <w:p w:rsidR="00983849" w:rsidRPr="006F78EF" w:rsidRDefault="00E926E2" w:rsidP="00983849">
      <w:r w:rsidRPr="006F78EF">
        <w:rPr>
          <w:rStyle w:val="HideTWBExt"/>
        </w:rPr>
        <w:t>&lt;DocAmend2&gt;</w:t>
      </w:r>
      <w:r w:rsidRPr="006F78EF">
        <w:t>Directiva 2009/21/CE</w:t>
      </w:r>
      <w:r w:rsidRPr="006F78EF">
        <w:rPr>
          <w:rStyle w:val="HideTWBExt"/>
        </w:rPr>
        <w:t>&lt;/DocAmend2&gt;</w:t>
      </w:r>
    </w:p>
    <w:p w:rsidR="00983849" w:rsidRPr="006F78EF" w:rsidRDefault="00E926E2" w:rsidP="00983849">
      <w:r w:rsidRPr="006F78EF">
        <w:rPr>
          <w:rStyle w:val="HideTWBExt"/>
        </w:rPr>
        <w:t>&lt;Article2&gt;</w:t>
      </w:r>
      <w:r w:rsidRPr="006F78EF">
        <w:t>Artículo 4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83849" w:rsidRPr="006F78EF" w:rsidRDefault="00983849" w:rsidP="009B4410"/>
        </w:tc>
      </w:tr>
      <w:tr w:rsidR="00C6714F" w:rsidRPr="006F78EF" w:rsidTr="009B4410">
        <w:trPr>
          <w:trHeight w:val="240"/>
          <w:jc w:val="center"/>
        </w:trPr>
        <w:tc>
          <w:tcPr>
            <w:tcW w:w="4876" w:type="dxa"/>
          </w:tcPr>
          <w:p w:rsidR="00983849" w:rsidRPr="006F78EF" w:rsidRDefault="00E926E2" w:rsidP="009B4410">
            <w:pPr>
              <w:pStyle w:val="AmColumnHeading"/>
            </w:pPr>
            <w:r w:rsidRPr="006F78EF">
              <w:t>Texto de la Comisión</w:t>
            </w:r>
          </w:p>
        </w:tc>
        <w:tc>
          <w:tcPr>
            <w:tcW w:w="4876" w:type="dxa"/>
          </w:tcPr>
          <w:p w:rsidR="00983849" w:rsidRPr="006F78EF" w:rsidRDefault="00E926E2" w:rsidP="009B4410">
            <w:pPr>
              <w:pStyle w:val="AmColumnHeading"/>
            </w:pPr>
            <w:r w:rsidRPr="006F78EF">
              <w:t>Enmienda</w:t>
            </w:r>
          </w:p>
        </w:tc>
      </w:tr>
      <w:tr w:rsidR="00C6714F" w:rsidRPr="006F78EF" w:rsidTr="009B4410">
        <w:trPr>
          <w:jc w:val="center"/>
        </w:trPr>
        <w:tc>
          <w:tcPr>
            <w:tcW w:w="4876" w:type="dxa"/>
          </w:tcPr>
          <w:p w:rsidR="00983849" w:rsidRPr="006F78EF" w:rsidRDefault="00983849" w:rsidP="009B4410">
            <w:pPr>
              <w:pStyle w:val="Normal6a"/>
            </w:pPr>
          </w:p>
        </w:tc>
        <w:tc>
          <w:tcPr>
            <w:tcW w:w="4876" w:type="dxa"/>
          </w:tcPr>
          <w:p w:rsidR="00983849" w:rsidRPr="006F78EF" w:rsidRDefault="00E926E2" w:rsidP="009B4410">
            <w:pPr>
              <w:pStyle w:val="Normal6a"/>
            </w:pPr>
            <w:r w:rsidRPr="006F78EF">
              <w:rPr>
                <w:b/>
                <w:i/>
              </w:rPr>
              <w:t>b ter)</w:t>
            </w:r>
            <w:r w:rsidRPr="006F78EF">
              <w:tab/>
            </w:r>
            <w:r w:rsidRPr="006F78EF">
              <w:rPr>
                <w:b/>
                <w:i/>
              </w:rPr>
              <w:t xml:space="preserve">colaborar con otros Estados de abanderamiento y organismos </w:t>
            </w:r>
            <w:r w:rsidRPr="006F78EF">
              <w:rPr>
                <w:b/>
                <w:i/>
              </w:rPr>
              <w:t>internacionales para llevar a cabo inspecciones conjuntas, compartir información y armonizar los esfuerzos destinados a garantizar el cumplimiento efectivo de las reglas y normas internacionales;</w:t>
            </w:r>
          </w:p>
        </w:tc>
      </w:tr>
    </w:tbl>
    <w:p w:rsidR="00983849" w:rsidRPr="006F78EF" w:rsidRDefault="00E926E2" w:rsidP="00983849">
      <w:r w:rsidRPr="006F78EF">
        <w:rPr>
          <w:rStyle w:val="HideTWBExt"/>
        </w:rPr>
        <w:t>&lt;/Amend&gt;</w:t>
      </w:r>
    </w:p>
    <w:p w:rsidR="00983849" w:rsidRPr="006F78EF" w:rsidRDefault="00E926E2" w:rsidP="00983849">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19</w:t>
      </w:r>
      <w:r w:rsidRPr="006F78EF">
        <w:rPr>
          <w:rStyle w:val="HideTWBExt"/>
        </w:rPr>
        <w:t>&lt;/NumAm&gt;</w:t>
      </w:r>
    </w:p>
    <w:p w:rsidR="00983849" w:rsidRPr="006F78EF" w:rsidRDefault="00E926E2" w:rsidP="00983849">
      <w:pPr>
        <w:pStyle w:val="NormalBold12b"/>
      </w:pPr>
      <w:r w:rsidRPr="006F78EF">
        <w:rPr>
          <w:rStyle w:val="HideTWBExt"/>
        </w:rPr>
        <w:t>&lt;DocAmend&gt;</w:t>
      </w:r>
      <w:r w:rsidRPr="006F78EF">
        <w:t>Propuesta de Directiva</w:t>
      </w:r>
      <w:r w:rsidRPr="006F78EF">
        <w:rPr>
          <w:rStyle w:val="HideTWBExt"/>
        </w:rPr>
        <w:t>&lt;/DocAmend&gt;</w:t>
      </w:r>
    </w:p>
    <w:p w:rsidR="00983849" w:rsidRPr="006F78EF" w:rsidRDefault="00E926E2" w:rsidP="00983849">
      <w:pPr>
        <w:pStyle w:val="NormalBold"/>
      </w:pPr>
      <w:r w:rsidRPr="006F78EF">
        <w:rPr>
          <w:rStyle w:val="HideTWBExt"/>
        </w:rPr>
        <w:t>&lt;Article&gt;</w:t>
      </w:r>
      <w:r w:rsidRPr="006F78EF">
        <w:t>Artículo 1 – párrafo 1 – punto 3</w:t>
      </w:r>
      <w:r w:rsidRPr="006F78EF">
        <w:rPr>
          <w:rStyle w:val="HideTWBExt"/>
        </w:rPr>
        <w:t>&lt;/Article&gt;</w:t>
      </w:r>
    </w:p>
    <w:p w:rsidR="00983849" w:rsidRPr="006F78EF" w:rsidRDefault="00E926E2" w:rsidP="00983849">
      <w:r w:rsidRPr="006F78EF">
        <w:rPr>
          <w:rStyle w:val="HideTWBExt"/>
        </w:rPr>
        <w:t>&lt;DocAmend2&gt;</w:t>
      </w:r>
      <w:r w:rsidRPr="006F78EF">
        <w:t>Directiva 2009/21/CE</w:t>
      </w:r>
      <w:r w:rsidRPr="006F78EF">
        <w:rPr>
          <w:rStyle w:val="HideTWBExt"/>
        </w:rPr>
        <w:t>&lt;/DocAmend2&gt;</w:t>
      </w:r>
    </w:p>
    <w:p w:rsidR="00983849" w:rsidRPr="006F78EF" w:rsidRDefault="00E926E2" w:rsidP="00983849">
      <w:r w:rsidRPr="006F78EF">
        <w:rPr>
          <w:rStyle w:val="HideTWBExt"/>
        </w:rPr>
        <w:t>&lt;Article2&gt;</w:t>
      </w:r>
      <w:r w:rsidRPr="006F78EF">
        <w:t>Artículo 4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83849" w:rsidRPr="006F78EF" w:rsidRDefault="00983849" w:rsidP="009B4410"/>
        </w:tc>
      </w:tr>
      <w:tr w:rsidR="00C6714F" w:rsidRPr="006F78EF" w:rsidTr="009B4410">
        <w:trPr>
          <w:trHeight w:val="240"/>
          <w:jc w:val="center"/>
        </w:trPr>
        <w:tc>
          <w:tcPr>
            <w:tcW w:w="4876" w:type="dxa"/>
          </w:tcPr>
          <w:p w:rsidR="00983849" w:rsidRPr="006F78EF" w:rsidRDefault="00E926E2" w:rsidP="009B4410">
            <w:pPr>
              <w:pStyle w:val="AmColumnHeading"/>
            </w:pPr>
            <w:r w:rsidRPr="006F78EF">
              <w:t>Texto de la Comisión</w:t>
            </w:r>
          </w:p>
        </w:tc>
        <w:tc>
          <w:tcPr>
            <w:tcW w:w="4876" w:type="dxa"/>
          </w:tcPr>
          <w:p w:rsidR="00983849" w:rsidRPr="006F78EF" w:rsidRDefault="00E926E2" w:rsidP="009B4410">
            <w:pPr>
              <w:pStyle w:val="AmColumnHeading"/>
            </w:pPr>
            <w:r w:rsidRPr="006F78EF">
              <w:t>Enmienda</w:t>
            </w:r>
          </w:p>
        </w:tc>
      </w:tr>
      <w:tr w:rsidR="00C6714F" w:rsidRPr="006F78EF" w:rsidTr="009B4410">
        <w:trPr>
          <w:jc w:val="center"/>
        </w:trPr>
        <w:tc>
          <w:tcPr>
            <w:tcW w:w="4876" w:type="dxa"/>
          </w:tcPr>
          <w:p w:rsidR="00983849" w:rsidRPr="006F78EF" w:rsidRDefault="00E926E2" w:rsidP="009B4410">
            <w:pPr>
              <w:pStyle w:val="Normal6a"/>
            </w:pPr>
            <w:r w:rsidRPr="006F78EF">
              <w:t>c)</w:t>
            </w:r>
            <w:r w:rsidRPr="006F78EF">
              <w:tab/>
            </w:r>
            <w:r w:rsidRPr="006F78EF">
              <w:t xml:space="preserve">realizar inspecciones suplementarias del Estado de abanderamiento en los buques para verificar que su </w:t>
            </w:r>
            <w:r w:rsidRPr="006F78EF">
              <w:rPr>
                <w:b/>
                <w:i/>
              </w:rPr>
              <w:t>condición</w:t>
            </w:r>
            <w:r w:rsidRPr="006F78EF">
              <w:t xml:space="preserve"> real </w:t>
            </w:r>
            <w:r w:rsidRPr="006F78EF">
              <w:rPr>
                <w:b/>
                <w:i/>
              </w:rPr>
              <w:t>corresponda</w:t>
            </w:r>
            <w:r w:rsidRPr="006F78EF">
              <w:t xml:space="preserve"> a los certificados que llevan.</w:t>
            </w:r>
          </w:p>
        </w:tc>
        <w:tc>
          <w:tcPr>
            <w:tcW w:w="4876" w:type="dxa"/>
          </w:tcPr>
          <w:p w:rsidR="00983849" w:rsidRPr="006F78EF" w:rsidRDefault="00E926E2" w:rsidP="009B4410">
            <w:pPr>
              <w:pStyle w:val="Normal6a"/>
            </w:pPr>
            <w:r w:rsidRPr="006F78EF">
              <w:t>c)</w:t>
            </w:r>
            <w:r w:rsidRPr="006F78EF">
              <w:tab/>
              <w:t>realizar inspecciones suplementarias del Estado de abanderamiento en los buques para verifica</w:t>
            </w:r>
            <w:r w:rsidRPr="006F78EF">
              <w:t xml:space="preserve">r que su </w:t>
            </w:r>
            <w:r w:rsidRPr="006F78EF">
              <w:rPr>
                <w:b/>
                <w:i/>
              </w:rPr>
              <w:t>estado</w:t>
            </w:r>
            <w:r w:rsidRPr="006F78EF">
              <w:t xml:space="preserve"> real </w:t>
            </w:r>
            <w:r w:rsidRPr="006F78EF">
              <w:rPr>
                <w:b/>
                <w:i/>
              </w:rPr>
              <w:t>y sus condiciones de trabajo reales correspondan</w:t>
            </w:r>
            <w:r w:rsidRPr="006F78EF">
              <w:t xml:space="preserve"> a los certificados que llevan. </w:t>
            </w:r>
            <w:r w:rsidRPr="006F78EF">
              <w:rPr>
                <w:b/>
                <w:i/>
              </w:rPr>
              <w:t>Estas inspecciones también deben abarcar la formación y el bienestar de la tripulación para garantizar que los miembros de la tripulación reciban una forma</w:t>
            </w:r>
            <w:r w:rsidRPr="006F78EF">
              <w:rPr>
                <w:b/>
                <w:i/>
              </w:rPr>
              <w:t>ción adecuada en materia de procedimientos de seguridad y medioambientales y que sus derechos y su bienestar estén protegidos de conformidad con el Convenio sobre el trabajo marítimo (CTM) de 2006;</w:t>
            </w:r>
          </w:p>
        </w:tc>
      </w:tr>
    </w:tbl>
    <w:p w:rsidR="00983849" w:rsidRPr="006F78EF" w:rsidRDefault="00E926E2" w:rsidP="00983849">
      <w:r w:rsidRPr="006F78EF">
        <w:rPr>
          <w:rStyle w:val="HideTWBExt"/>
        </w:rPr>
        <w:t>&lt;/Amend&gt;</w:t>
      </w:r>
    </w:p>
    <w:p w:rsidR="00983849" w:rsidRPr="006F78EF" w:rsidRDefault="00E926E2" w:rsidP="00983849">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20</w:t>
      </w:r>
      <w:r w:rsidRPr="006F78EF">
        <w:rPr>
          <w:rStyle w:val="HideTWBExt"/>
        </w:rPr>
        <w:t>&lt;/NumAm&gt;</w:t>
      </w:r>
    </w:p>
    <w:p w:rsidR="00983849" w:rsidRPr="006F78EF" w:rsidRDefault="00E926E2" w:rsidP="00983849">
      <w:pPr>
        <w:pStyle w:val="NormalBold12b"/>
      </w:pPr>
      <w:r w:rsidRPr="006F78EF">
        <w:rPr>
          <w:rStyle w:val="HideTWBExt"/>
        </w:rPr>
        <w:t>&lt;DocAmend&gt;</w:t>
      </w:r>
      <w:r w:rsidRPr="006F78EF">
        <w:t>Pro</w:t>
      </w:r>
      <w:r w:rsidRPr="006F78EF">
        <w:t>puesta de Directiva</w:t>
      </w:r>
      <w:r w:rsidRPr="006F78EF">
        <w:rPr>
          <w:rStyle w:val="HideTWBExt"/>
        </w:rPr>
        <w:t>&lt;/DocAmend&gt;</w:t>
      </w:r>
    </w:p>
    <w:p w:rsidR="00983849" w:rsidRPr="006F78EF" w:rsidRDefault="00E926E2" w:rsidP="00983849">
      <w:pPr>
        <w:pStyle w:val="NormalBold"/>
      </w:pPr>
      <w:r w:rsidRPr="006F78EF">
        <w:rPr>
          <w:rStyle w:val="HideTWBExt"/>
        </w:rPr>
        <w:t>&lt;Article&gt;</w:t>
      </w:r>
      <w:r w:rsidRPr="006F78EF">
        <w:t>Artículo 1 – párrafo 1 – punto 3</w:t>
      </w:r>
      <w:r w:rsidRPr="006F78EF">
        <w:rPr>
          <w:rStyle w:val="HideTWBExt"/>
        </w:rPr>
        <w:t>&lt;/Article&gt;</w:t>
      </w:r>
    </w:p>
    <w:p w:rsidR="00983849" w:rsidRPr="006F78EF" w:rsidRDefault="00E926E2" w:rsidP="00983849">
      <w:r w:rsidRPr="006F78EF">
        <w:rPr>
          <w:rStyle w:val="HideTWBExt"/>
        </w:rPr>
        <w:t>&lt;DocAmend2&gt;</w:t>
      </w:r>
      <w:r w:rsidRPr="006F78EF">
        <w:t>Directiva 2009/21/CE</w:t>
      </w:r>
      <w:r w:rsidRPr="006F78EF">
        <w:rPr>
          <w:rStyle w:val="HideTWBExt"/>
        </w:rPr>
        <w:t>&lt;/DocAmend2&gt;</w:t>
      </w:r>
    </w:p>
    <w:p w:rsidR="00983849" w:rsidRPr="006F78EF" w:rsidRDefault="00E926E2" w:rsidP="00983849">
      <w:r w:rsidRPr="006F78EF">
        <w:rPr>
          <w:rStyle w:val="HideTWBExt"/>
        </w:rPr>
        <w:t>&lt;Article2&gt;</w:t>
      </w:r>
      <w:r w:rsidRPr="006F78EF">
        <w:t>Artículo 4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983849" w:rsidRPr="006F78EF" w:rsidRDefault="00983849" w:rsidP="009B4410"/>
        </w:tc>
      </w:tr>
      <w:tr w:rsidR="00C6714F" w:rsidRPr="006F78EF" w:rsidTr="009B4410">
        <w:trPr>
          <w:trHeight w:val="240"/>
          <w:jc w:val="center"/>
        </w:trPr>
        <w:tc>
          <w:tcPr>
            <w:tcW w:w="4876" w:type="dxa"/>
          </w:tcPr>
          <w:p w:rsidR="00983849" w:rsidRPr="006F78EF" w:rsidRDefault="00E926E2" w:rsidP="009B4410">
            <w:pPr>
              <w:pStyle w:val="AmColumnHeading"/>
            </w:pPr>
            <w:r w:rsidRPr="006F78EF">
              <w:t>Texto de la Comisión</w:t>
            </w:r>
          </w:p>
        </w:tc>
        <w:tc>
          <w:tcPr>
            <w:tcW w:w="4876" w:type="dxa"/>
          </w:tcPr>
          <w:p w:rsidR="00983849" w:rsidRPr="006F78EF" w:rsidRDefault="00E926E2" w:rsidP="009B4410">
            <w:pPr>
              <w:pStyle w:val="AmColumnHeading"/>
            </w:pPr>
            <w:r w:rsidRPr="006F78EF">
              <w:t>Enmienda</w:t>
            </w:r>
          </w:p>
        </w:tc>
      </w:tr>
      <w:tr w:rsidR="00C6714F" w:rsidRPr="006F78EF" w:rsidTr="009B4410">
        <w:trPr>
          <w:jc w:val="center"/>
        </w:trPr>
        <w:tc>
          <w:tcPr>
            <w:tcW w:w="4876" w:type="dxa"/>
          </w:tcPr>
          <w:p w:rsidR="00983849" w:rsidRPr="006F78EF" w:rsidRDefault="00983849" w:rsidP="009B4410">
            <w:pPr>
              <w:pStyle w:val="Normal6a"/>
            </w:pPr>
          </w:p>
        </w:tc>
        <w:tc>
          <w:tcPr>
            <w:tcW w:w="4876" w:type="dxa"/>
          </w:tcPr>
          <w:p w:rsidR="00983849" w:rsidRPr="006F78EF" w:rsidRDefault="00E926E2" w:rsidP="009B4410">
            <w:pPr>
              <w:pStyle w:val="Normal6a"/>
            </w:pPr>
            <w:r w:rsidRPr="006F78EF">
              <w:rPr>
                <w:b/>
                <w:i/>
              </w:rPr>
              <w:t>c bis)</w:t>
            </w:r>
            <w:r w:rsidRPr="006F78EF">
              <w:tab/>
            </w:r>
            <w:r w:rsidRPr="006F78EF">
              <w:rPr>
                <w:b/>
                <w:i/>
              </w:rPr>
              <w:t>utilizar tecnología avanzada de seguimiento, como el</w:t>
            </w:r>
            <w:r w:rsidRPr="006F78EF">
              <w:rPr>
                <w:b/>
                <w:i/>
              </w:rPr>
              <w:t xml:space="preserve"> seguimiento por satélite y los sensores remotos, para rastrear en tiempo real las actividades de los buques y su cumplimiento de la normativa;</w:t>
            </w:r>
          </w:p>
        </w:tc>
      </w:tr>
    </w:tbl>
    <w:p w:rsidR="00983849" w:rsidRPr="006F78EF" w:rsidRDefault="00E926E2" w:rsidP="00983849">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21</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 xml:space="preserve">Artículo 1 – </w:t>
      </w:r>
      <w:r w:rsidRPr="006F78EF">
        <w:t>párrafo 1 – punto 3</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4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c ter)</w:t>
            </w:r>
            <w:r w:rsidRPr="006F78EF">
              <w:tab/>
            </w:r>
            <w:r w:rsidRPr="006F78EF">
              <w:rPr>
                <w:b/>
                <w:i/>
              </w:rPr>
              <w:t xml:space="preserve">exigir a los buques que presenten informes periódicos sobre el cumplimiento de la normativa de seguridad </w:t>
            </w:r>
            <w:r w:rsidRPr="006F78EF">
              <w:rPr>
                <w:b/>
                <w:i/>
              </w:rPr>
              <w:t>y medioambiental y poner dichos informes a disposición de las autoridades competentes para su examen, mejorando así la notificación y la transparencia;</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22</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w:t>
      </w:r>
      <w:r w:rsidRPr="006F78EF">
        <w:t>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043F5D">
            <w:pPr>
              <w:pStyle w:val="Normal6a"/>
            </w:pPr>
            <w:r w:rsidRPr="006F78EF">
              <w:rPr>
                <w:b/>
                <w:i/>
              </w:rPr>
              <w:t>g bis)</w:t>
            </w:r>
            <w:r w:rsidRPr="006F78EF">
              <w:tab/>
            </w:r>
            <w:r w:rsidRPr="006F78EF">
              <w:rPr>
                <w:b/>
                <w:i/>
              </w:rPr>
              <w:t xml:space="preserve">información relativa al comportamiento medioambiental del buque, como datos sobre emisiones (por </w:t>
            </w:r>
            <w:r w:rsidRPr="006F78EF">
              <w:rPr>
                <w:b/>
                <w:i/>
              </w:rPr>
              <w:t>ejemplo, emisiones de gases de efecto invernadero, emisiones de óxido de azufre) y datos sobre la gestión del agua de lastre y otras sustancias potencialmente contaminantes;</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23</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ter)</w:t>
            </w:r>
            <w:r w:rsidRPr="006F78EF">
              <w:tab/>
            </w:r>
            <w:r w:rsidRPr="006F78EF">
              <w:rPr>
                <w:b/>
                <w:i/>
              </w:rPr>
              <w:t xml:space="preserve">detalles sobre la tripulación del buque, incluidas sus cualificaciones, </w:t>
            </w:r>
            <w:r w:rsidRPr="006F78EF">
              <w:rPr>
                <w:b/>
                <w:i/>
              </w:rPr>
              <w:t>certificados y horas de descanso, para garantizar el cumplimiento de la normativa laboral y de seguridad;</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24</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quater)</w:t>
            </w:r>
            <w:r w:rsidRPr="006F78EF">
              <w:tab/>
            </w:r>
            <w:r w:rsidRPr="006F78EF">
              <w:rPr>
                <w:b/>
                <w:i/>
              </w:rPr>
              <w:t xml:space="preserve">notificación de cualquier accidente, incidente o cuasiaccidente, junto con las medidas adoptadas en respuesta a ellos, a fin de </w:t>
            </w:r>
            <w:r w:rsidRPr="006F78EF">
              <w:rPr>
                <w:b/>
                <w:i/>
              </w:rPr>
              <w:t>contribuir a una cultura de seguridad proactiva;</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25</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w:t>
      </w:r>
      <w:r w:rsidRPr="006F78EF">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quinquies)</w:t>
            </w:r>
            <w:r w:rsidRPr="006F78EF">
              <w:tab/>
            </w:r>
            <w:r w:rsidRPr="006F78EF">
              <w:rPr>
                <w:b/>
                <w:i/>
              </w:rPr>
              <w:t xml:space="preserve">información sobre el tipo y cantidad de carga y sobre su manipulación, especialmente en el caso de los buques que transporten mercancías o materiales peligrosos, a fin de evaluar el cumplimiento de </w:t>
            </w:r>
            <w:r w:rsidRPr="006F78EF">
              <w:rPr>
                <w:b/>
                <w:i/>
              </w:rPr>
              <w:t>la normativa sobre transporte y seguridad;</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26</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sexies)</w:t>
            </w:r>
            <w:r w:rsidRPr="006F78EF">
              <w:tab/>
            </w:r>
            <w:r w:rsidRPr="006F78EF">
              <w:rPr>
                <w:b/>
                <w:i/>
              </w:rPr>
              <w:t>datos relacionados con el sistema de gestión de la seguridad del buque, incluidos los registros de las reuniones de seguridad, las valoraciones de los peligros y las medidas correctoras adoptadas;</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27</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 xml:space="preserve">g </w:t>
            </w:r>
            <w:r w:rsidRPr="006F78EF">
              <w:rPr>
                <w:b/>
                <w:i/>
              </w:rPr>
              <w:t>septies)</w:t>
            </w:r>
            <w:r w:rsidRPr="006F78EF">
              <w:tab/>
            </w:r>
            <w:r w:rsidRPr="006F78EF">
              <w:rPr>
                <w:b/>
                <w:i/>
              </w:rPr>
              <w:t>datos sobre las medidas de protección y el cumplimiento de los códigos y convenios internacionales de protección marítima, especialmente pertinentes dadas las preocupaciones actuales en ese ámbito;</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28</w:t>
      </w:r>
      <w:r w:rsidRPr="006F78EF">
        <w:rPr>
          <w:rStyle w:val="HideTWBExt"/>
        </w:rPr>
        <w:t>&lt;/NumAm&gt;</w:t>
      </w:r>
    </w:p>
    <w:p w:rsidR="00C26008" w:rsidRPr="006F78EF" w:rsidRDefault="00E926E2" w:rsidP="00C26008">
      <w:pPr>
        <w:pStyle w:val="NormalBold12b"/>
      </w:pPr>
      <w:r w:rsidRPr="006F78EF">
        <w:rPr>
          <w:rStyle w:val="HideTWBExt"/>
        </w:rPr>
        <w:t>&lt;Doc</w:t>
      </w:r>
      <w:r w:rsidRPr="006F78EF">
        <w:rPr>
          <w:rStyle w:val="HideTWBExt"/>
        </w:rPr>
        <w:t>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octies)</w:t>
            </w:r>
            <w:r w:rsidRPr="006F78EF">
              <w:tab/>
            </w:r>
            <w:r w:rsidRPr="006F78EF">
              <w:rPr>
                <w:b/>
                <w:i/>
              </w:rPr>
              <w:t xml:space="preserve">información sobre actualizaciones </w:t>
            </w:r>
            <w:r w:rsidRPr="006F78EF">
              <w:rPr>
                <w:b/>
                <w:i/>
              </w:rPr>
              <w:t>tecnológicas, operaciones de mantenimiento de los equipos y modificaciones relacionadas con la seguridad realizadas en el buque;</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29</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 xml:space="preserve">Artículo 1 – párrafo 1 – </w:t>
      </w:r>
      <w:r w:rsidRPr="006F78EF">
        <w:t>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nonies)</w:t>
            </w:r>
            <w:r w:rsidRPr="006F78EF">
              <w:tab/>
            </w:r>
            <w:r w:rsidRPr="006F78EF">
              <w:rPr>
                <w:b/>
                <w:i/>
              </w:rPr>
              <w:t>registros relacionados con el bienestar y las condiciones de vida de la gente de mar, incluidos los registros de recla</w:t>
            </w:r>
            <w:r w:rsidRPr="006F78EF">
              <w:rPr>
                <w:b/>
                <w:i/>
              </w:rPr>
              <w:t>maciones o preocupaciones de la tripulación;</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30</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decies)</w:t>
            </w:r>
            <w:r w:rsidRPr="006F78EF">
              <w:tab/>
            </w:r>
            <w:r w:rsidRPr="006F78EF">
              <w:rPr>
                <w:b/>
                <w:i/>
              </w:rPr>
              <w:t xml:space="preserve">la capacidad de los Estados miembros para verificar la autenticidad y validez de los certificados y la documentación presentados por el buque, a fin de contribuir a combatir el fraude y a garantizar </w:t>
            </w:r>
            <w:r w:rsidRPr="006F78EF">
              <w:rPr>
                <w:b/>
                <w:i/>
              </w:rPr>
              <w:t>el cumplimiento;</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31</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5</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6</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g undecies)</w:t>
            </w:r>
            <w:r w:rsidRPr="006F78EF">
              <w:tab/>
            </w:r>
            <w:r w:rsidRPr="006F78EF">
              <w:rPr>
                <w:b/>
                <w:i/>
              </w:rPr>
              <w:t>información sobre prácticas de sostenibilidad, como el consumo de combustible, las medidas de eficiencia energética y los esfuerzos de reducción del impacto ambiental, en consonancia con los objetivos mundiales de sostenibilidad.</w:t>
            </w:r>
          </w:p>
        </w:tc>
      </w:tr>
    </w:tbl>
    <w:p w:rsidR="00C26008" w:rsidRPr="006F78EF" w:rsidRDefault="00E926E2" w:rsidP="00C26008">
      <w:r w:rsidRPr="006F78EF">
        <w:rPr>
          <w:rStyle w:val="HideTWBExt"/>
        </w:rPr>
        <w:t>&lt;</w:t>
      </w:r>
      <w:r w:rsidRPr="006F78EF">
        <w:rPr>
          <w:rStyle w:val="HideTWBExt"/>
        </w:rPr>
        <w: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32</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9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 xml:space="preserve">j </w:t>
            </w:r>
            <w:r w:rsidRPr="006F78EF">
              <w:rPr>
                <w:b/>
                <w:i/>
              </w:rPr>
              <w:t>bis)</w:t>
            </w:r>
            <w:r w:rsidRPr="006F78EF">
              <w:tab/>
            </w:r>
            <w:r w:rsidRPr="006F78EF">
              <w:rPr>
                <w:b/>
                <w:i/>
              </w:rPr>
              <w:t>elaborar recomendaciones y directrices para las inspecciones y los procedimientos del Estado de abanderamiento que den prioridad a la protección de la seguridad y los derechos de los trabajadores en los buques y prevean la participación de los represe</w:t>
            </w:r>
            <w:r w:rsidRPr="006F78EF">
              <w:rPr>
                <w:b/>
                <w:i/>
              </w:rPr>
              <w:t>ntantes de los trabajadores en las inspecciones de seguridad;</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33</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9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j ter)</w:t>
            </w:r>
            <w:r w:rsidRPr="006F78EF">
              <w:tab/>
            </w:r>
            <w:r w:rsidRPr="006F78EF">
              <w:rPr>
                <w:b/>
                <w:i/>
              </w:rPr>
              <w:t xml:space="preserve">formular recomendaciones para las inspecciones y los procedimientos del Estado de abanderamiento que hagan hincapié en el cumplimiento de la normativa medioambiental y garanticen </w:t>
            </w:r>
            <w:r w:rsidRPr="006F78EF">
              <w:rPr>
                <w:b/>
                <w:i/>
              </w:rPr>
              <w:t>que los buques se atengan a las normas y directrices internacionales en materia de medio ambiente;</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34</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w:t>
      </w:r>
      <w:r w:rsidRPr="006F78EF">
        <w:t>ctiva 2009/21/CE</w:t>
      </w:r>
      <w:r w:rsidRPr="006F78EF">
        <w:rPr>
          <w:rStyle w:val="HideTWBExt"/>
        </w:rPr>
        <w:t>&lt;/DocAmend2&gt;</w:t>
      </w:r>
    </w:p>
    <w:p w:rsidR="00C26008" w:rsidRPr="006F78EF" w:rsidRDefault="00E926E2" w:rsidP="00C26008">
      <w:r w:rsidRPr="006F78EF">
        <w:rPr>
          <w:rStyle w:val="HideTWBExt"/>
        </w:rPr>
        <w:t>&lt;Article2&gt;</w:t>
      </w:r>
      <w:r w:rsidRPr="006F78EF">
        <w:t>Artículo 9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j quater)</w:t>
            </w:r>
            <w:r w:rsidRPr="006F78EF">
              <w:tab/>
            </w:r>
            <w:r w:rsidRPr="006F78EF">
              <w:rPr>
                <w:b/>
                <w:i/>
              </w:rPr>
              <w:t xml:space="preserve">colaborar en el desarrollo de medidas para promover la responsabilidad social y el cumplimiento de las normas laborales en los buques, en </w:t>
            </w:r>
            <w:r w:rsidRPr="006F78EF">
              <w:rPr>
                <w:b/>
                <w:i/>
              </w:rPr>
              <w:t>particular el seguimiento y la elaboración de informes sobre el bienestar de la tripulación, las condiciones de trabajo y el cumplimiento del Convenio sobre el trabajo marítimo (CTM) de 2006;</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35</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w:t>
      </w:r>
      <w:r w:rsidRPr="006F78EF">
        <w:t xml:space="preserve">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9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j quinquies)</w:t>
            </w:r>
            <w:r w:rsidRPr="006F78EF">
              <w:tab/>
            </w:r>
            <w:r w:rsidRPr="006F78EF">
              <w:rPr>
                <w:b/>
                <w:i/>
              </w:rPr>
              <w:t xml:space="preserve">animar a los Estados de abanderamiento a que </w:t>
            </w:r>
            <w:r w:rsidRPr="006F78EF">
              <w:rPr>
                <w:b/>
                <w:i/>
              </w:rPr>
              <w:t>colaboren con las comunidades locales de los puertos de escala para abordar cualquier preocupación social o medioambiental relacionada con las operaciones de los buques, a fin de promover unas relaciones positivas y unas prácticas marítimas responsables;</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36</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9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j</w:t>
            </w:r>
            <w:r w:rsidRPr="006F78EF">
              <w:rPr>
                <w:b/>
                <w:i/>
              </w:rPr>
              <w:t xml:space="preserve"> sexies)</w:t>
            </w:r>
            <w:r w:rsidRPr="006F78EF">
              <w:tab/>
            </w:r>
            <w:r w:rsidRPr="006F78EF">
              <w:rPr>
                <w:b/>
                <w:i/>
              </w:rPr>
              <w:t>asesorar sobre la integración de nuevas tecnologías, como herramientas digitales de notificación y dispositivos del internet de las cosas, para mejorar la eficacia de las inspecciones y la supervisión del Estado de abanderamiento, teniendo en cuen</w:t>
            </w:r>
            <w:r w:rsidRPr="006F78EF">
              <w:rPr>
                <w:b/>
                <w:i/>
              </w:rPr>
              <w:t>ta al mismo tiempo los aspectos relacionados con la protección de datos y la ciberseguridad;</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37</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 xml:space="preserve">Directiva </w:t>
      </w:r>
      <w:r w:rsidRPr="006F78EF">
        <w:t>2009/21/CE</w:t>
      </w:r>
      <w:r w:rsidRPr="006F78EF">
        <w:rPr>
          <w:rStyle w:val="HideTWBExt"/>
        </w:rPr>
        <w:t>&lt;/DocAmend2&gt;</w:t>
      </w:r>
    </w:p>
    <w:p w:rsidR="00C26008" w:rsidRPr="006F78EF" w:rsidRDefault="00E926E2" w:rsidP="00C26008">
      <w:r w:rsidRPr="006F78EF">
        <w:rPr>
          <w:rStyle w:val="HideTWBExt"/>
        </w:rPr>
        <w:t>&lt;Article2&gt;</w:t>
      </w:r>
      <w:r w:rsidRPr="006F78EF">
        <w:t>Artículo 9 bis</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j septies)</w:t>
            </w:r>
            <w:r w:rsidRPr="006F78EF">
              <w:tab/>
            </w:r>
            <w:r w:rsidRPr="006F78EF">
              <w:rPr>
                <w:b/>
                <w:i/>
              </w:rPr>
              <w:t xml:space="preserve">establecer mecanismos para la resolución de conflictos y diferencias relacionados con las inspecciones y los procedimientos del Estado de </w:t>
            </w:r>
            <w:r w:rsidRPr="006F78EF">
              <w:rPr>
                <w:b/>
                <w:i/>
              </w:rPr>
              <w:t>abanderamiento, garantizando procesos justos y transparentes.</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38</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9 ter</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iv bis)</w:t>
            </w:r>
            <w:r w:rsidRPr="006F78EF">
              <w:tab/>
            </w:r>
            <w:r w:rsidRPr="006F78EF">
              <w:rPr>
                <w:b/>
                <w:i/>
              </w:rPr>
              <w:t xml:space="preserve">las inversiones en tecnologías ecológicas y medioambientalmente sostenibles, como el uso de combustibles más limpios o equipos de reducción de emisiones, que demuestren los </w:t>
            </w:r>
            <w:r w:rsidRPr="006F78EF">
              <w:rPr>
                <w:b/>
                <w:i/>
              </w:rPr>
              <w:t>esfuerzos por reducir la huella ambiental de la flota abanderada;</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39</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9 ter</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iv ter)</w:t>
            </w:r>
            <w:r w:rsidRPr="006F78EF">
              <w:tab/>
            </w:r>
            <w:r w:rsidRPr="006F78EF">
              <w:rPr>
                <w:b/>
                <w:i/>
              </w:rPr>
              <w:t xml:space="preserve">las iniciativas y medidas adoptadas para promover una cultura de la seguridad a bordo de los buques, en particular programas de formación, ejercicios de seguridad y campañas de </w:t>
            </w:r>
            <w:r w:rsidRPr="006F78EF">
              <w:rPr>
                <w:b/>
                <w:i/>
              </w:rPr>
              <w:t>sensibilización de los miembros de la tripulación sobre las prácticas en materia de seguridad;</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40</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w:t>
      </w:r>
      <w:r w:rsidRPr="006F78EF">
        <w:t>a 2009/21/CE</w:t>
      </w:r>
      <w:r w:rsidRPr="006F78EF">
        <w:rPr>
          <w:rStyle w:val="HideTWBExt"/>
        </w:rPr>
        <w:t>&lt;/DocAmend2&gt;</w:t>
      </w:r>
    </w:p>
    <w:p w:rsidR="00C26008" w:rsidRPr="006F78EF" w:rsidRDefault="00E926E2" w:rsidP="00C26008">
      <w:r w:rsidRPr="006F78EF">
        <w:rPr>
          <w:rStyle w:val="HideTWBExt"/>
        </w:rPr>
        <w:t>&lt;Article2&gt;</w:t>
      </w:r>
      <w:r w:rsidRPr="006F78EF">
        <w:t>Artículo 9 ter</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iv quater)</w:t>
            </w:r>
            <w:r w:rsidRPr="006F78EF">
              <w:tab/>
            </w:r>
            <w:r w:rsidRPr="006F78EF">
              <w:rPr>
                <w:b/>
                <w:i/>
              </w:rPr>
              <w:t>cualquier incidente, accidente o infracción relacionados con los requisitos en materia de seguridad y de prevención de la contaminación, junto con las</w:t>
            </w:r>
            <w:r w:rsidRPr="006F78EF">
              <w:rPr>
                <w:b/>
                <w:i/>
              </w:rPr>
              <w:t xml:space="preserve"> medidas adoptadas para abordarlos, a fin de promover la transparencia y la rendición de cuentas;</w:t>
            </w:r>
          </w:p>
        </w:tc>
      </w:tr>
    </w:tbl>
    <w:p w:rsidR="00C26008" w:rsidRPr="006F78EF" w:rsidRDefault="00E926E2" w:rsidP="00C26008">
      <w:r w:rsidRPr="006F78EF">
        <w:rPr>
          <w:rStyle w:val="HideTWBExt"/>
        </w:rPr>
        <w:t>&lt;/Amend&gt;</w:t>
      </w:r>
    </w:p>
    <w:p w:rsidR="00C26008" w:rsidRPr="006F78EF" w:rsidRDefault="00E926E2" w:rsidP="00C26008">
      <w:pPr>
        <w:pStyle w:val="AmNumberTabs"/>
      </w:pPr>
      <w:r w:rsidRPr="006F78EF">
        <w:rPr>
          <w:rStyle w:val="HideTWBExt"/>
        </w:rPr>
        <w:t>&lt;Amend&gt;</w:t>
      </w:r>
      <w:r w:rsidRPr="006F78EF">
        <w:t>Enmienda</w:t>
      </w:r>
      <w:r w:rsidRPr="006F78EF">
        <w:tab/>
      </w:r>
      <w:r w:rsidRPr="006F78EF">
        <w:tab/>
      </w:r>
      <w:r w:rsidRPr="006F78EF">
        <w:rPr>
          <w:rStyle w:val="HideTWBExt"/>
        </w:rPr>
        <w:t>&lt;NumAm&gt;</w:t>
      </w:r>
      <w:r w:rsidRPr="006F78EF">
        <w:t>41</w:t>
      </w:r>
      <w:r w:rsidRPr="006F78EF">
        <w:rPr>
          <w:rStyle w:val="HideTWBExt"/>
        </w:rPr>
        <w:t>&lt;/NumAm&gt;</w:t>
      </w:r>
    </w:p>
    <w:p w:rsidR="00C26008" w:rsidRPr="006F78EF" w:rsidRDefault="00E926E2" w:rsidP="00C26008">
      <w:pPr>
        <w:pStyle w:val="NormalBold12b"/>
      </w:pPr>
      <w:r w:rsidRPr="006F78EF">
        <w:rPr>
          <w:rStyle w:val="HideTWBExt"/>
        </w:rPr>
        <w:t>&lt;DocAmend&gt;</w:t>
      </w:r>
      <w:r w:rsidRPr="006F78EF">
        <w:t>Propuesta de Directiva</w:t>
      </w:r>
      <w:r w:rsidRPr="006F78EF">
        <w:rPr>
          <w:rStyle w:val="HideTWBExt"/>
        </w:rPr>
        <w:t>&lt;/DocAmend&gt;</w:t>
      </w:r>
    </w:p>
    <w:p w:rsidR="00C26008" w:rsidRPr="006F78EF" w:rsidRDefault="00E926E2" w:rsidP="00C26008">
      <w:pPr>
        <w:pStyle w:val="NormalBold"/>
      </w:pPr>
      <w:r w:rsidRPr="006F78EF">
        <w:rPr>
          <w:rStyle w:val="HideTWBExt"/>
        </w:rPr>
        <w:t>&lt;Article&gt;</w:t>
      </w:r>
      <w:r w:rsidRPr="006F78EF">
        <w:t>Artículo 1 – párrafo 1 – punto 10</w:t>
      </w:r>
      <w:r w:rsidRPr="006F78EF">
        <w:rPr>
          <w:rStyle w:val="HideTWBExt"/>
        </w:rPr>
        <w:t>&lt;/Article&gt;</w:t>
      </w:r>
    </w:p>
    <w:p w:rsidR="00C26008" w:rsidRPr="006F78EF" w:rsidRDefault="00E926E2" w:rsidP="00C26008">
      <w:r w:rsidRPr="006F78EF">
        <w:rPr>
          <w:rStyle w:val="HideTWBExt"/>
        </w:rPr>
        <w:t>&lt;DocAmend2&gt;</w:t>
      </w:r>
      <w:r w:rsidRPr="006F78EF">
        <w:t>Directiva 2009/21/CE</w:t>
      </w:r>
      <w:r w:rsidRPr="006F78EF">
        <w:rPr>
          <w:rStyle w:val="HideTWBExt"/>
        </w:rPr>
        <w:t>&lt;/DocAmend2&gt;</w:t>
      </w:r>
    </w:p>
    <w:p w:rsidR="00C26008" w:rsidRPr="006F78EF" w:rsidRDefault="00E926E2" w:rsidP="00C26008">
      <w:r w:rsidRPr="006F78EF">
        <w:rPr>
          <w:rStyle w:val="HideTWBExt"/>
        </w:rPr>
        <w:t>&lt;Article2&gt;</w:t>
      </w:r>
      <w:r w:rsidRPr="006F78EF">
        <w:t>Artículo 9 ter</w:t>
      </w:r>
      <w:r w:rsidRPr="006F78E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714F" w:rsidRPr="006F78EF" w:rsidTr="009B4410">
        <w:trPr>
          <w:trHeight w:hRule="exact" w:val="240"/>
          <w:jc w:val="center"/>
        </w:trPr>
        <w:tc>
          <w:tcPr>
            <w:tcW w:w="9752" w:type="dxa"/>
            <w:gridSpan w:val="2"/>
          </w:tcPr>
          <w:p w:rsidR="00C26008" w:rsidRPr="006F78EF" w:rsidRDefault="00C26008" w:rsidP="009B4410"/>
        </w:tc>
      </w:tr>
      <w:tr w:rsidR="00C6714F" w:rsidRPr="006F78EF" w:rsidTr="009B4410">
        <w:trPr>
          <w:trHeight w:val="240"/>
          <w:jc w:val="center"/>
        </w:trPr>
        <w:tc>
          <w:tcPr>
            <w:tcW w:w="4876" w:type="dxa"/>
          </w:tcPr>
          <w:p w:rsidR="00C26008" w:rsidRPr="006F78EF" w:rsidRDefault="00E926E2" w:rsidP="009B4410">
            <w:pPr>
              <w:pStyle w:val="AmColumnHeading"/>
            </w:pPr>
            <w:r w:rsidRPr="006F78EF">
              <w:t>Texto de la Comisión</w:t>
            </w:r>
          </w:p>
        </w:tc>
        <w:tc>
          <w:tcPr>
            <w:tcW w:w="4876" w:type="dxa"/>
          </w:tcPr>
          <w:p w:rsidR="00C26008" w:rsidRPr="006F78EF" w:rsidRDefault="00E926E2" w:rsidP="009B4410">
            <w:pPr>
              <w:pStyle w:val="AmColumnHeading"/>
            </w:pPr>
            <w:r w:rsidRPr="006F78EF">
              <w:t>Enmienda</w:t>
            </w:r>
          </w:p>
        </w:tc>
      </w:tr>
      <w:tr w:rsidR="00C6714F" w:rsidRPr="006F78EF" w:rsidTr="009B4410">
        <w:trPr>
          <w:jc w:val="center"/>
        </w:trPr>
        <w:tc>
          <w:tcPr>
            <w:tcW w:w="4876" w:type="dxa"/>
          </w:tcPr>
          <w:p w:rsidR="00C26008" w:rsidRPr="006F78EF" w:rsidRDefault="00C26008" w:rsidP="009B4410">
            <w:pPr>
              <w:pStyle w:val="Normal6a"/>
            </w:pPr>
          </w:p>
        </w:tc>
        <w:tc>
          <w:tcPr>
            <w:tcW w:w="4876" w:type="dxa"/>
          </w:tcPr>
          <w:p w:rsidR="00C26008" w:rsidRPr="006F78EF" w:rsidRDefault="00E926E2" w:rsidP="009B4410">
            <w:pPr>
              <w:pStyle w:val="Normal6a"/>
            </w:pPr>
            <w:r w:rsidRPr="006F78EF">
              <w:rPr>
                <w:b/>
                <w:i/>
              </w:rPr>
              <w:t>iv quinquies)</w:t>
            </w:r>
            <w:r w:rsidRPr="006F78EF">
              <w:tab/>
            </w:r>
            <w:r w:rsidRPr="006F78EF">
              <w:rPr>
                <w:b/>
                <w:i/>
              </w:rPr>
              <w:t>la colaboración con otros Estados miembros y organismos internacionales para mejorar la seguridad y la prevención de la contaminación, incl</w:t>
            </w:r>
            <w:r w:rsidRPr="006F78EF">
              <w:rPr>
                <w:b/>
                <w:i/>
              </w:rPr>
              <w:t>uidas las inspecciones conjuntas, el intercambio de información y la participación en iniciativas internacionales para mejorar la seguridad marítima y la protección del medio ambiente;</w:t>
            </w:r>
          </w:p>
        </w:tc>
      </w:tr>
    </w:tbl>
    <w:p w:rsidR="00983849" w:rsidRPr="006F78EF" w:rsidRDefault="00E926E2" w:rsidP="00983849">
      <w:r w:rsidRPr="006F78EF">
        <w:rPr>
          <w:rStyle w:val="HideTWBExt"/>
        </w:rPr>
        <w:t>&lt;/Amend&gt;&lt;/RepeatBlock-Amend&gt;</w:t>
      </w:r>
    </w:p>
    <w:p w:rsidR="00983849" w:rsidRPr="006F78EF" w:rsidRDefault="00983849">
      <w:pPr>
        <w:widowControl/>
      </w:pPr>
    </w:p>
    <w:p w:rsidR="00983849" w:rsidRPr="006F78EF" w:rsidRDefault="00983849">
      <w:pPr>
        <w:widowControl/>
        <w:sectPr w:rsidR="00983849" w:rsidRPr="006F78EF" w:rsidSect="006F78E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6F78EF" w:rsidRDefault="009B69B7">
      <w:pPr>
        <w:widowControl/>
      </w:pPr>
    </w:p>
    <w:p w:rsidR="00300C1D" w:rsidRPr="006F78EF" w:rsidRDefault="00E926E2" w:rsidP="009B4410">
      <w:pPr>
        <w:pStyle w:val="PageHeadingNotTOC"/>
        <w:rPr>
          <w:noProof/>
        </w:rPr>
      </w:pPr>
      <w:bookmarkStart w:id="2" w:name="FootprintPageAD"/>
      <w:r w:rsidRPr="006F78EF">
        <w:t>ANEXO: ENTIDADES O PERSONAS</w:t>
      </w:r>
      <w:r w:rsidRPr="006F78EF">
        <w:br/>
        <w:t>DE LAS QUE LA PONENTE DE OPINIÓN HA RECIBIDO CONTRIBUCIONES</w:t>
      </w:r>
    </w:p>
    <w:p w:rsidR="00300C1D" w:rsidRPr="006F78EF" w:rsidRDefault="00E926E2" w:rsidP="009B4410">
      <w:pPr>
        <w:pStyle w:val="Normal24a"/>
      </w:pPr>
      <w:r w:rsidRPr="006F78EF">
        <w:rPr>
          <w:rStyle w:val="HideTWBExt"/>
        </w:rPr>
        <w:t>&lt;FootprintIntro&gt;</w:t>
      </w:r>
      <w:r w:rsidRPr="006F78EF">
        <w:t>La ponente de opinión declara, bajo su exclusiva responsabilidad, que no ha recibido ninguna contribución de una entidad o persona que deba indicarse en</w:t>
      </w:r>
      <w:r w:rsidRPr="006F78EF">
        <w:t xml:space="preserve"> el presente anexo de conformidad con el artículo 8 del anexo I del Reglamento interno.</w:t>
      </w:r>
      <w:r w:rsidRPr="006F78EF">
        <w:rPr>
          <w:rStyle w:val="HideTWBExt"/>
        </w:rPr>
        <w:t>&lt;/FootprintIntro&gt;</w:t>
      </w:r>
    </w:p>
    <w:p w:rsidR="00300C1D" w:rsidRPr="006F78EF" w:rsidRDefault="00300C1D" w:rsidP="009B4410"/>
    <w:bookmarkEnd w:id="2"/>
    <w:p w:rsidR="00311040" w:rsidRPr="006F78EF" w:rsidRDefault="00E926E2" w:rsidP="00311040">
      <w:r w:rsidRPr="006F78EF">
        <w:br w:type="page"/>
      </w:r>
    </w:p>
    <w:p w:rsidR="00311040" w:rsidRPr="006F78EF" w:rsidRDefault="00E926E2" w:rsidP="00311040">
      <w:pPr>
        <w:pStyle w:val="PageHeadingNotTOC"/>
      </w:pPr>
      <w:bookmarkStart w:id="3" w:name="ProcPageAD"/>
      <w:r w:rsidRPr="006F78EF">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714F" w:rsidRPr="006F78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Modificación de la Directiva 2009/21/CE sobre el cumplimiento de las obligaciones</w:t>
            </w:r>
            <w:r w:rsidRPr="006F78EF">
              <w:rPr>
                <w:color w:val="000000"/>
                <w:sz w:val="20"/>
              </w:rPr>
              <w:t xml:space="preserve"> del Estado de abanderamiento</w:t>
            </w:r>
          </w:p>
        </w:tc>
      </w:tr>
      <w:tr w:rsidR="00C6714F" w:rsidRPr="006F78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COM(2023)0272 – C9-0188/2023 – 2023/0172(COD)</w:t>
            </w:r>
          </w:p>
        </w:tc>
      </w:tr>
      <w:tr w:rsidR="00C6714F" w:rsidRPr="006F78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Comisión competente para el fondo</w:t>
            </w:r>
          </w:p>
          <w:p w:rsidR="00311040" w:rsidRPr="006F78EF" w:rsidRDefault="00E926E2" w:rsidP="001F7B1A">
            <w:pPr>
              <w:autoSpaceDE w:val="0"/>
              <w:autoSpaceDN w:val="0"/>
              <w:adjustRightInd w:val="0"/>
              <w:ind w:firstLine="493"/>
              <w:rPr>
                <w:color w:val="000000"/>
                <w:sz w:val="20"/>
                <w:szCs w:val="20"/>
              </w:rPr>
            </w:pPr>
            <w:r w:rsidRPr="006F78EF">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T</w:t>
            </w:r>
            <w:r w:rsidRPr="006F78EF">
              <w:rPr>
                <w:color w:val="000000"/>
                <w:sz w:val="20"/>
              </w:rPr>
              <w:t>RAN</w:t>
            </w:r>
          </w:p>
          <w:p w:rsidR="00311040" w:rsidRPr="006F78EF" w:rsidRDefault="00E926E2">
            <w:pPr>
              <w:autoSpaceDE w:val="0"/>
              <w:autoSpaceDN w:val="0"/>
              <w:adjustRightInd w:val="0"/>
              <w:rPr>
                <w:color w:val="000000"/>
                <w:sz w:val="20"/>
                <w:szCs w:val="20"/>
              </w:rPr>
            </w:pPr>
            <w:r w:rsidRPr="006F78EF">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r>
      <w:tr w:rsidR="00C6714F" w:rsidRPr="006F78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Opinión emitida por</w:t>
            </w:r>
          </w:p>
          <w:p w:rsidR="00311040" w:rsidRPr="006F78EF" w:rsidRDefault="00E926E2" w:rsidP="001F7B1A">
            <w:pPr>
              <w:autoSpaceDE w:val="0"/>
              <w:autoSpaceDN w:val="0"/>
              <w:adjustRightInd w:val="0"/>
              <w:ind w:firstLine="493"/>
              <w:rPr>
                <w:color w:val="000000"/>
                <w:sz w:val="20"/>
                <w:szCs w:val="20"/>
              </w:rPr>
            </w:pPr>
            <w:r w:rsidRPr="006F78EF">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PECH</w:t>
            </w:r>
          </w:p>
          <w:p w:rsidR="00311040" w:rsidRPr="006F78EF" w:rsidRDefault="00E926E2">
            <w:pPr>
              <w:autoSpaceDE w:val="0"/>
              <w:autoSpaceDN w:val="0"/>
              <w:adjustRightInd w:val="0"/>
              <w:rPr>
                <w:color w:val="000000"/>
                <w:sz w:val="20"/>
                <w:szCs w:val="20"/>
              </w:rPr>
            </w:pPr>
            <w:r w:rsidRPr="006F78EF">
              <w:rPr>
                <w:color w:val="000000"/>
                <w:sz w:val="20"/>
              </w:rPr>
              <w:t>10.7.2023</w:t>
            </w:r>
          </w:p>
        </w:tc>
      </w:tr>
      <w:tr w:rsidR="00C6714F" w:rsidRPr="006F78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Ponentes de opinión</w:t>
            </w:r>
          </w:p>
          <w:p w:rsidR="00311040" w:rsidRPr="006F78EF" w:rsidRDefault="00E926E2" w:rsidP="001F7B1A">
            <w:pPr>
              <w:autoSpaceDE w:val="0"/>
              <w:autoSpaceDN w:val="0"/>
              <w:adjustRightInd w:val="0"/>
              <w:ind w:firstLine="493"/>
              <w:rPr>
                <w:color w:val="000000"/>
                <w:sz w:val="20"/>
                <w:szCs w:val="20"/>
              </w:rPr>
            </w:pPr>
            <w:r w:rsidRPr="006F78EF">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Ana Miranda</w:t>
            </w:r>
          </w:p>
          <w:p w:rsidR="00311040" w:rsidRPr="006F78EF" w:rsidRDefault="00E926E2">
            <w:pPr>
              <w:autoSpaceDE w:val="0"/>
              <w:autoSpaceDN w:val="0"/>
              <w:adjustRightInd w:val="0"/>
              <w:rPr>
                <w:color w:val="000000"/>
                <w:sz w:val="20"/>
                <w:szCs w:val="20"/>
              </w:rPr>
            </w:pPr>
            <w:r w:rsidRPr="006F78EF">
              <w:rPr>
                <w:color w:val="000000"/>
                <w:sz w:val="20"/>
              </w:rPr>
              <w:t>5.9.2023</w:t>
            </w:r>
          </w:p>
        </w:tc>
      </w:tr>
      <w:tr w:rsidR="00C6714F" w:rsidRPr="006F78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r>
      <w:tr w:rsidR="00C6714F" w:rsidRPr="006F78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1040" w:rsidRPr="006F78EF" w:rsidRDefault="00311040">
            <w:pPr>
              <w:autoSpaceDE w:val="0"/>
              <w:autoSpaceDN w:val="0"/>
              <w:adjustRightInd w:val="0"/>
              <w:rPr>
                <w:rFonts w:ascii="sans-serif" w:hAnsi="sans-serif" w:cs="sans-serif"/>
                <w:color w:val="000000"/>
              </w:rPr>
            </w:pPr>
          </w:p>
        </w:tc>
      </w:tr>
      <w:tr w:rsidR="00C6714F" w:rsidRPr="006F78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w:t>
            </w:r>
          </w:p>
          <w:p w:rsidR="00311040" w:rsidRPr="006F78EF" w:rsidRDefault="00E926E2">
            <w:pPr>
              <w:autoSpaceDE w:val="0"/>
              <w:autoSpaceDN w:val="0"/>
              <w:adjustRightInd w:val="0"/>
              <w:rPr>
                <w:color w:val="000000"/>
                <w:sz w:val="20"/>
                <w:szCs w:val="20"/>
              </w:rPr>
            </w:pPr>
            <w:r w:rsidRPr="006F78EF">
              <w:rPr>
                <w:color w:val="000000"/>
                <w:sz w:val="20"/>
              </w:rPr>
              <w:t>–:</w:t>
            </w:r>
          </w:p>
          <w:p w:rsidR="00311040" w:rsidRPr="006F78EF" w:rsidRDefault="00E926E2">
            <w:pPr>
              <w:autoSpaceDE w:val="0"/>
              <w:autoSpaceDN w:val="0"/>
              <w:adjustRightInd w:val="0"/>
              <w:rPr>
                <w:color w:val="000000"/>
                <w:sz w:val="20"/>
                <w:szCs w:val="20"/>
              </w:rPr>
            </w:pPr>
            <w:r w:rsidRPr="006F78E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20</w:t>
            </w:r>
          </w:p>
          <w:p w:rsidR="00311040" w:rsidRPr="006F78EF" w:rsidRDefault="00E926E2">
            <w:pPr>
              <w:autoSpaceDE w:val="0"/>
              <w:autoSpaceDN w:val="0"/>
              <w:adjustRightInd w:val="0"/>
              <w:rPr>
                <w:color w:val="000000"/>
                <w:sz w:val="20"/>
                <w:szCs w:val="20"/>
              </w:rPr>
            </w:pPr>
            <w:r w:rsidRPr="006F78EF">
              <w:rPr>
                <w:color w:val="000000"/>
                <w:sz w:val="20"/>
              </w:rPr>
              <w:t>3</w:t>
            </w:r>
          </w:p>
          <w:p w:rsidR="00311040" w:rsidRPr="006F78EF" w:rsidRDefault="00E926E2">
            <w:pPr>
              <w:autoSpaceDE w:val="0"/>
              <w:autoSpaceDN w:val="0"/>
              <w:adjustRightInd w:val="0"/>
              <w:rPr>
                <w:color w:val="000000"/>
                <w:sz w:val="20"/>
                <w:szCs w:val="20"/>
              </w:rPr>
            </w:pPr>
            <w:r w:rsidRPr="006F78EF">
              <w:rPr>
                <w:color w:val="000000"/>
                <w:sz w:val="20"/>
              </w:rPr>
              <w:t>1</w:t>
            </w:r>
          </w:p>
        </w:tc>
      </w:tr>
      <w:tr w:rsidR="00C6714F" w:rsidRPr="006F78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 xml:space="preserve">Clara Aguilera, João </w:t>
            </w:r>
            <w:r w:rsidRPr="006F78EF">
              <w:rPr>
                <w:color w:val="000000"/>
                <w:sz w:val="20"/>
              </w:rPr>
              <w:t xml:space="preserve">Albuquerque, Pietro Bartolo, Izaskun Bilbao Barandica, Isabel Carvalhais, Maria da Graça Carvalho, Asger Christensen, Rosa D’Amato, Francisco Guerreiro, Anja Haga, Niclas Herbst, Ladislav Ilčić, France Jamet, Predrag Fred Matić, Francisco José Millán Mon, </w:t>
            </w:r>
            <w:r w:rsidRPr="006F78EF">
              <w:rPr>
                <w:color w:val="000000"/>
                <w:sz w:val="20"/>
              </w:rPr>
              <w:t>Ana Miranda, João Pimenta Lopes, Caroline Roose, Bert-Jan Ruissen, Marc Tarabella, Theodoros Zagorakis</w:t>
            </w:r>
          </w:p>
        </w:tc>
      </w:tr>
      <w:tr w:rsidR="00C6714F" w:rsidRPr="006F78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Gabriel Mato</w:t>
            </w:r>
          </w:p>
        </w:tc>
      </w:tr>
      <w:tr w:rsidR="00C6714F" w:rsidRPr="006F78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b/>
                <w:bCs/>
                <w:color w:val="000000"/>
                <w:sz w:val="20"/>
                <w:szCs w:val="20"/>
              </w:rPr>
            </w:pPr>
            <w:r w:rsidRPr="006F78EF">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6F78EF" w:rsidRDefault="00E926E2">
            <w:pPr>
              <w:autoSpaceDE w:val="0"/>
              <w:autoSpaceDN w:val="0"/>
              <w:adjustRightInd w:val="0"/>
              <w:rPr>
                <w:color w:val="000000"/>
                <w:sz w:val="20"/>
                <w:szCs w:val="20"/>
              </w:rPr>
            </w:pPr>
            <w:r w:rsidRPr="006F78EF">
              <w:rPr>
                <w:color w:val="000000"/>
                <w:sz w:val="20"/>
              </w:rPr>
              <w:t>Erik Poulsen, Anne Sander</w:t>
            </w:r>
          </w:p>
        </w:tc>
      </w:tr>
    </w:tbl>
    <w:p w:rsidR="00311040" w:rsidRPr="006F78EF" w:rsidRDefault="00311040"/>
    <w:bookmarkEnd w:id="3"/>
    <w:p w:rsidR="001A5D71" w:rsidRPr="006F78EF" w:rsidRDefault="001A5D71" w:rsidP="00311040">
      <w:pPr>
        <w:sectPr w:rsidR="001A5D71" w:rsidRPr="006F78EF"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5D71" w:rsidRPr="006F78EF" w:rsidRDefault="00E926E2" w:rsidP="00311040">
      <w:pPr>
        <w:pStyle w:val="PageHeadingNotTOC"/>
      </w:pPr>
      <w:bookmarkStart w:id="4" w:name="RollCallPageAD"/>
      <w:r w:rsidRPr="006F78EF">
        <w:t>VOTACIÓN FINAL NOMINAL</w:t>
      </w:r>
      <w:r w:rsidRPr="006F78EF">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714F" w:rsidRPr="006F78EF" w:rsidTr="001A5D71">
        <w:trPr>
          <w:cantSplit/>
        </w:trPr>
        <w:tc>
          <w:tcPr>
            <w:tcW w:w="1701" w:type="dxa"/>
            <w:shd w:val="pct10" w:color="000000" w:fill="FFFFFF"/>
            <w:vAlign w:val="center"/>
          </w:tcPr>
          <w:p w:rsidR="001A5D71" w:rsidRPr="006F78EF" w:rsidRDefault="00E926E2" w:rsidP="001A5D71">
            <w:pPr>
              <w:pStyle w:val="RollCallVotes"/>
            </w:pPr>
            <w:r w:rsidRPr="006F78EF">
              <w:t>20</w:t>
            </w:r>
          </w:p>
        </w:tc>
        <w:tc>
          <w:tcPr>
            <w:tcW w:w="7371" w:type="dxa"/>
            <w:shd w:val="pct10" w:color="000000" w:fill="FFFFFF"/>
          </w:tcPr>
          <w:p w:rsidR="001A5D71" w:rsidRPr="006F78EF" w:rsidRDefault="00E926E2" w:rsidP="001A5D71">
            <w:pPr>
              <w:pStyle w:val="RollCallSymbols14pt"/>
            </w:pPr>
            <w:r w:rsidRPr="006F78EF">
              <w:t>+</w:t>
            </w:r>
          </w:p>
        </w:tc>
      </w:tr>
      <w:tr w:rsidR="00C6714F" w:rsidRPr="006F78EF" w:rsidTr="001A5D71">
        <w:trPr>
          <w:cantSplit/>
        </w:trPr>
        <w:tc>
          <w:tcPr>
            <w:tcW w:w="1701" w:type="dxa"/>
            <w:shd w:val="clear" w:color="auto" w:fill="FFFFFF"/>
          </w:tcPr>
          <w:p w:rsidR="001A5D71" w:rsidRPr="006F78EF" w:rsidRDefault="00E926E2" w:rsidP="001A5D71">
            <w:pPr>
              <w:pStyle w:val="RollCallTable"/>
            </w:pPr>
            <w:r w:rsidRPr="006F78EF">
              <w:t>PPE</w:t>
            </w:r>
          </w:p>
        </w:tc>
        <w:tc>
          <w:tcPr>
            <w:tcW w:w="7371" w:type="dxa"/>
            <w:shd w:val="clear" w:color="auto" w:fill="FFFFFF"/>
          </w:tcPr>
          <w:p w:rsidR="001A5D71" w:rsidRPr="006F78EF" w:rsidRDefault="00E926E2" w:rsidP="001A5D71">
            <w:pPr>
              <w:pStyle w:val="RollCallTable"/>
            </w:pPr>
            <w:r w:rsidRPr="006F78EF">
              <w:t>Maria da Graça Carvalho, Anja Haga, Niclas Herbst, Gabriel Mato, Francisco José Millán Mon, Anne Sander, Theodoros Zagorakis</w:t>
            </w:r>
          </w:p>
        </w:tc>
      </w:tr>
      <w:tr w:rsidR="00C6714F" w:rsidRPr="006F78EF" w:rsidTr="001A5D71">
        <w:trPr>
          <w:cantSplit/>
        </w:trPr>
        <w:tc>
          <w:tcPr>
            <w:tcW w:w="1701" w:type="dxa"/>
            <w:shd w:val="clear" w:color="auto" w:fill="FFFFFF"/>
          </w:tcPr>
          <w:p w:rsidR="001A5D71" w:rsidRPr="006F78EF" w:rsidRDefault="00E926E2" w:rsidP="001A5D71">
            <w:pPr>
              <w:pStyle w:val="RollCallTable"/>
            </w:pPr>
            <w:r w:rsidRPr="006F78EF">
              <w:t>Renew</w:t>
            </w:r>
          </w:p>
        </w:tc>
        <w:tc>
          <w:tcPr>
            <w:tcW w:w="7371" w:type="dxa"/>
            <w:shd w:val="clear" w:color="auto" w:fill="FFFFFF"/>
          </w:tcPr>
          <w:p w:rsidR="001A5D71" w:rsidRPr="006F78EF" w:rsidRDefault="00E926E2" w:rsidP="001A5D71">
            <w:pPr>
              <w:pStyle w:val="RollCallTable"/>
            </w:pPr>
            <w:r w:rsidRPr="006F78EF">
              <w:t>Izaskun Bilbao</w:t>
            </w:r>
            <w:r w:rsidRPr="006F78EF">
              <w:t xml:space="preserve"> Barandica, Asger Christensen, Erik Poulsen</w:t>
            </w:r>
          </w:p>
        </w:tc>
      </w:tr>
      <w:tr w:rsidR="00C6714F" w:rsidRPr="001F7B1A" w:rsidTr="001A5D71">
        <w:trPr>
          <w:cantSplit/>
        </w:trPr>
        <w:tc>
          <w:tcPr>
            <w:tcW w:w="1701" w:type="dxa"/>
            <w:shd w:val="clear" w:color="auto" w:fill="FFFFFF"/>
          </w:tcPr>
          <w:p w:rsidR="001A5D71" w:rsidRPr="006F78EF" w:rsidRDefault="00E926E2" w:rsidP="001A5D71">
            <w:pPr>
              <w:pStyle w:val="RollCallTable"/>
            </w:pPr>
            <w:r w:rsidRPr="006F78EF">
              <w:t>S&amp;D</w:t>
            </w:r>
          </w:p>
        </w:tc>
        <w:tc>
          <w:tcPr>
            <w:tcW w:w="7371" w:type="dxa"/>
            <w:shd w:val="clear" w:color="auto" w:fill="FFFFFF"/>
          </w:tcPr>
          <w:p w:rsidR="001A5D71" w:rsidRPr="001F7B1A" w:rsidRDefault="00E926E2" w:rsidP="001A5D71">
            <w:pPr>
              <w:pStyle w:val="RollCallTable"/>
              <w:rPr>
                <w:lang w:val="pt-PT"/>
              </w:rPr>
            </w:pPr>
            <w:r w:rsidRPr="001F7B1A">
              <w:rPr>
                <w:lang w:val="pt-PT"/>
              </w:rPr>
              <w:t>Clara Aguilera, João Albuquerque, Pietro Bartolo, Isabel Carvalhais, Predrag Fred Matić</w:t>
            </w:r>
          </w:p>
        </w:tc>
      </w:tr>
      <w:tr w:rsidR="00C6714F" w:rsidRPr="006F78EF" w:rsidTr="001A5D71">
        <w:trPr>
          <w:cantSplit/>
        </w:trPr>
        <w:tc>
          <w:tcPr>
            <w:tcW w:w="1701" w:type="dxa"/>
            <w:shd w:val="clear" w:color="auto" w:fill="FFFFFF"/>
          </w:tcPr>
          <w:p w:rsidR="001A5D71" w:rsidRPr="006F78EF" w:rsidRDefault="00E926E2" w:rsidP="001A5D71">
            <w:pPr>
              <w:pStyle w:val="RollCallTable"/>
            </w:pPr>
            <w:r w:rsidRPr="006F78EF">
              <w:t>The Left</w:t>
            </w:r>
          </w:p>
        </w:tc>
        <w:tc>
          <w:tcPr>
            <w:tcW w:w="7371" w:type="dxa"/>
            <w:shd w:val="clear" w:color="auto" w:fill="FFFFFF"/>
          </w:tcPr>
          <w:p w:rsidR="001A5D71" w:rsidRPr="006F78EF" w:rsidRDefault="00E926E2" w:rsidP="001A5D71">
            <w:pPr>
              <w:pStyle w:val="RollCallTable"/>
            </w:pPr>
            <w:r w:rsidRPr="006F78EF">
              <w:t>João Pimenta Lopes</w:t>
            </w:r>
          </w:p>
        </w:tc>
      </w:tr>
      <w:tr w:rsidR="00C6714F" w:rsidRPr="006F78EF" w:rsidTr="001A5D71">
        <w:trPr>
          <w:cantSplit/>
        </w:trPr>
        <w:tc>
          <w:tcPr>
            <w:tcW w:w="1701" w:type="dxa"/>
            <w:shd w:val="clear" w:color="auto" w:fill="FFFFFF"/>
          </w:tcPr>
          <w:p w:rsidR="001A5D71" w:rsidRPr="006F78EF" w:rsidRDefault="00E926E2" w:rsidP="001A5D71">
            <w:pPr>
              <w:pStyle w:val="RollCallTable"/>
            </w:pPr>
            <w:r w:rsidRPr="006F78EF">
              <w:t>Verts/ALE</w:t>
            </w:r>
          </w:p>
        </w:tc>
        <w:tc>
          <w:tcPr>
            <w:tcW w:w="7371" w:type="dxa"/>
            <w:shd w:val="clear" w:color="auto" w:fill="FFFFFF"/>
          </w:tcPr>
          <w:p w:rsidR="001A5D71" w:rsidRPr="006F78EF" w:rsidRDefault="00E926E2" w:rsidP="001A5D71">
            <w:pPr>
              <w:pStyle w:val="RollCallTable"/>
            </w:pPr>
            <w:r w:rsidRPr="006F78EF">
              <w:t>Rosa D'Amato, Francisco Guerreiro, Ana Miranda, Caroline Roose</w:t>
            </w:r>
          </w:p>
        </w:tc>
      </w:tr>
    </w:tbl>
    <w:p w:rsidR="001A5D71" w:rsidRPr="006F78EF"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714F" w:rsidRPr="006F78EF" w:rsidTr="001A5D71">
        <w:trPr>
          <w:cantSplit/>
        </w:trPr>
        <w:tc>
          <w:tcPr>
            <w:tcW w:w="1701" w:type="dxa"/>
            <w:shd w:val="pct10" w:color="000000" w:fill="FFFFFF"/>
            <w:vAlign w:val="center"/>
          </w:tcPr>
          <w:p w:rsidR="001A5D71" w:rsidRPr="006F78EF" w:rsidRDefault="00E926E2" w:rsidP="001A5D71">
            <w:pPr>
              <w:pStyle w:val="RollCallVotes"/>
            </w:pPr>
            <w:r w:rsidRPr="006F78EF">
              <w:t>3</w:t>
            </w:r>
          </w:p>
        </w:tc>
        <w:tc>
          <w:tcPr>
            <w:tcW w:w="7371" w:type="dxa"/>
            <w:shd w:val="pct10" w:color="000000" w:fill="FFFFFF"/>
          </w:tcPr>
          <w:p w:rsidR="001A5D71" w:rsidRPr="006F78EF" w:rsidRDefault="00E926E2" w:rsidP="001A5D71">
            <w:pPr>
              <w:pStyle w:val="RollCallSymbols14pt"/>
            </w:pPr>
            <w:r w:rsidRPr="006F78EF">
              <w:t>-</w:t>
            </w:r>
          </w:p>
        </w:tc>
      </w:tr>
      <w:tr w:rsidR="00C6714F" w:rsidRPr="006F78EF" w:rsidTr="001A5D71">
        <w:trPr>
          <w:cantSplit/>
        </w:trPr>
        <w:tc>
          <w:tcPr>
            <w:tcW w:w="1701" w:type="dxa"/>
            <w:shd w:val="clear" w:color="auto" w:fill="FFFFFF"/>
          </w:tcPr>
          <w:p w:rsidR="001A5D71" w:rsidRPr="006F78EF" w:rsidRDefault="00E926E2" w:rsidP="001A5D71">
            <w:pPr>
              <w:pStyle w:val="RollCallTable"/>
            </w:pPr>
            <w:r w:rsidRPr="006F78EF">
              <w:t>ECR</w:t>
            </w:r>
          </w:p>
        </w:tc>
        <w:tc>
          <w:tcPr>
            <w:tcW w:w="7371" w:type="dxa"/>
            <w:shd w:val="clear" w:color="auto" w:fill="FFFFFF"/>
          </w:tcPr>
          <w:p w:rsidR="001A5D71" w:rsidRPr="006F78EF" w:rsidRDefault="00E926E2" w:rsidP="001A5D71">
            <w:pPr>
              <w:pStyle w:val="RollCallTable"/>
            </w:pPr>
            <w:r w:rsidRPr="006F78EF">
              <w:t>Ladislav Ilčić, Bert-Jan Ruissen</w:t>
            </w:r>
          </w:p>
        </w:tc>
      </w:tr>
      <w:tr w:rsidR="00C6714F" w:rsidRPr="006F78EF" w:rsidTr="001A5D71">
        <w:trPr>
          <w:cantSplit/>
        </w:trPr>
        <w:tc>
          <w:tcPr>
            <w:tcW w:w="1701" w:type="dxa"/>
            <w:shd w:val="clear" w:color="auto" w:fill="FFFFFF"/>
          </w:tcPr>
          <w:p w:rsidR="001A5D71" w:rsidRPr="006F78EF" w:rsidRDefault="00E926E2" w:rsidP="001A5D71">
            <w:pPr>
              <w:pStyle w:val="RollCallTable"/>
            </w:pPr>
            <w:r w:rsidRPr="006F78EF">
              <w:t>ID</w:t>
            </w:r>
          </w:p>
        </w:tc>
        <w:tc>
          <w:tcPr>
            <w:tcW w:w="7371" w:type="dxa"/>
            <w:shd w:val="clear" w:color="auto" w:fill="FFFFFF"/>
          </w:tcPr>
          <w:p w:rsidR="001A5D71" w:rsidRPr="006F78EF" w:rsidRDefault="00E926E2" w:rsidP="001A5D71">
            <w:pPr>
              <w:pStyle w:val="RollCallTable"/>
            </w:pPr>
            <w:r w:rsidRPr="006F78EF">
              <w:t>France Jamet</w:t>
            </w:r>
          </w:p>
        </w:tc>
      </w:tr>
    </w:tbl>
    <w:p w:rsidR="001A5D71" w:rsidRPr="006F78EF"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714F" w:rsidRPr="006F78EF" w:rsidTr="001A5D71">
        <w:trPr>
          <w:cantSplit/>
        </w:trPr>
        <w:tc>
          <w:tcPr>
            <w:tcW w:w="1701" w:type="dxa"/>
            <w:shd w:val="pct10" w:color="000000" w:fill="FFFFFF"/>
            <w:vAlign w:val="center"/>
          </w:tcPr>
          <w:p w:rsidR="001A5D71" w:rsidRPr="006F78EF" w:rsidRDefault="00E926E2" w:rsidP="001A5D71">
            <w:pPr>
              <w:pStyle w:val="RollCallVotes"/>
            </w:pPr>
            <w:r w:rsidRPr="006F78EF">
              <w:t>1</w:t>
            </w:r>
          </w:p>
        </w:tc>
        <w:tc>
          <w:tcPr>
            <w:tcW w:w="7371" w:type="dxa"/>
            <w:shd w:val="pct10" w:color="000000" w:fill="FFFFFF"/>
          </w:tcPr>
          <w:p w:rsidR="001A5D71" w:rsidRPr="006F78EF" w:rsidRDefault="00E926E2" w:rsidP="001A5D71">
            <w:pPr>
              <w:pStyle w:val="RollCallSymbols14pt"/>
            </w:pPr>
            <w:r w:rsidRPr="006F78EF">
              <w:t>0</w:t>
            </w:r>
          </w:p>
        </w:tc>
      </w:tr>
      <w:tr w:rsidR="00C6714F" w:rsidRPr="006F78EF" w:rsidTr="001A5D71">
        <w:trPr>
          <w:cantSplit/>
        </w:trPr>
        <w:tc>
          <w:tcPr>
            <w:tcW w:w="1701" w:type="dxa"/>
            <w:shd w:val="clear" w:color="auto" w:fill="FFFFFF"/>
          </w:tcPr>
          <w:p w:rsidR="001A5D71" w:rsidRPr="006F78EF" w:rsidRDefault="00E926E2" w:rsidP="001A5D71">
            <w:pPr>
              <w:pStyle w:val="RollCallTable"/>
            </w:pPr>
            <w:r w:rsidRPr="006F78EF">
              <w:t>NI</w:t>
            </w:r>
          </w:p>
        </w:tc>
        <w:tc>
          <w:tcPr>
            <w:tcW w:w="7371" w:type="dxa"/>
            <w:shd w:val="clear" w:color="auto" w:fill="FFFFFF"/>
          </w:tcPr>
          <w:p w:rsidR="001A5D71" w:rsidRPr="006F78EF" w:rsidRDefault="00E926E2" w:rsidP="001A5D71">
            <w:pPr>
              <w:pStyle w:val="RollCallTable"/>
            </w:pPr>
            <w:r w:rsidRPr="006F78EF">
              <w:t>Marc Tarabella</w:t>
            </w:r>
          </w:p>
        </w:tc>
      </w:tr>
    </w:tbl>
    <w:p w:rsidR="001A5D71" w:rsidRPr="006F78EF" w:rsidRDefault="001A5D71" w:rsidP="001A5D71">
      <w:pPr>
        <w:pStyle w:val="Normal12a"/>
      </w:pPr>
    </w:p>
    <w:p w:rsidR="001A5D71" w:rsidRPr="006F78EF" w:rsidRDefault="00E926E2" w:rsidP="001A5D71">
      <w:r w:rsidRPr="006F78EF">
        <w:t>Explicación de los signos utilizados</w:t>
      </w:r>
    </w:p>
    <w:p w:rsidR="001A5D71" w:rsidRPr="006F78EF" w:rsidRDefault="00E926E2" w:rsidP="001A5D71">
      <w:pPr>
        <w:pStyle w:val="RollCallTabs"/>
      </w:pPr>
      <w:r w:rsidRPr="006F78EF">
        <w:t>+</w:t>
      </w:r>
      <w:r w:rsidRPr="006F78EF">
        <w:tab/>
        <w:t>:</w:t>
      </w:r>
      <w:r w:rsidRPr="006F78EF">
        <w:tab/>
        <w:t>a favor</w:t>
      </w:r>
    </w:p>
    <w:p w:rsidR="001A5D71" w:rsidRPr="006F78EF" w:rsidRDefault="00E926E2" w:rsidP="001A5D71">
      <w:pPr>
        <w:pStyle w:val="RollCallTabs"/>
      </w:pPr>
      <w:r w:rsidRPr="006F78EF">
        <w:t>-</w:t>
      </w:r>
      <w:r w:rsidRPr="006F78EF">
        <w:tab/>
        <w:t>:</w:t>
      </w:r>
      <w:r w:rsidRPr="006F78EF">
        <w:tab/>
        <w:t>en contra</w:t>
      </w:r>
    </w:p>
    <w:p w:rsidR="001A5D71" w:rsidRPr="006F78EF" w:rsidRDefault="00E926E2" w:rsidP="001A5D71">
      <w:pPr>
        <w:pStyle w:val="RollCallTabs"/>
      </w:pPr>
      <w:r w:rsidRPr="006F78EF">
        <w:t>0</w:t>
      </w:r>
      <w:r w:rsidRPr="006F78EF">
        <w:tab/>
        <w:t>:</w:t>
      </w:r>
      <w:r w:rsidRPr="006F78EF">
        <w:tab/>
        <w:t>abstenciones</w:t>
      </w:r>
    </w:p>
    <w:p w:rsidR="001A5D71" w:rsidRPr="006F78EF" w:rsidRDefault="001A5D71" w:rsidP="001A5D71"/>
    <w:bookmarkEnd w:id="4"/>
    <w:p w:rsidR="00DB56E4" w:rsidRPr="006F78EF" w:rsidRDefault="00DB56E4" w:rsidP="001A5D71"/>
    <w:sectPr w:rsidR="00DB56E4" w:rsidRPr="006F78EF" w:rsidSect="001A5D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F78EF" w:rsidRDefault="00E926E2">
      <w:r w:rsidRPr="006F78EF">
        <w:separator/>
      </w:r>
    </w:p>
  </w:endnote>
  <w:endnote w:type="continuationSeparator" w:id="0">
    <w:p w:rsidR="00000000" w:rsidRPr="006F78EF" w:rsidRDefault="00E926E2">
      <w:r w:rsidRPr="006F78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8EF" w:rsidRPr="006F78EF" w:rsidRDefault="006F78EF" w:rsidP="006F78EF">
    <w:pPr>
      <w:pStyle w:val="EPFooter"/>
    </w:pPr>
    <w:r w:rsidRPr="006F78EF">
      <w:t>PE</w:t>
    </w:r>
    <w:r w:rsidRPr="006F78EF">
      <w:rPr>
        <w:rStyle w:val="HideTWBExt"/>
      </w:rPr>
      <w:t>&lt;NoPE&gt;</w:t>
    </w:r>
    <w:r w:rsidRPr="006F78EF">
      <w:t>752.995</w:t>
    </w:r>
    <w:r w:rsidRPr="006F78EF">
      <w:rPr>
        <w:rStyle w:val="HideTWBExt"/>
      </w:rPr>
      <w:t>&lt;/NoPE&gt;&lt;Version&gt;</w:t>
    </w:r>
    <w:r w:rsidRPr="006F78EF">
      <w:t>v02-00</w:t>
    </w:r>
    <w:r w:rsidRPr="006F78EF">
      <w:rPr>
        <w:rStyle w:val="HideTWBExt"/>
      </w:rPr>
      <w:t>&lt;/Version&gt;</w:t>
    </w:r>
    <w:r w:rsidRPr="006F78EF">
      <w:tab/>
    </w:r>
    <w:r w:rsidRPr="006F78EF">
      <w:fldChar w:fldCharType="begin"/>
    </w:r>
    <w:r w:rsidRPr="006F78EF">
      <w:instrText xml:space="preserve"> PAGE  \* MERGEFORMAT </w:instrText>
    </w:r>
    <w:r w:rsidRPr="006F78EF">
      <w:fldChar w:fldCharType="separate"/>
    </w:r>
    <w:r w:rsidR="00E926E2">
      <w:rPr>
        <w:noProof/>
      </w:rPr>
      <w:t>2</w:t>
    </w:r>
    <w:r w:rsidRPr="006F78EF">
      <w:fldChar w:fldCharType="end"/>
    </w:r>
    <w:r w:rsidRPr="006F78EF">
      <w:t>/</w:t>
    </w:r>
    <w:fldSimple w:instr=" NUMPAGES  \* MERGEFORMAT ">
      <w:r w:rsidR="00E926E2">
        <w:rPr>
          <w:noProof/>
        </w:rPr>
        <w:t>25</w:t>
      </w:r>
    </w:fldSimple>
    <w:r w:rsidRPr="006F78EF">
      <w:tab/>
    </w:r>
    <w:r w:rsidRPr="006F78EF">
      <w:rPr>
        <w:rStyle w:val="HideTWBExt"/>
      </w:rPr>
      <w:t>&lt;PathFdR&gt;</w:t>
    </w:r>
    <w:r w:rsidRPr="006F78EF">
      <w:t>AD\1291495ES.docx</w:t>
    </w:r>
    <w:r w:rsidRPr="006F78EF">
      <w:rPr>
        <w:rStyle w:val="HideTWBExt"/>
      </w:rPr>
      <w:t>&lt;/PathFdR&gt;</w:t>
    </w:r>
  </w:p>
  <w:p w:rsidR="001A5D71" w:rsidRPr="006F78EF" w:rsidRDefault="006F78EF" w:rsidP="006F78EF">
    <w:pPr>
      <w:pStyle w:val="EPFooter2"/>
    </w:pPr>
    <w:r w:rsidRPr="006F78EF">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8EF" w:rsidRPr="006F78EF" w:rsidRDefault="006F78EF" w:rsidP="006F78EF">
    <w:pPr>
      <w:pStyle w:val="EPFooter"/>
    </w:pPr>
    <w:r w:rsidRPr="006F78EF">
      <w:rPr>
        <w:rStyle w:val="HideTWBExt"/>
      </w:rPr>
      <w:t>&lt;PathFdR&gt;</w:t>
    </w:r>
    <w:r w:rsidRPr="006F78EF">
      <w:t>AD\1291495ES.docx</w:t>
    </w:r>
    <w:r w:rsidRPr="006F78EF">
      <w:rPr>
        <w:rStyle w:val="HideTWBExt"/>
      </w:rPr>
      <w:t>&lt;/PathFdR&gt;</w:t>
    </w:r>
    <w:r w:rsidRPr="006F78EF">
      <w:tab/>
    </w:r>
    <w:r w:rsidRPr="006F78EF">
      <w:fldChar w:fldCharType="begin"/>
    </w:r>
    <w:r w:rsidRPr="006F78EF">
      <w:instrText xml:space="preserve"> PAGE  \* MERGEFORMAT </w:instrText>
    </w:r>
    <w:r w:rsidRPr="006F78EF">
      <w:fldChar w:fldCharType="separate"/>
    </w:r>
    <w:r w:rsidR="00E926E2">
      <w:rPr>
        <w:noProof/>
      </w:rPr>
      <w:t>25</w:t>
    </w:r>
    <w:r w:rsidRPr="006F78EF">
      <w:fldChar w:fldCharType="end"/>
    </w:r>
    <w:r w:rsidRPr="006F78EF">
      <w:t>/</w:t>
    </w:r>
    <w:fldSimple w:instr=" NUMPAGES  \* MERGEFORMAT ">
      <w:r w:rsidR="00E926E2">
        <w:rPr>
          <w:noProof/>
        </w:rPr>
        <w:t>25</w:t>
      </w:r>
    </w:fldSimple>
    <w:r w:rsidRPr="006F78EF">
      <w:tab/>
      <w:t>PE</w:t>
    </w:r>
    <w:r w:rsidRPr="006F78EF">
      <w:rPr>
        <w:rStyle w:val="HideTWBExt"/>
      </w:rPr>
      <w:t>&lt;NoPE&gt;</w:t>
    </w:r>
    <w:r w:rsidRPr="006F78EF">
      <w:t>752.995</w:t>
    </w:r>
    <w:r w:rsidRPr="006F78EF">
      <w:rPr>
        <w:rStyle w:val="HideTWBExt"/>
      </w:rPr>
      <w:t>&lt;/NoPE&gt;&lt;Version&gt;</w:t>
    </w:r>
    <w:r w:rsidRPr="006F78EF">
      <w:t>v02-00</w:t>
    </w:r>
    <w:r w:rsidRPr="006F78EF">
      <w:rPr>
        <w:rStyle w:val="HideTWBExt"/>
      </w:rPr>
      <w:t>&lt;/Version&gt;</w:t>
    </w:r>
  </w:p>
  <w:p w:rsidR="001A5D71" w:rsidRPr="006F78EF" w:rsidRDefault="006F78EF" w:rsidP="006F78EF">
    <w:pPr>
      <w:pStyle w:val="EPFooter2"/>
    </w:pPr>
    <w:r w:rsidRPr="006F78EF">
      <w:tab/>
    </w:r>
    <w:r w:rsidRPr="006F78EF">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8EF" w:rsidRPr="006F78EF" w:rsidRDefault="006F78EF" w:rsidP="006F78EF">
    <w:pPr>
      <w:pStyle w:val="EPFooter"/>
    </w:pPr>
    <w:r w:rsidRPr="006F78EF">
      <w:rPr>
        <w:rStyle w:val="HideTWBExt"/>
      </w:rPr>
      <w:t>&lt;PathFdR&gt;</w:t>
    </w:r>
    <w:r w:rsidRPr="006F78EF">
      <w:t>AD\1291495ES.docx</w:t>
    </w:r>
    <w:r w:rsidRPr="006F78EF">
      <w:rPr>
        <w:rStyle w:val="HideTWBExt"/>
      </w:rPr>
      <w:t>&lt;/PathFdR&gt;</w:t>
    </w:r>
    <w:r w:rsidRPr="006F78EF">
      <w:tab/>
    </w:r>
    <w:r w:rsidRPr="006F78EF">
      <w:tab/>
      <w:t>PE</w:t>
    </w:r>
    <w:r w:rsidRPr="006F78EF">
      <w:rPr>
        <w:rStyle w:val="HideTWBExt"/>
      </w:rPr>
      <w:t>&lt;NoPE&gt;</w:t>
    </w:r>
    <w:r w:rsidRPr="006F78EF">
      <w:t>752.995</w:t>
    </w:r>
    <w:r w:rsidRPr="006F78EF">
      <w:rPr>
        <w:rStyle w:val="HideTWBExt"/>
      </w:rPr>
      <w:t>&lt;/NoPE&gt;&lt;Version&gt;</w:t>
    </w:r>
    <w:r w:rsidRPr="006F78EF">
      <w:t>v02-00</w:t>
    </w:r>
    <w:r w:rsidRPr="006F78EF">
      <w:rPr>
        <w:rStyle w:val="HideTWBExt"/>
      </w:rPr>
      <w:t>&lt;/Version&gt;</w:t>
    </w:r>
  </w:p>
  <w:p w:rsidR="001A5D71" w:rsidRPr="006F78EF" w:rsidRDefault="006F78EF" w:rsidP="006F78EF">
    <w:pPr>
      <w:pStyle w:val="EPFooter2"/>
    </w:pPr>
    <w:r w:rsidRPr="006F78EF">
      <w:t>ES</w:t>
    </w:r>
    <w:r w:rsidRPr="006F78EF">
      <w:tab/>
    </w:r>
    <w:r w:rsidRPr="006F78EF">
      <w:rPr>
        <w:b w:val="0"/>
        <w:i/>
        <w:color w:val="C0C0C0"/>
        <w:sz w:val="22"/>
      </w:rPr>
      <w:t>Unida en la diversidad</w:t>
    </w:r>
    <w:r w:rsidRPr="006F78EF">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6F78EF" w:rsidRDefault="00E926E2">
      <w:r w:rsidRPr="006F78EF">
        <w:separator/>
      </w:r>
    </w:p>
  </w:footnote>
  <w:footnote w:type="continuationSeparator" w:id="0">
    <w:p w:rsidR="001A5D71" w:rsidRPr="006F78EF" w:rsidRDefault="00E926E2">
      <w:r w:rsidRPr="006F78EF">
        <w:continuationSeparator/>
      </w:r>
    </w:p>
  </w:footnote>
  <w:footnote w:id="1">
    <w:p w:rsidR="001A5D71" w:rsidRPr="006F78EF" w:rsidRDefault="00E926E2" w:rsidP="007652EA">
      <w:pPr>
        <w:pStyle w:val="FootnoteText"/>
        <w:rPr>
          <w:lang w:val="es-ES_tradnl"/>
        </w:rPr>
      </w:pPr>
      <w:r w:rsidRPr="006F78EF">
        <w:rPr>
          <w:rStyle w:val="FootnoteReference"/>
          <w:lang w:val="es-ES_tradnl"/>
        </w:rPr>
        <w:footnoteRef/>
      </w:r>
      <w:r w:rsidR="001F7B1A">
        <w:rPr>
          <w:lang w:val="es-ES_tradnl"/>
        </w:rPr>
        <w:t> </w:t>
      </w:r>
      <w:r w:rsidRPr="006F78EF">
        <w:rPr>
          <w:lang w:val="es-ES_tradnl"/>
        </w:rPr>
        <w:t>P5_TA(2004)0350</w:t>
      </w:r>
      <w:r w:rsidR="001F7B1A">
        <w:rPr>
          <w:lang w:val="es-ES_tradnl"/>
        </w:rPr>
        <w:t>.</w:t>
      </w:r>
      <w:r w:rsidRPr="006F78EF">
        <w:rPr>
          <w:lang w:val="es-ES_tradnl"/>
        </w:rPr>
        <w:t xml:space="preserve"> </w:t>
      </w:r>
    </w:p>
  </w:footnote>
  <w:footnote w:id="2">
    <w:p w:rsidR="001A5D71" w:rsidRPr="006F78EF" w:rsidRDefault="00E926E2" w:rsidP="007652EA">
      <w:pPr>
        <w:pStyle w:val="FootnoteText"/>
        <w:rPr>
          <w:lang w:val="es-ES_tradnl"/>
        </w:rPr>
      </w:pPr>
      <w:r w:rsidRPr="006F78EF">
        <w:rPr>
          <w:rStyle w:val="FootnoteReference"/>
          <w:lang w:val="es-ES_tradnl"/>
        </w:rPr>
        <w:footnoteRef/>
      </w:r>
      <w:r w:rsidR="001F7B1A">
        <w:rPr>
          <w:lang w:val="es-ES_tradnl"/>
        </w:rPr>
        <w:t> </w:t>
      </w:r>
      <w:r w:rsidRPr="006F78EF">
        <w:rPr>
          <w:lang w:val="es-ES_tradnl"/>
        </w:rPr>
        <w:t>Por ejemplo, en la Resolución P9_TA (2022) 0356 y en la primera lectura de la propuesta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B1A" w:rsidRDefault="001F7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B1A" w:rsidRDefault="001F7B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B1A" w:rsidRDefault="001F7B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EN"/>
    <w:docVar w:name="TXTLANGUEMIN" w:val="en"/>
    <w:docVar w:name="TXTNRC" w:val="0188"/>
    <w:docVar w:name="TXTNRCOM" w:val="2023/0272"/>
    <w:docVar w:name="TXTNRFIRSTAM" w:val="1"/>
    <w:docVar w:name="TXTNRLASTAM" w:val="41"/>
    <w:docVar w:name="TXTNRPE" w:val="752.995"/>
    <w:docVar w:name="TXTNRPROC" w:val="2023/0272"/>
    <w:docVar w:name="TXTPEorAP" w:val="PE"/>
    <w:docVar w:name="TXTROUTE" w:val="AD\1291495EN.docx"/>
    <w:docVar w:name="TXTVERSION" w:val="02-00"/>
  </w:docVars>
  <w:rsids>
    <w:rsidRoot w:val="002F5C7B"/>
    <w:rsid w:val="00026559"/>
    <w:rsid w:val="00027FA8"/>
    <w:rsid w:val="00043F5D"/>
    <w:rsid w:val="0004474F"/>
    <w:rsid w:val="0007610B"/>
    <w:rsid w:val="00082EC4"/>
    <w:rsid w:val="000A5079"/>
    <w:rsid w:val="000D44A6"/>
    <w:rsid w:val="000F236B"/>
    <w:rsid w:val="00122C05"/>
    <w:rsid w:val="00134974"/>
    <w:rsid w:val="00141CD7"/>
    <w:rsid w:val="001616BD"/>
    <w:rsid w:val="001820A9"/>
    <w:rsid w:val="001907C7"/>
    <w:rsid w:val="001A0556"/>
    <w:rsid w:val="001A5D71"/>
    <w:rsid w:val="001B0A1E"/>
    <w:rsid w:val="001C0886"/>
    <w:rsid w:val="001D5154"/>
    <w:rsid w:val="001E3AC4"/>
    <w:rsid w:val="001F014D"/>
    <w:rsid w:val="001F7B1A"/>
    <w:rsid w:val="0020077A"/>
    <w:rsid w:val="0023131B"/>
    <w:rsid w:val="002A67EE"/>
    <w:rsid w:val="002F5C7B"/>
    <w:rsid w:val="00300C1D"/>
    <w:rsid w:val="00304902"/>
    <w:rsid w:val="00304EA8"/>
    <w:rsid w:val="00311040"/>
    <w:rsid w:val="00341A99"/>
    <w:rsid w:val="00360FAA"/>
    <w:rsid w:val="0038294E"/>
    <w:rsid w:val="003A2F84"/>
    <w:rsid w:val="003C7390"/>
    <w:rsid w:val="003E1280"/>
    <w:rsid w:val="003F128E"/>
    <w:rsid w:val="0040055C"/>
    <w:rsid w:val="00426E14"/>
    <w:rsid w:val="00487596"/>
    <w:rsid w:val="004A772A"/>
    <w:rsid w:val="004B3A53"/>
    <w:rsid w:val="004C2A0D"/>
    <w:rsid w:val="004C70BC"/>
    <w:rsid w:val="004F1D2F"/>
    <w:rsid w:val="00502B76"/>
    <w:rsid w:val="00513F6F"/>
    <w:rsid w:val="00522B51"/>
    <w:rsid w:val="00524707"/>
    <w:rsid w:val="00533D1B"/>
    <w:rsid w:val="005539B7"/>
    <w:rsid w:val="00571233"/>
    <w:rsid w:val="00613134"/>
    <w:rsid w:val="00626D52"/>
    <w:rsid w:val="00642143"/>
    <w:rsid w:val="00643DA8"/>
    <w:rsid w:val="00657D5C"/>
    <w:rsid w:val="00683DD1"/>
    <w:rsid w:val="00691B1C"/>
    <w:rsid w:val="006A0F0A"/>
    <w:rsid w:val="006A48AA"/>
    <w:rsid w:val="006B1267"/>
    <w:rsid w:val="006D292E"/>
    <w:rsid w:val="006F78EF"/>
    <w:rsid w:val="00712462"/>
    <w:rsid w:val="00716BAA"/>
    <w:rsid w:val="007652EA"/>
    <w:rsid w:val="00774F2F"/>
    <w:rsid w:val="0078548A"/>
    <w:rsid w:val="007979DA"/>
    <w:rsid w:val="00797D48"/>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82B83"/>
    <w:rsid w:val="00983849"/>
    <w:rsid w:val="009857B4"/>
    <w:rsid w:val="009B4410"/>
    <w:rsid w:val="009B69B7"/>
    <w:rsid w:val="009E7319"/>
    <w:rsid w:val="00A17DAF"/>
    <w:rsid w:val="00A71228"/>
    <w:rsid w:val="00A74E25"/>
    <w:rsid w:val="00AB1E3E"/>
    <w:rsid w:val="00AC2A60"/>
    <w:rsid w:val="00AD0C69"/>
    <w:rsid w:val="00AD49D0"/>
    <w:rsid w:val="00B00EE6"/>
    <w:rsid w:val="00B1755A"/>
    <w:rsid w:val="00B476DC"/>
    <w:rsid w:val="00B556CD"/>
    <w:rsid w:val="00B62D4B"/>
    <w:rsid w:val="00B904FA"/>
    <w:rsid w:val="00B966C1"/>
    <w:rsid w:val="00BA3E40"/>
    <w:rsid w:val="00BA7BF3"/>
    <w:rsid w:val="00BC0C2F"/>
    <w:rsid w:val="00BD1F76"/>
    <w:rsid w:val="00BE20CF"/>
    <w:rsid w:val="00C15DBE"/>
    <w:rsid w:val="00C22327"/>
    <w:rsid w:val="00C26008"/>
    <w:rsid w:val="00C335C6"/>
    <w:rsid w:val="00C4219C"/>
    <w:rsid w:val="00C52A28"/>
    <w:rsid w:val="00C5304F"/>
    <w:rsid w:val="00C6714F"/>
    <w:rsid w:val="00C709B7"/>
    <w:rsid w:val="00C75E98"/>
    <w:rsid w:val="00C81C5B"/>
    <w:rsid w:val="00C83B35"/>
    <w:rsid w:val="00CE55C6"/>
    <w:rsid w:val="00CF22B3"/>
    <w:rsid w:val="00D25CF2"/>
    <w:rsid w:val="00D56CE0"/>
    <w:rsid w:val="00D6254D"/>
    <w:rsid w:val="00D67D0A"/>
    <w:rsid w:val="00D74FD1"/>
    <w:rsid w:val="00D943A5"/>
    <w:rsid w:val="00D9581F"/>
    <w:rsid w:val="00DB56E4"/>
    <w:rsid w:val="00E27F01"/>
    <w:rsid w:val="00E77FF5"/>
    <w:rsid w:val="00E926E2"/>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8F24A"/>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val="es-ES" w:eastAsia="en-US"/>
    </w:rPr>
  </w:style>
  <w:style w:type="character" w:customStyle="1" w:styleId="FootnoteTextChar">
    <w:name w:val="Footnote Text Char"/>
    <w:basedOn w:val="DefaultParagraphFont"/>
    <w:link w:val="FootnoteText"/>
    <w:uiPriority w:val="99"/>
    <w:rsid w:val="007652EA"/>
    <w:rPr>
      <w:rFonts w:eastAsiaTheme="minorHAnsi"/>
      <w:lang w:val="es-ES"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lang w:val="es-ES"/>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es-ES"/>
    </w:rPr>
  </w:style>
  <w:style w:type="paragraph" w:customStyle="1" w:styleId="ColumnHeading">
    <w:name w:val="ColumnHeading"/>
    <w:basedOn w:val="Normal"/>
    <w:rsid w:val="007652EA"/>
    <w:pPr>
      <w:spacing w:after="240"/>
      <w:jc w:val="center"/>
    </w:pPr>
    <w:rPr>
      <w:i/>
      <w:szCs w:val="20"/>
      <w:lang w:val="es-ES"/>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D7F56-DDB1-4079-A825-7FB002BE2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5036</Words>
  <Characters>28092</Characters>
  <Application>Microsoft Office Word</Application>
  <DocSecurity>0</DocSecurity>
  <Lines>1110</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2023-12-08T17:32:00Z</dcterms:created>
  <dcterms:modified xsi:type="dcterms:W3CDTF">2023-12-08T17:32:00Z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AD\1291495ES.docx</vt:lpwstr>
  </property>
  <property fmtid="{D5CDD505-2E9C-101B-9397-08002B2CF9AE}" pid="10" name="LastEdited with">
    <vt:lpwstr>9.16.1 Build [20230920]</vt:lpwstr>
  </property>
  <property fmtid="{D5CDD505-2E9C-101B-9397-08002B2CF9AE}" pid="11" name="PE number">
    <vt:lpwstr>752.995</vt:lpwstr>
  </property>
  <property fmtid="{D5CDD505-2E9C-101B-9397-08002B2CF9AE}" pid="12" name="SDLStudio">
    <vt:lpwstr/>
  </property>
  <property fmtid="{D5CDD505-2E9C-101B-9397-08002B2CF9AE}" pid="13" name="SendToEpades">
    <vt:lpwstr>OK - 2023/11/29 15:44</vt:lpwstr>
  </property>
  <property fmtid="{D5CDD505-2E9C-101B-9397-08002B2CF9AE}" pid="14" name="Bookout">
    <vt:lpwstr>OK - 2023/12/08 18:32</vt:lpwstr>
  </property>
</Properties>
</file>