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46DF" w:rsidRPr="00880B0F" w:rsidTr="00C85D0F">
        <w:trPr>
          <w:trHeight w:hRule="exact" w:val="1418"/>
        </w:trPr>
        <w:tc>
          <w:tcPr>
            <w:tcW w:w="6804" w:type="dxa"/>
            <w:shd w:val="clear" w:color="auto" w:fill="auto"/>
            <w:vAlign w:val="center"/>
          </w:tcPr>
          <w:p w:rsidR="00BA3E40" w:rsidRPr="00880B0F" w:rsidRDefault="00880B0F" w:rsidP="00C85D0F">
            <w:pPr>
              <w:pStyle w:val="EPName"/>
            </w:pPr>
            <w:r w:rsidRPr="00880B0F">
              <w:t>Europa-Parlamentet</w:t>
            </w:r>
          </w:p>
          <w:p w:rsidR="00BA3E40" w:rsidRPr="00880B0F" w:rsidRDefault="00880B0F" w:rsidP="00733FE2">
            <w:pPr>
              <w:pStyle w:val="EPTerm"/>
            </w:pPr>
            <w:r w:rsidRPr="00880B0F">
              <w:t>2019-2024</w:t>
            </w:r>
          </w:p>
        </w:tc>
        <w:tc>
          <w:tcPr>
            <w:tcW w:w="2268" w:type="dxa"/>
            <w:shd w:val="clear" w:color="auto" w:fill="auto"/>
          </w:tcPr>
          <w:p w:rsidR="00BA3E40" w:rsidRPr="00880B0F" w:rsidRDefault="00880B0F" w:rsidP="00C85D0F">
            <w:pPr>
              <w:pStyle w:val="EPLogo"/>
            </w:pPr>
            <w:r w:rsidRPr="00880B0F">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80B0F" w:rsidRDefault="00F24D40" w:rsidP="00F24D40">
      <w:pPr>
        <w:pStyle w:val="LineTop"/>
      </w:pPr>
    </w:p>
    <w:p w:rsidR="00F24D40" w:rsidRPr="00880B0F" w:rsidRDefault="00880B0F" w:rsidP="00F24D40">
      <w:pPr>
        <w:pStyle w:val="EPBody"/>
      </w:pPr>
      <w:r w:rsidRPr="00880B0F">
        <w:rPr>
          <w:rStyle w:val="HideTWBExt"/>
          <w:noProof w:val="0"/>
        </w:rPr>
        <w:t>&lt;</w:t>
      </w:r>
      <w:r w:rsidRPr="00880B0F">
        <w:rPr>
          <w:rStyle w:val="HideTWBExt"/>
          <w:i w:val="0"/>
          <w:noProof w:val="0"/>
        </w:rPr>
        <w:t>Commission</w:t>
      </w:r>
      <w:r w:rsidRPr="00880B0F">
        <w:rPr>
          <w:rStyle w:val="HideTWBExt"/>
          <w:noProof w:val="0"/>
        </w:rPr>
        <w:t>&gt;</w:t>
      </w:r>
      <w:r w:rsidRPr="00880B0F">
        <w:rPr>
          <w:rStyle w:val="HideTWBInt"/>
          <w:color w:val="auto"/>
        </w:rPr>
        <w:t>{PECH}</w:t>
      </w:r>
      <w:r w:rsidRPr="00880B0F">
        <w:t>Fiskeriudvalget</w:t>
      </w:r>
      <w:r w:rsidRPr="00880B0F">
        <w:rPr>
          <w:rStyle w:val="HideTWBExt"/>
          <w:noProof w:val="0"/>
        </w:rPr>
        <w:t>&lt;/</w:t>
      </w:r>
      <w:r w:rsidRPr="00880B0F">
        <w:rPr>
          <w:rStyle w:val="HideTWBExt"/>
          <w:i w:val="0"/>
          <w:noProof w:val="0"/>
        </w:rPr>
        <w:t>Commission</w:t>
      </w:r>
      <w:r w:rsidRPr="00880B0F">
        <w:rPr>
          <w:rStyle w:val="HideTWBExt"/>
          <w:noProof w:val="0"/>
        </w:rPr>
        <w:t>&gt;</w:t>
      </w:r>
    </w:p>
    <w:p w:rsidR="00F24D40" w:rsidRPr="00880B0F" w:rsidRDefault="00F24D40" w:rsidP="00F24D40">
      <w:pPr>
        <w:pStyle w:val="LineBottom"/>
      </w:pPr>
    </w:p>
    <w:p w:rsidR="00DB56E4" w:rsidRPr="00880B0F" w:rsidRDefault="00880B0F" w:rsidP="00DB56E4">
      <w:pPr>
        <w:pStyle w:val="CoverReference"/>
      </w:pPr>
      <w:r w:rsidRPr="00880B0F">
        <w:rPr>
          <w:rStyle w:val="HideTWBExt"/>
          <w:b w:val="0"/>
          <w:noProof w:val="0"/>
        </w:rPr>
        <w:t>&lt;RefProc&gt;</w:t>
      </w:r>
      <w:r w:rsidRPr="00880B0F">
        <w:t>2023/0171</w:t>
      </w:r>
      <w:r w:rsidRPr="00880B0F">
        <w:rPr>
          <w:rStyle w:val="HideTWBExt"/>
          <w:b w:val="0"/>
          <w:noProof w:val="0"/>
        </w:rPr>
        <w:t>&lt;/RefProc&gt;&lt;RefTypeProc&gt;</w:t>
      </w:r>
      <w:r w:rsidRPr="00880B0F">
        <w:t>(COD)</w:t>
      </w:r>
      <w:r w:rsidRPr="00880B0F">
        <w:rPr>
          <w:rStyle w:val="HideTWBExt"/>
          <w:b w:val="0"/>
          <w:noProof w:val="0"/>
        </w:rPr>
        <w:t>&lt;/RefTypeProc&gt;</w:t>
      </w:r>
    </w:p>
    <w:p w:rsidR="00DB56E4" w:rsidRPr="00880B0F" w:rsidRDefault="00880B0F" w:rsidP="00DB56E4">
      <w:pPr>
        <w:pStyle w:val="CoverDate"/>
      </w:pPr>
      <w:r w:rsidRPr="00880B0F">
        <w:rPr>
          <w:rStyle w:val="HideTWBExt"/>
          <w:noProof w:val="0"/>
        </w:rPr>
        <w:t>&lt;Date&gt;</w:t>
      </w:r>
      <w:r w:rsidRPr="00880B0F">
        <w:rPr>
          <w:rStyle w:val="HideTWBInt"/>
          <w:color w:val="auto"/>
        </w:rPr>
        <w:t>{15/11/2023}</w:t>
      </w:r>
      <w:r w:rsidRPr="00880B0F">
        <w:t>15.11.2023</w:t>
      </w:r>
      <w:r w:rsidRPr="00880B0F">
        <w:rPr>
          <w:rStyle w:val="HideTWBExt"/>
          <w:noProof w:val="0"/>
        </w:rPr>
        <w:t>&lt;/Date&gt;</w:t>
      </w:r>
    </w:p>
    <w:p w:rsidR="00DB56E4" w:rsidRPr="00880B0F" w:rsidRDefault="00880B0F" w:rsidP="00DB56E4">
      <w:pPr>
        <w:pStyle w:val="CoverDocType24a"/>
      </w:pPr>
      <w:r w:rsidRPr="00880B0F">
        <w:rPr>
          <w:rStyle w:val="HideTWBExt"/>
          <w:b w:val="0"/>
          <w:noProof w:val="0"/>
        </w:rPr>
        <w:t>&lt;TitreType&gt;</w:t>
      </w:r>
      <w:r w:rsidRPr="00880B0F">
        <w:t>UDTALELSE</w:t>
      </w:r>
      <w:r w:rsidRPr="00880B0F">
        <w:rPr>
          <w:rStyle w:val="HideTWBExt"/>
          <w:b w:val="0"/>
          <w:noProof w:val="0"/>
        </w:rPr>
        <w:t>&lt;/TitreType&gt;</w:t>
      </w:r>
    </w:p>
    <w:p w:rsidR="00DB56E4" w:rsidRPr="00880B0F" w:rsidRDefault="00880B0F" w:rsidP="00DB56E4">
      <w:pPr>
        <w:pStyle w:val="CoverNormal24a"/>
      </w:pPr>
      <w:r w:rsidRPr="00880B0F">
        <w:rPr>
          <w:rStyle w:val="HideTWBExt"/>
          <w:noProof w:val="0"/>
        </w:rPr>
        <w:t>&lt;CommissionResp&gt;</w:t>
      </w:r>
      <w:r w:rsidRPr="00880B0F">
        <w:t>fra Fiskeriudvalget</w:t>
      </w:r>
      <w:r w:rsidRPr="00880B0F">
        <w:rPr>
          <w:rStyle w:val="HideTWBExt"/>
          <w:noProof w:val="0"/>
        </w:rPr>
        <w:t>&lt;/CommissionResp&gt;</w:t>
      </w:r>
    </w:p>
    <w:p w:rsidR="00DB56E4" w:rsidRPr="00880B0F" w:rsidRDefault="00880B0F" w:rsidP="00DB56E4">
      <w:pPr>
        <w:pStyle w:val="CoverNormal24a"/>
      </w:pPr>
      <w:r w:rsidRPr="00880B0F">
        <w:rPr>
          <w:rStyle w:val="HideTWBExt"/>
          <w:noProof w:val="0"/>
        </w:rPr>
        <w:t>&lt;CommissionInt&gt;</w:t>
      </w:r>
      <w:r w:rsidRPr="00880B0F">
        <w:t>til Transport- og Turismeudvalget</w:t>
      </w:r>
      <w:r w:rsidRPr="00880B0F">
        <w:rPr>
          <w:rStyle w:val="HideTWBExt"/>
          <w:noProof w:val="0"/>
        </w:rPr>
        <w:t>&lt;/CommissionInt&gt;</w:t>
      </w:r>
    </w:p>
    <w:p w:rsidR="00DB56E4" w:rsidRPr="00880B0F" w:rsidRDefault="00880B0F" w:rsidP="00DB56E4">
      <w:pPr>
        <w:pStyle w:val="CoverNormal"/>
      </w:pPr>
      <w:r w:rsidRPr="00880B0F">
        <w:rPr>
          <w:rStyle w:val="HideTWBExt"/>
          <w:noProof w:val="0"/>
        </w:rPr>
        <w:t>&lt;Titre&gt;</w:t>
      </w:r>
      <w:r w:rsidRPr="00880B0F">
        <w:t>om forslag til Europa-Parlamentets og Rådets direktiv om ændring af direktiv 2005/35/EF om forurening fra skibe og om indførelse af sanktioner, herunder strafferetlig</w:t>
      </w:r>
      <w:r w:rsidRPr="00880B0F">
        <w:t xml:space="preserve">e sanktioner, for ulovlig forurening </w:t>
      </w:r>
      <w:r w:rsidRPr="00880B0F">
        <w:rPr>
          <w:rStyle w:val="HideTWBExt"/>
          <w:noProof w:val="0"/>
        </w:rPr>
        <w:t>&lt;/Titre&gt;</w:t>
      </w:r>
    </w:p>
    <w:p w:rsidR="00DB56E4" w:rsidRPr="00880B0F" w:rsidRDefault="00880B0F" w:rsidP="00DB56E4">
      <w:pPr>
        <w:pStyle w:val="CoverNormal24a"/>
      </w:pPr>
      <w:r w:rsidRPr="00880B0F">
        <w:rPr>
          <w:rStyle w:val="HideTWBExt"/>
          <w:noProof w:val="0"/>
        </w:rPr>
        <w:t>&lt;DocRef&gt;</w:t>
      </w:r>
      <w:r w:rsidRPr="00880B0F">
        <w:t>(COM(2023)273 – C9</w:t>
      </w:r>
      <w:r w:rsidRPr="00880B0F">
        <w:noBreakHyphen/>
        <w:t>0187/2023 – 2023/0171(COD))</w:t>
      </w:r>
      <w:r w:rsidRPr="00880B0F">
        <w:rPr>
          <w:rStyle w:val="HideTWBExt"/>
          <w:noProof w:val="0"/>
        </w:rPr>
        <w:t>&lt;/DocRef&gt;</w:t>
      </w:r>
    </w:p>
    <w:p w:rsidR="00DB56E4" w:rsidRPr="00880B0F" w:rsidRDefault="00880B0F" w:rsidP="00DB56E4">
      <w:pPr>
        <w:pStyle w:val="CoverNormal24a"/>
      </w:pPr>
      <w:r w:rsidRPr="00880B0F">
        <w:t xml:space="preserve">Ordfører for udtalelse: </w:t>
      </w:r>
      <w:r w:rsidRPr="00880B0F">
        <w:rPr>
          <w:rStyle w:val="HideTWBExt"/>
          <w:noProof w:val="0"/>
        </w:rPr>
        <w:t>&lt;Depute&gt;</w:t>
      </w:r>
      <w:r w:rsidRPr="00880B0F">
        <w:t>Cláudia Monteiro de Aguiar</w:t>
      </w:r>
      <w:r w:rsidRPr="00880B0F">
        <w:rPr>
          <w:rStyle w:val="HideTWBExt"/>
          <w:noProof w:val="0"/>
        </w:rPr>
        <w:t>&lt;/Depute&gt;</w:t>
      </w:r>
    </w:p>
    <w:p w:rsidR="00487596" w:rsidRPr="00880B0F" w:rsidRDefault="00487596" w:rsidP="00487596">
      <w:pPr>
        <w:pStyle w:val="CoverNormal"/>
      </w:pPr>
    </w:p>
    <w:p w:rsidR="00DB56E4" w:rsidRPr="00880B0F" w:rsidRDefault="00880B0F" w:rsidP="0004474F">
      <w:pPr>
        <w:tabs>
          <w:tab w:val="center" w:pos="4677"/>
        </w:tabs>
      </w:pPr>
      <w:r w:rsidRPr="00880B0F">
        <w:br w:type="page"/>
      </w:r>
      <w:r w:rsidRPr="00880B0F">
        <w:lastRenderedPageBreak/>
        <w:t>PA_Legam</w:t>
      </w:r>
    </w:p>
    <w:p w:rsidR="00DB56E4" w:rsidRPr="00880B0F" w:rsidRDefault="00880B0F" w:rsidP="00DB56E4">
      <w:pPr>
        <w:pStyle w:val="PageHeadingNotTOC"/>
      </w:pPr>
      <w:r w:rsidRPr="00880B0F">
        <w:br w:type="page"/>
      </w:r>
      <w:r w:rsidRPr="00880B0F">
        <w:lastRenderedPageBreak/>
        <w:t>KORT BEGRUNDELSE</w:t>
      </w:r>
    </w:p>
    <w:p w:rsidR="001303FC" w:rsidRPr="00880B0F" w:rsidRDefault="00880B0F" w:rsidP="001303FC">
      <w:pPr>
        <w:jc w:val="both"/>
      </w:pPr>
      <w:bookmarkStart w:id="0" w:name="ProcPageAD"/>
      <w:r w:rsidRPr="00880B0F">
        <w:t xml:space="preserve">Bevarelsen af havets biologiske ressourcer er </w:t>
      </w:r>
      <w:r w:rsidRPr="00880B0F">
        <w:t>kernen i den fælles fiskeripolitik, eftersom fiskerisektoren er udsat for havforurening, som – blandt mange andre forureningskilder – omfatter ulovlig udtømning i havet af forurenende stoffer fra skibe.</w:t>
      </w:r>
    </w:p>
    <w:p w:rsidR="001303FC" w:rsidRPr="00880B0F" w:rsidRDefault="001303FC" w:rsidP="001303FC">
      <w:pPr>
        <w:jc w:val="both"/>
      </w:pPr>
    </w:p>
    <w:p w:rsidR="001303FC" w:rsidRPr="00880B0F" w:rsidRDefault="00880B0F" w:rsidP="001303FC">
      <w:pPr>
        <w:jc w:val="both"/>
      </w:pPr>
      <w:r w:rsidRPr="00880B0F">
        <w:t>Ordføreren glæder sig derfor over Kommissionens fors</w:t>
      </w:r>
      <w:r w:rsidRPr="00880B0F">
        <w:t xml:space="preserve">lag om ajourføring af </w:t>
      </w:r>
      <w:hyperlink r:id="rId8" w:history="1">
        <w:r w:rsidRPr="00880B0F">
          <w:rPr>
            <w:rStyle w:val="Hyperlink"/>
          </w:rPr>
          <w:t>direktiv 2005/35/EF om forurening fra skibe</w:t>
        </w:r>
      </w:hyperlink>
      <w:r w:rsidRPr="00880B0F">
        <w:rPr>
          <w:rStyle w:val="FootnoteReference"/>
        </w:rPr>
        <w:footnoteReference w:id="1"/>
      </w:r>
      <w:r w:rsidRPr="00880B0F">
        <w:t xml:space="preserve"> og om indførelse af sanktioner for ulovlig forurening.</w:t>
      </w:r>
    </w:p>
    <w:p w:rsidR="001303FC" w:rsidRPr="00880B0F" w:rsidRDefault="001303FC" w:rsidP="001303FC">
      <w:pPr>
        <w:jc w:val="both"/>
      </w:pPr>
    </w:p>
    <w:p w:rsidR="001303FC" w:rsidRPr="00880B0F" w:rsidRDefault="00880B0F" w:rsidP="001303FC">
      <w:pPr>
        <w:jc w:val="both"/>
      </w:pPr>
      <w:r w:rsidRPr="00880B0F">
        <w:t xml:space="preserve">Ordføreren påpeger, at definitionen af </w:t>
      </w:r>
      <w:r w:rsidRPr="00880B0F">
        <w:t>forurening fra skibe er skitseret i bilag I-VI til den internationale konvention fra 1973 om forebyggelse af forurening fra skibe og protokollen hertil fra 1978 (Marpol 73/78), som er juridisk bindende for Den Europæiske Union. Håndhævelsen af højere stand</w:t>
      </w:r>
      <w:r w:rsidRPr="00880B0F">
        <w:t>arder vil sikre lige vilkår for skibsfartssektoren, som har en tværnational dimension med positive virkninger på de marine økosystemer og dermed på fiskeriet.</w:t>
      </w:r>
    </w:p>
    <w:p w:rsidR="001303FC" w:rsidRPr="00880B0F" w:rsidRDefault="001303FC" w:rsidP="001303FC">
      <w:pPr>
        <w:jc w:val="both"/>
      </w:pPr>
    </w:p>
    <w:p w:rsidR="001303FC" w:rsidRPr="00880B0F" w:rsidRDefault="00880B0F" w:rsidP="001303FC">
      <w:pPr>
        <w:jc w:val="both"/>
      </w:pPr>
      <w:r w:rsidRPr="00880B0F">
        <w:t>Ordføreren glæder sig over de strammere emissionsgrænser, men advarer om, at medtagelsen af best</w:t>
      </w:r>
      <w:r w:rsidRPr="00880B0F">
        <w:t>emmelser om svovl- og nitrogenoxidemissioner, der stammer fra udstødning fra skibe, kan have en indvirkning på EU's fiskerflåde, som primært består af aldrende fartøjer, der tilhører SMV'er med begrænsede ressourcer til at investere i nye lavemissionsmotor</w:t>
      </w:r>
      <w:r w:rsidRPr="00880B0F">
        <w:t xml:space="preserve">er. Udvidelsen af direktivets anvendelsesområde til at omfatte yderligere stoffer under Marpol 73/78 skal afspejles kraftigt i Den Europæiske Hav-, Fiskeri- og Akvakulturfond (EHFAF) i form af øget støtte til lavemissionsmotorer og fornyelse af flåden. </w:t>
      </w:r>
    </w:p>
    <w:p w:rsidR="001303FC" w:rsidRPr="00880B0F" w:rsidRDefault="00880B0F" w:rsidP="001303FC">
      <w:pPr>
        <w:jc w:val="both"/>
      </w:pPr>
      <w:r w:rsidRPr="00880B0F">
        <w:t>Or</w:t>
      </w:r>
      <w:r w:rsidRPr="00880B0F">
        <w:t>dføreren opfordrer indtrængende Kommissionen til at støtte fornyelse af flåden gennem EHFAF.</w:t>
      </w:r>
    </w:p>
    <w:p w:rsidR="001303FC" w:rsidRPr="00880B0F" w:rsidRDefault="001303FC" w:rsidP="001303FC">
      <w:pPr>
        <w:jc w:val="both"/>
      </w:pPr>
    </w:p>
    <w:p w:rsidR="001303FC" w:rsidRPr="00880B0F" w:rsidRDefault="00880B0F" w:rsidP="001303FC">
      <w:pPr>
        <w:jc w:val="both"/>
      </w:pPr>
      <w:r w:rsidRPr="00880B0F">
        <w:t>Ordføreren indfører også en ny definition i udkastet og understreger behovet for årvågenhed i områder med betydelig fiskeriaktivitet, idet hun forsvarer det dobbe</w:t>
      </w:r>
      <w:r w:rsidRPr="00880B0F">
        <w:t>lte formål, nemlig miljøbeskyttelse og opretholdelse af fiskersamfundene. Ordføreren slår ligeledes til lyd for velinformerede maritime sektorer og understreger behovet for uddannelse og efteruddannelse.</w:t>
      </w:r>
    </w:p>
    <w:p w:rsidR="001303FC" w:rsidRPr="00880B0F" w:rsidRDefault="001303FC" w:rsidP="001303FC">
      <w:pPr>
        <w:jc w:val="both"/>
      </w:pPr>
    </w:p>
    <w:p w:rsidR="001303FC" w:rsidRPr="00880B0F" w:rsidRDefault="00880B0F" w:rsidP="001303FC">
      <w:pPr>
        <w:jc w:val="both"/>
      </w:pPr>
      <w:r w:rsidRPr="00880B0F">
        <w:t xml:space="preserve">Endelig anbefaler ordføreren også, at inddragelsen </w:t>
      </w:r>
      <w:r w:rsidRPr="00880B0F">
        <w:t>af feedback fra fiskersamfund og en samarbejdsbaseret tilgang til interessenter fra de maritime sektorer fremhæver direktivets fuldstændige vision, der sigter mod at skabe balance mellem miljøbeskyttelse og fiskersamfundenes bæredygtighed.</w:t>
      </w:r>
    </w:p>
    <w:p w:rsidR="001303FC" w:rsidRPr="00880B0F" w:rsidRDefault="001303FC" w:rsidP="001303FC">
      <w:pPr>
        <w:jc w:val="both"/>
      </w:pPr>
    </w:p>
    <w:p w:rsidR="001303FC" w:rsidRPr="00880B0F" w:rsidRDefault="00880B0F" w:rsidP="001303FC">
      <w:pPr>
        <w:jc w:val="both"/>
      </w:pPr>
      <w:r w:rsidRPr="00880B0F">
        <w:t xml:space="preserve">Afslutningsvis </w:t>
      </w:r>
      <w:r w:rsidRPr="00880B0F">
        <w:t>håber ordføreren, at dette – ud over at opnå lige vilkår for tredjelandsflåder, der fisker i EU-farvande – vil lette medlemsstaternes samordnede kontroller samt retsforfølgelse og håndhævelse på tværs af grænserne, hvilket i sidste ende vil føre til en red</w:t>
      </w:r>
      <w:r w:rsidRPr="00880B0F">
        <w:t>uktion af forureningen fra skibe.</w:t>
      </w:r>
    </w:p>
    <w:p w:rsidR="001303FC" w:rsidRPr="00880B0F" w:rsidRDefault="00880B0F" w:rsidP="001303FC">
      <w:pPr>
        <w:pStyle w:val="AmHeadingPA"/>
      </w:pPr>
      <w:r w:rsidRPr="00880B0F">
        <w:t>ÆNDRINGSFORSLAG</w:t>
      </w:r>
    </w:p>
    <w:p w:rsidR="001303FC" w:rsidRPr="00880B0F" w:rsidRDefault="00880B0F" w:rsidP="001303FC">
      <w:pPr>
        <w:pStyle w:val="Normal12a"/>
      </w:pPr>
      <w:bookmarkStart w:id="1" w:name="IntroA"/>
      <w:r w:rsidRPr="00880B0F">
        <w:t>Fiskeriudvalget opfordrer Transport- og Turismeudvalget, som er korresponderende udvalg, til at tage hensyn til følgende:</w:t>
      </w:r>
    </w:p>
    <w:p w:rsidR="001303FC" w:rsidRPr="00880B0F" w:rsidRDefault="00880B0F" w:rsidP="001303FC">
      <w:bookmarkStart w:id="2" w:name="PasteOldAMStart"/>
      <w:bookmarkStart w:id="3" w:name="PasteOldAMEnd"/>
      <w:bookmarkEnd w:id="1"/>
      <w:bookmarkEnd w:id="2"/>
      <w:bookmarkEnd w:id="3"/>
      <w:r w:rsidRPr="00880B0F">
        <w:rPr>
          <w:rStyle w:val="HideTWBExt"/>
          <w:noProof w:val="0"/>
        </w:rPr>
        <w:t>&lt;RepeatBlock-Amend&gt;</w:t>
      </w:r>
    </w:p>
    <w:p w:rsidR="001303FC" w:rsidRPr="00880B0F" w:rsidRDefault="00880B0F" w:rsidP="001303FC">
      <w:pPr>
        <w:pStyle w:val="AmNumberTabs"/>
      </w:pPr>
      <w:r w:rsidRPr="00880B0F">
        <w:rPr>
          <w:rStyle w:val="HideTWBExt"/>
          <w:noProof w:val="0"/>
        </w:rPr>
        <w:lastRenderedPageBreak/>
        <w:t>&lt;Amend&gt;</w:t>
      </w:r>
      <w:r w:rsidRPr="00880B0F">
        <w:t>Ændringsforslag</w:t>
      </w:r>
      <w:r w:rsidRPr="00880B0F">
        <w:tab/>
      </w:r>
      <w:r w:rsidRPr="00880B0F">
        <w:tab/>
      </w:r>
      <w:r w:rsidRPr="00880B0F">
        <w:rPr>
          <w:rStyle w:val="HideTWBExt"/>
          <w:noProof w:val="0"/>
        </w:rPr>
        <w:t>&lt;NumAm&gt;</w:t>
      </w:r>
      <w:r w:rsidRPr="00880B0F">
        <w:t>1</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 xml:space="preserve">Forslag til </w:t>
      </w:r>
      <w:r w:rsidRPr="00880B0F">
        <w:t>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1</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w:t>
            </w:r>
            <w:r w:rsidRPr="00880B0F">
              <w:tab/>
              <w:t>Unionens havpolitik er rettet mod et højt sikkerhedsniveau og miljøbeskyttelse. Dette kan opnås ved at overholde internationale konventioner, kodekser og reso</w:t>
            </w:r>
            <w:r w:rsidRPr="00880B0F">
              <w:t>lutioner, samtidig med at friheden til sejlads bevares, jf. De Forenede Nationers havretskonvention.</w:t>
            </w:r>
          </w:p>
        </w:tc>
        <w:tc>
          <w:tcPr>
            <w:tcW w:w="4876" w:type="dxa"/>
          </w:tcPr>
          <w:p w:rsidR="001303FC" w:rsidRPr="00880B0F" w:rsidRDefault="00880B0F" w:rsidP="004F0A9F">
            <w:pPr>
              <w:pStyle w:val="Normal6a"/>
            </w:pPr>
            <w:r w:rsidRPr="00880B0F">
              <w:t>(1)</w:t>
            </w:r>
            <w:r w:rsidRPr="00880B0F">
              <w:tab/>
              <w:t xml:space="preserve">Unionens havpolitik er rettet mod et højt sikkerhedsniveau og miljøbeskyttelse. Dette kan opnås ved at overholde internationale konventioner, kodekser </w:t>
            </w:r>
            <w:r w:rsidRPr="00880B0F">
              <w:t xml:space="preserve">og resolutioner, samtidig med at friheden til sejlads bevares, jf. De Forenede Nationers havretskonvention. </w:t>
            </w:r>
            <w:r w:rsidRPr="00880B0F">
              <w:rPr>
                <w:b/>
                <w:i/>
              </w:rPr>
              <w:t>Der skal i den forbindelse mindes om, at havene bør anerkendes på internationalt plan som et globalt fællesgode og bør beskyttes i lyset af deres un</w:t>
            </w:r>
            <w:r w:rsidRPr="00880B0F">
              <w:rPr>
                <w:b/>
                <w:i/>
              </w:rPr>
              <w:t>ikke karakter og indbyrdes forbundethed og de vigtige økosystemtjenester, som de leverer, og som nuværende og kommende generationer er afhængige af, hvis de skal overleve og trives.</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 xml:space="preserve">Forslag til </w:t>
      </w:r>
      <w:r w:rsidRPr="00880B0F">
        <w:t>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2 a (ny)</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(2a)</w:t>
            </w:r>
            <w:r w:rsidRPr="00880B0F">
              <w:tab/>
            </w:r>
            <w:r w:rsidRPr="00880B0F">
              <w:rPr>
                <w:b/>
                <w:i/>
              </w:rPr>
              <w:t>Det bedste, man kan gøre, hvad havforurening og havaffald angår, er at sikre, at udledning af forurenende stoffer i havet helt undgås.</w:t>
            </w:r>
            <w:r w:rsidRPr="00880B0F">
              <w:t xml:space="preserve"> </w:t>
            </w:r>
            <w:r w:rsidRPr="00880B0F">
              <w:rPr>
                <w:b/>
                <w:i/>
              </w:rPr>
              <w:t xml:space="preserve">I betragtning </w:t>
            </w:r>
            <w:r w:rsidRPr="00880B0F">
              <w:rPr>
                <w:b/>
                <w:i/>
              </w:rPr>
              <w:t>af den høje forekomst af ekspanderet polystyrenaffald i havmiljøet, som skyldes, at disse produkter på grund af deres lethed let flyver væk fra fartøjer og ender i havet, bør medlemsstaterne overveje at udfase beholdere og emballage fra fiskevarer af ekspa</w:t>
            </w:r>
            <w:r w:rsidRPr="00880B0F">
              <w:rPr>
                <w:b/>
                <w:i/>
              </w:rPr>
              <w:t>nderet polystyren i overensstemmelse med ambitionen om at erstatte engangsplast med varige alternativer til gavn for miljøet og fiskerne.</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lastRenderedPageBreak/>
        <w:t>&lt;Amend&gt;</w:t>
      </w:r>
      <w:r w:rsidRPr="00880B0F">
        <w:t>Ændringsforslag</w:t>
      </w:r>
      <w:r w:rsidRPr="00880B0F">
        <w:tab/>
      </w:r>
      <w:r w:rsidRPr="00880B0F">
        <w:tab/>
      </w:r>
      <w:r w:rsidRPr="00880B0F">
        <w:rPr>
          <w:rStyle w:val="HideTWBExt"/>
          <w:noProof w:val="0"/>
        </w:rPr>
        <w:t>&lt;NumAm&gt;</w:t>
      </w:r>
      <w:r w:rsidRPr="00880B0F">
        <w:t>3</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 xml:space="preserve">Betragtning 2 b </w:t>
      </w:r>
      <w:r w:rsidRPr="00880B0F">
        <w:t>(ny)</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(2b)</w:t>
            </w:r>
            <w:r w:rsidRPr="00880B0F">
              <w:tab/>
            </w:r>
            <w:r w:rsidRPr="00880B0F">
              <w:rPr>
                <w:b/>
                <w:i/>
              </w:rPr>
              <w:t>Det er også vigtigt at støtte foranstaltninger til effektiv opsamling af udledte forurenende materialer og affald.</w:t>
            </w:r>
            <w:r w:rsidRPr="00880B0F">
              <w:t xml:space="preserve"> </w:t>
            </w:r>
            <w:r w:rsidRPr="00880B0F">
              <w:rPr>
                <w:b/>
                <w:i/>
              </w:rPr>
              <w:t xml:space="preserve">Fiskere, akvakulturproducenter og deres organisationer arbejder allerede på at </w:t>
            </w:r>
            <w:r w:rsidRPr="00880B0F">
              <w:rPr>
                <w:b/>
                <w:i/>
              </w:rPr>
              <w:t>indsamle affald, herunder fiskeredskaber, der er tabt eller efterladt til søs, og "spøgelsesredskaber", som udgør en trussel mod alle marine aktiviteter og økosystemer på verdensplan.</w:t>
            </w:r>
            <w:r w:rsidRPr="00880B0F">
              <w:t xml:space="preserve"> </w:t>
            </w:r>
            <w:r w:rsidRPr="00880B0F">
              <w:rPr>
                <w:b/>
                <w:i/>
              </w:rPr>
              <w:t>Disse tiltag kan ikke forventes at ske uden tilskyndelse i form af en sæ</w:t>
            </w:r>
            <w:r w:rsidRPr="00880B0F">
              <w:rPr>
                <w:b/>
                <w:i/>
              </w:rPr>
              <w:t>rlig kompensationsordning.</w:t>
            </w:r>
            <w:r w:rsidRPr="00880B0F">
              <w:t xml:space="preserve"> </w:t>
            </w:r>
            <w:r w:rsidRPr="00880B0F">
              <w:rPr>
                <w:b/>
                <w:i/>
              </w:rPr>
              <w:t>Da det anslås, at 20 % af alle fiskeredskaber i EU tabes til søs, hvilket udgør næsten en tredjedel af havaffaldet i de europæiske have</w:t>
            </w:r>
            <w:r w:rsidRPr="00880B0F">
              <w:rPr>
                <w:b/>
                <w:i/>
                <w:vertAlign w:val="superscript"/>
              </w:rPr>
              <w:t>18a</w:t>
            </w:r>
            <w:r w:rsidRPr="00880B0F">
              <w:rPr>
                <w:b/>
                <w:i/>
              </w:rPr>
              <w:t>, og at kun 1,5 % af de udtjente fiskeredskaber bliver genanvendt</w:t>
            </w:r>
            <w:r w:rsidRPr="00880B0F">
              <w:rPr>
                <w:b/>
                <w:i/>
                <w:vertAlign w:val="superscript"/>
              </w:rPr>
              <w:t>18b</w:t>
            </w:r>
            <w:r w:rsidRPr="00880B0F">
              <w:rPr>
                <w:b/>
                <w:i/>
              </w:rPr>
              <w:t>, er der et påtrængende</w:t>
            </w:r>
            <w:r w:rsidRPr="00880B0F">
              <w:rPr>
                <w:b/>
                <w:i/>
              </w:rPr>
              <w:t xml:space="preserve"> behov for at forbedre indsamlingen, genanvendelsen og reparationen af alle fiskeredskaber, og der er derfor behov for støtte.</w:t>
            </w:r>
            <w:r w:rsidRPr="00880B0F">
              <w:t xml:space="preserve"> </w:t>
            </w:r>
            <w:r w:rsidRPr="00880B0F">
              <w:rPr>
                <w:b/>
                <w:i/>
              </w:rPr>
              <w:t>Medlemsstaterne bør i den forbindelse udveksle bedste praksis og rapportere om deres forskellige foranstaltninger til at indsamle</w:t>
            </w:r>
            <w:r w:rsidRPr="00880B0F">
              <w:rPr>
                <w:b/>
                <w:i/>
              </w:rPr>
              <w:t xml:space="preserve"> og forebygge udledning af forurenende materialer og affald.</w:t>
            </w:r>
          </w:p>
        </w:tc>
      </w:tr>
      <w:tr w:rsidR="004946DF" w:rsidRPr="00880B0F" w:rsidTr="004F0A9F">
        <w:trPr>
          <w:jc w:val="center"/>
        </w:trPr>
        <w:tc>
          <w:tcPr>
            <w:tcW w:w="4876" w:type="dxa"/>
          </w:tcPr>
          <w:p w:rsidR="001303FC" w:rsidRPr="00880B0F" w:rsidRDefault="001303FC" w:rsidP="004F0A9F"/>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1303FC" w:rsidP="004F0A9F"/>
        </w:tc>
        <w:tc>
          <w:tcPr>
            <w:tcW w:w="4876" w:type="dxa"/>
          </w:tcPr>
          <w:p w:rsidR="001303FC" w:rsidRPr="00880B0F" w:rsidRDefault="00880B0F" w:rsidP="004F0A9F">
            <w:pPr>
              <w:pStyle w:val="Normal6a"/>
            </w:pPr>
            <w:r w:rsidRPr="00880B0F">
              <w:rPr>
                <w:b/>
                <w:i/>
                <w:vertAlign w:val="superscript"/>
              </w:rPr>
              <w:t>18a</w:t>
            </w:r>
            <w:r w:rsidRPr="00880B0F">
              <w:rPr>
                <w:b/>
                <w:i/>
              </w:rPr>
              <w:t xml:space="preserve"> "Cirkular economy:</w:t>
            </w:r>
            <w:r w:rsidRPr="00880B0F">
              <w:t xml:space="preserve"> </w:t>
            </w:r>
            <w:r w:rsidRPr="00880B0F">
              <w:rPr>
                <w:b/>
                <w:i/>
              </w:rPr>
              <w:t>From abandoned fishing nets to sustainable clothing" (cirkulær økonomi: fra efterladte fiskenet til bæredygtigt tøj), Europa-Kommissionen.</w:t>
            </w:r>
          </w:p>
        </w:tc>
      </w:tr>
      <w:tr w:rsidR="004946DF" w:rsidRPr="00880B0F" w:rsidTr="004F0A9F">
        <w:trPr>
          <w:jc w:val="center"/>
        </w:trPr>
        <w:tc>
          <w:tcPr>
            <w:tcW w:w="4876" w:type="dxa"/>
          </w:tcPr>
          <w:p w:rsidR="001303FC" w:rsidRPr="00880B0F" w:rsidRDefault="001303FC" w:rsidP="004F0A9F"/>
        </w:tc>
        <w:tc>
          <w:tcPr>
            <w:tcW w:w="4876" w:type="dxa"/>
          </w:tcPr>
          <w:p w:rsidR="001303FC" w:rsidRPr="00880B0F" w:rsidRDefault="00880B0F" w:rsidP="004F0A9F">
            <w:pPr>
              <w:pStyle w:val="Normal6a"/>
            </w:pPr>
            <w:r w:rsidRPr="00880B0F">
              <w:rPr>
                <w:b/>
                <w:i/>
                <w:vertAlign w:val="superscript"/>
              </w:rPr>
              <w:t>18b</w:t>
            </w:r>
            <w:r w:rsidRPr="00880B0F">
              <w:rPr>
                <w:b/>
                <w:i/>
              </w:rPr>
              <w:t xml:space="preserve"> "Lost fishing gear:</w:t>
            </w:r>
            <w:r w:rsidRPr="00880B0F">
              <w:t xml:space="preserve"> </w:t>
            </w:r>
            <w:r w:rsidRPr="00880B0F">
              <w:rPr>
                <w:b/>
                <w:i/>
              </w:rPr>
              <w:t>a trap for our ocean" (tabte fiskeredskaber: en fælde for vore have), Europa-Kommissionen.</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lastRenderedPageBreak/>
        <w:t>&lt;Amend&gt;</w:t>
      </w:r>
      <w:r w:rsidRPr="00880B0F">
        <w:t>Ændringsforslag</w:t>
      </w:r>
      <w:r w:rsidRPr="00880B0F">
        <w:tab/>
      </w:r>
      <w:r w:rsidRPr="00880B0F">
        <w:tab/>
      </w:r>
      <w:r w:rsidRPr="00880B0F">
        <w:rPr>
          <w:rStyle w:val="HideTWBExt"/>
          <w:b w:val="0"/>
          <w:noProof w:val="0"/>
        </w:rPr>
        <w:t>&lt;NumAm&gt;</w:t>
      </w:r>
      <w:r w:rsidRPr="00880B0F">
        <w:t>4</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Betragtning 4 a (ny)</w:t>
      </w:r>
      <w:r w:rsidRPr="00880B0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(4a)</w:t>
            </w:r>
            <w:r w:rsidRPr="00880B0F">
              <w:rPr>
                <w:b/>
                <w:i/>
              </w:rPr>
              <w:tab/>
              <w:t>EU's fiskerflåde er i gennemsnit 31,5 år gammel, og fornyelse af flåden bør støttes gennem EHFAF (forordning (EU) 2021/1139) for at bidrage til overholdelsen af stadig skrappere miljøbestemmelser, navnlig med he</w:t>
            </w:r>
            <w:r w:rsidRPr="00880B0F">
              <w:rPr>
                <w:b/>
                <w:i/>
              </w:rPr>
              <w:t>nblik på udvikling af bæredygtigt ikkeindustrielt kystfiskeri.</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5</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5 a (ny)</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(5a)</w:t>
            </w:r>
            <w:r w:rsidRPr="00880B0F">
              <w:tab/>
            </w:r>
            <w:r w:rsidRPr="00880B0F">
              <w:rPr>
                <w:b/>
                <w:i/>
              </w:rPr>
              <w:t xml:space="preserve">Forordning </w:t>
            </w:r>
            <w:r w:rsidRPr="00880B0F">
              <w:rPr>
                <w:b/>
                <w:i/>
              </w:rPr>
              <w:t>(EF) nr. 1224/2009 indeholder en forpligtelse for medlemsstaterne til at rapportere om tabte redskaber til Kommissionen.</w:t>
            </w:r>
            <w:r w:rsidRPr="00880B0F">
              <w:t xml:space="preserve"> </w:t>
            </w:r>
            <w:r w:rsidRPr="00880B0F">
              <w:rPr>
                <w:b/>
                <w:i/>
              </w:rPr>
              <w:t>Kommissionen bør anvende disse oplysninger, som den allerede har modtaget, når den evaluerer gennemførelsen af dette direktiv og Unione</w:t>
            </w:r>
            <w:r w:rsidRPr="00880B0F">
              <w:rPr>
                <w:b/>
                <w:i/>
              </w:rPr>
              <w:t>ns tilstand i denne henseende.</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6</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7 a (ny)</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(7a)</w:t>
            </w:r>
            <w:r w:rsidRPr="00880B0F">
              <w:tab/>
            </w:r>
            <w:r w:rsidRPr="00880B0F">
              <w:rPr>
                <w:b/>
                <w:i/>
              </w:rPr>
              <w:t xml:space="preserve">I henhold til forordning nr. 1224/2009 er </w:t>
            </w:r>
            <w:r w:rsidRPr="00880B0F">
              <w:rPr>
                <w:b/>
                <w:i/>
              </w:rPr>
              <w:t xml:space="preserve">ulovlig bortskaffelse på havet af fiskeredskaber eller redskaber fra et fiskerfartøj en alvorlig overtrædelse, hvis bestemte kriterier er opfyldt. I henhold til forordning (EF) 1224/2009 er medlemsstaterne forpligtede til at indføre </w:t>
            </w:r>
            <w:r w:rsidRPr="00880B0F">
              <w:rPr>
                <w:b/>
                <w:i/>
              </w:rPr>
              <w:lastRenderedPageBreak/>
              <w:t>administrative eller st</w:t>
            </w:r>
            <w:r w:rsidRPr="00880B0F">
              <w:rPr>
                <w:b/>
                <w:i/>
              </w:rPr>
              <w:t>rafferetlige sanktioner for sådanne overtrædelser, der er effektive, står i et rimeligt forhold til overtrædelsen og har afskrækkende virkning.</w:t>
            </w:r>
          </w:p>
        </w:tc>
      </w:tr>
    </w:tbl>
    <w:p w:rsidR="001303FC" w:rsidRPr="00880B0F" w:rsidRDefault="00880B0F" w:rsidP="001303FC">
      <w:r w:rsidRPr="00880B0F">
        <w:rPr>
          <w:rStyle w:val="HideTWBExt"/>
          <w:noProof w:val="0"/>
        </w:rPr>
        <w:lastRenderedPageBreak/>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7</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8</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(8)</w:t>
            </w:r>
            <w:r w:rsidRPr="00880B0F">
              <w:tab/>
              <w:t>Administrative sanktioner indført ved gennemførelsen af direktiv 2005/35/EF bør ikke berøre direktiv (EU) 2023/xxxx. Medlemsstaterne bør definere anvendelsesområdet for den administrative</w:t>
            </w:r>
            <w:r w:rsidRPr="00880B0F">
              <w:t xml:space="preserve"> og den strafferetlige retshåndhævelse med hensyn til </w:t>
            </w:r>
            <w:r w:rsidRPr="00880B0F">
              <w:rPr>
                <w:b/>
                <w:i/>
              </w:rPr>
              <w:t>ulovlig forurening fra skibe</w:t>
            </w:r>
            <w:r w:rsidRPr="00880B0F">
              <w:t xml:space="preserve"> i henhold til deres nationale lovgivning. Ved anvendelsen af national lovgivning til gennemførelse af direktiv 2005/35/EF bør medlemsstaterne sikre, at pålæggelse af straffe</w:t>
            </w:r>
            <w:r w:rsidRPr="00880B0F">
              <w:t>retlige og administrative sanktioner overholder principperne i Den Europæiske Unions charter om grundlæggende rettigheder, herunder forbuddet mod ne bis in idem.</w:t>
            </w:r>
          </w:p>
        </w:tc>
        <w:tc>
          <w:tcPr>
            <w:tcW w:w="4876" w:type="dxa"/>
          </w:tcPr>
          <w:p w:rsidR="001303FC" w:rsidRPr="00880B0F" w:rsidRDefault="00880B0F" w:rsidP="004F0A9F">
            <w:pPr>
              <w:pStyle w:val="Normal6a"/>
            </w:pPr>
            <w:r w:rsidRPr="00880B0F">
              <w:t>(8)</w:t>
            </w:r>
            <w:r w:rsidRPr="00880B0F">
              <w:tab/>
              <w:t>Administrative sanktioner indført ved gennemførelsen af direktiv 2005/35/EF bør ikke berør</w:t>
            </w:r>
            <w:r w:rsidRPr="00880B0F">
              <w:t>e direktiv (EU) 2023/xxxx</w:t>
            </w:r>
            <w:r w:rsidRPr="00880B0F">
              <w:rPr>
                <w:b/>
                <w:i/>
              </w:rPr>
              <w:t>, med det formål at harmonisere ulovlig forurening fra skibe og straffe den forholdsmæssigt</w:t>
            </w:r>
            <w:r w:rsidRPr="00880B0F">
              <w:t xml:space="preserve">. Medlemsstaterne bør definere anvendelsesområdet for den administrative og den strafferetlige retshåndhævelse med hensyn til </w:t>
            </w:r>
            <w:r w:rsidRPr="00880B0F">
              <w:rPr>
                <w:b/>
                <w:i/>
              </w:rPr>
              <w:t>disse overtræd</w:t>
            </w:r>
            <w:r w:rsidRPr="00880B0F">
              <w:rPr>
                <w:b/>
                <w:i/>
              </w:rPr>
              <w:t>elser</w:t>
            </w:r>
            <w:r w:rsidRPr="00880B0F">
              <w:t xml:space="preserve"> i henhold til deres nationale lovgivning. Ved anvendelsen af national lovgivning til gennemførelse af direktiv 2005/35/EF bør medlemsstaterne sikre, at pålæggelse af strafferetlige og administrative sanktioner overholder principperne i Den Europæiske</w:t>
            </w:r>
            <w:r w:rsidRPr="00880B0F">
              <w:t xml:space="preserve"> Unions charter om grundlæggende rettigheder, herunder forbuddet mod ne bis in idem.</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8</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9</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(9)</w:t>
            </w:r>
            <w:r w:rsidRPr="00880B0F">
              <w:tab/>
            </w:r>
            <w:r w:rsidRPr="00880B0F">
              <w:t>De sanktioner, der er fastsat ved direktiv 2005/35/EF, bør styrkes ved at sikre ensartet anvendelse af administrative sanktioner i hele Unionen. For at øge den afskrækkende effekt af sanktioner, der pålægges for ulovlig forurening fra skibe, bør sanktioner</w:t>
            </w:r>
            <w:r w:rsidRPr="00880B0F">
              <w:t xml:space="preserve">ne som minimum have form </w:t>
            </w:r>
            <w:r w:rsidRPr="00880B0F">
              <w:lastRenderedPageBreak/>
              <w:t>af bøder til skibets rederi</w:t>
            </w:r>
            <w:r w:rsidRPr="00880B0F">
              <w:rPr>
                <w:b/>
                <w:i/>
              </w:rPr>
              <w:t>, medmindre rederiet kan bevise, at skibets fører eller</w:t>
            </w:r>
            <w:r w:rsidRPr="00880B0F">
              <w:t xml:space="preserve"> et eller flere medlemmer af besætningen, som </w:t>
            </w:r>
            <w:r w:rsidRPr="00880B0F">
              <w:rPr>
                <w:b/>
                <w:i/>
              </w:rPr>
              <w:t xml:space="preserve">ikke handlede på førerens ansvar, </w:t>
            </w:r>
            <w:r w:rsidRPr="00880B0F">
              <w:t xml:space="preserve">var </w:t>
            </w:r>
            <w:r w:rsidRPr="00880B0F">
              <w:rPr>
                <w:b/>
                <w:i/>
              </w:rPr>
              <w:t>ansvarlig</w:t>
            </w:r>
            <w:r w:rsidRPr="00880B0F">
              <w:t xml:space="preserve"> for udtømningen. I denne forbindelse er skibets rederi </w:t>
            </w:r>
            <w:r w:rsidRPr="00880B0F">
              <w:t xml:space="preserve">ejeren eller enhver anden organisation eller person, f.eks. forvalteren eller bareboatbefragteren, som har påtaget sig ansvaret for driften af skibet for skibsejeren, i overensstemmelse med den internationale kode for sikker drift af skibe og forebyggelse </w:t>
            </w:r>
            <w:r w:rsidRPr="00880B0F">
              <w:t>af forurening ("ISM-koden")</w:t>
            </w:r>
            <w:r w:rsidRPr="00880B0F">
              <w:rPr>
                <w:vertAlign w:val="superscript"/>
              </w:rPr>
              <w:t>24</w:t>
            </w:r>
            <w:r w:rsidRPr="00880B0F">
              <w:t>, som er gennemført i EU-retten ved Europa-Parlamentets og Rådets forordning (EF) nr. 336/2006</w:t>
            </w:r>
            <w:r w:rsidRPr="00880B0F">
              <w:rPr>
                <w:vertAlign w:val="superscript"/>
              </w:rPr>
              <w:t>25</w:t>
            </w:r>
            <w:r w:rsidRPr="00880B0F">
              <w:t>. I direktiv 2005/35/EF bør det anerkendes, at forvaltningen af skibet kan delegeres af den registrerede ejer til en anden enhed, s</w:t>
            </w:r>
            <w:r w:rsidRPr="00880B0F">
              <w:t>om derefter som den første bør drages til ansvar for ikke at opfylde sine forpligtelser i henhold til ISM-koden til at sikre, at skade på miljøet undgås, eller sikre, at kvalificeret personale udpeges til varetagelsen af funktioner om bord.</w:t>
            </w:r>
          </w:p>
        </w:tc>
        <w:tc>
          <w:tcPr>
            <w:tcW w:w="4876" w:type="dxa"/>
          </w:tcPr>
          <w:p w:rsidR="001303FC" w:rsidRPr="00880B0F" w:rsidRDefault="00880B0F" w:rsidP="004F0A9F">
            <w:pPr>
              <w:pStyle w:val="Normal6a"/>
            </w:pPr>
            <w:r w:rsidRPr="00880B0F">
              <w:rPr>
                <w:b/>
                <w:i/>
              </w:rPr>
              <w:lastRenderedPageBreak/>
              <w:t>(9)</w:t>
            </w:r>
            <w:r w:rsidRPr="00880B0F">
              <w:tab/>
              <w:t>De sanktion</w:t>
            </w:r>
            <w:r w:rsidRPr="00880B0F">
              <w:t>er, der er fastsat ved direktiv 2005/35/EF, bør styrkes ved at sikre ensartet anvendelse af administrative sanktioner i hele Unionen. For at øge den afskrækkende effekt af sanktioner, der pålægges for ulovlig forurening fra skibe, bør sanktionerne som mini</w:t>
            </w:r>
            <w:r w:rsidRPr="00880B0F">
              <w:t xml:space="preserve">mum have form </w:t>
            </w:r>
            <w:r w:rsidRPr="00880B0F">
              <w:lastRenderedPageBreak/>
              <w:t xml:space="preserve">af bøder til </w:t>
            </w:r>
            <w:r w:rsidRPr="00880B0F">
              <w:rPr>
                <w:b/>
                <w:i/>
              </w:rPr>
              <w:t xml:space="preserve">både </w:t>
            </w:r>
            <w:r w:rsidRPr="00880B0F">
              <w:t>skibets rederi</w:t>
            </w:r>
            <w:r w:rsidRPr="00880B0F">
              <w:rPr>
                <w:b/>
                <w:i/>
              </w:rPr>
              <w:t xml:space="preserve"> og</w:t>
            </w:r>
            <w:r w:rsidRPr="00880B0F">
              <w:t xml:space="preserve"> et eller flere medlemmer af besætningen, som var </w:t>
            </w:r>
            <w:r w:rsidRPr="00880B0F">
              <w:rPr>
                <w:b/>
                <w:i/>
              </w:rPr>
              <w:t>ansvarlige</w:t>
            </w:r>
            <w:r w:rsidRPr="00880B0F">
              <w:t xml:space="preserve"> for udtømningen. I denne forbindelse er skibets rederi ejeren eller enhver anden organisation eller person, f.eks. forvalteren eller bareboatbefra</w:t>
            </w:r>
            <w:r w:rsidRPr="00880B0F">
              <w:t>gteren, som har påtaget sig ansvaret for driften af skibet for skibsejeren, i overensstemmelse med den internationale kode for sikker drift af skibe og forebyggelse af forurening ("ISM-koden")</w:t>
            </w:r>
            <w:r w:rsidRPr="00880B0F">
              <w:rPr>
                <w:vertAlign w:val="superscript"/>
              </w:rPr>
              <w:t>24</w:t>
            </w:r>
            <w:r w:rsidRPr="00880B0F">
              <w:t>, som er gennemført i EU-retten ved Europa-Parlamentets og Råd</w:t>
            </w:r>
            <w:r w:rsidRPr="00880B0F">
              <w:t>ets forordning (EF) nr. 336/2006</w:t>
            </w:r>
            <w:r w:rsidRPr="00880B0F">
              <w:rPr>
                <w:vertAlign w:val="superscript"/>
              </w:rPr>
              <w:t>25</w:t>
            </w:r>
            <w:r w:rsidRPr="00880B0F">
              <w:t>. I direktiv 2005/35/EF bør det anerkendes, at forvaltningen af skibet kan delegeres af den registrerede ejer til en anden enhed, som derefter som den første bør drages til ansvar for ikke at opfylde sine forpligtelser i h</w:t>
            </w:r>
            <w:r w:rsidRPr="00880B0F">
              <w:t>enhold til ISM-koden til at sikre, at skade på miljøet undgås, eller sikre, at kvalificeret personale udpeges til varetagelsen af funktioner om bord.</w:t>
            </w:r>
          </w:p>
        </w:tc>
      </w:tr>
      <w:tr w:rsidR="004946DF" w:rsidRPr="00880B0F" w:rsidTr="004F0A9F">
        <w:trPr>
          <w:jc w:val="center"/>
        </w:trPr>
        <w:tc>
          <w:tcPr>
            <w:tcW w:w="4876" w:type="dxa"/>
          </w:tcPr>
          <w:p w:rsidR="001303FC" w:rsidRPr="00880B0F" w:rsidRDefault="00880B0F" w:rsidP="004F0A9F">
            <w:pPr>
              <w:pStyle w:val="Normal6a"/>
            </w:pPr>
            <w:r w:rsidRPr="00880B0F">
              <w:rPr>
                <w:b/>
                <w:i/>
              </w:rPr>
              <w:lastRenderedPageBreak/>
              <w:t>_________________</w:t>
            </w:r>
          </w:p>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24</w:t>
            </w:r>
            <w:r w:rsidRPr="00880B0F">
              <w:t xml:space="preserve"> "ISM-kode": den internationale kode for sikker drift af skibe og </w:t>
            </w:r>
            <w:r w:rsidRPr="00880B0F">
              <w:t>forebyggelse af forurening, vedtaget af Den Internationale Søfartsorganisation ved resolution A.741 (18) af 4. november 1993, som ændret.</w:t>
            </w:r>
          </w:p>
        </w:tc>
        <w:tc>
          <w:tcPr>
            <w:tcW w:w="4876" w:type="dxa"/>
          </w:tcPr>
          <w:p w:rsidR="001303FC" w:rsidRPr="00880B0F" w:rsidRDefault="00880B0F" w:rsidP="004F0A9F">
            <w:pPr>
              <w:pStyle w:val="Normal6a"/>
            </w:pPr>
            <w:r w:rsidRPr="00880B0F">
              <w:rPr>
                <w:vertAlign w:val="superscript"/>
              </w:rPr>
              <w:t>24</w:t>
            </w:r>
            <w:r w:rsidRPr="00880B0F">
              <w:t xml:space="preserve"> "ISM-kode": den internationale kode for sikker drift af skibe og forebyggelse af forurening, vedtaget af Den Intern</w:t>
            </w:r>
            <w:r w:rsidRPr="00880B0F">
              <w:t>ationale Søfartsorganisation ved resolution A.741 (18) af 4. november 1993, som ændret.</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25</w:t>
            </w:r>
            <w:r w:rsidRPr="00880B0F">
              <w:t xml:space="preserve"> Europa-Parlamentets og Rådets forordning (EF) nr. 336/2006 af 15. februar 2006 om gennemførelse af den internationale kode for sikker skibsdrift i Fællesskabet og o</w:t>
            </w:r>
            <w:r w:rsidRPr="00880B0F">
              <w:t>phævelse af Rådets forordning (EF) nr. 3051/95 (EØS-relevant tekst) (EUT L 64 af 4.3.2006, s. 1).</w:t>
            </w:r>
          </w:p>
        </w:tc>
        <w:tc>
          <w:tcPr>
            <w:tcW w:w="4876" w:type="dxa"/>
          </w:tcPr>
          <w:p w:rsidR="001303FC" w:rsidRPr="00880B0F" w:rsidRDefault="00880B0F" w:rsidP="004F0A9F">
            <w:pPr>
              <w:pStyle w:val="Normal6a"/>
            </w:pPr>
            <w:r w:rsidRPr="00880B0F">
              <w:rPr>
                <w:vertAlign w:val="superscript"/>
              </w:rPr>
              <w:t>25</w:t>
            </w:r>
            <w:r w:rsidRPr="00880B0F">
              <w:t xml:space="preserve"> Europa-Parlamentets og Rådets forordning (EF) nr. 336/2006 af 15. februar 2006 om gennemførelse af den internationale kode for sikker skibsdrift i Fællessk</w:t>
            </w:r>
            <w:r w:rsidRPr="00880B0F">
              <w:t>abet og ophævelse af Rådets forordning (EF) nr. 3051/95 (EØS-relevant tekst) (EUT L 64 af 4.3.2006, s. 1).</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9</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10</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 xml:space="preserve">Kommissionens </w:t>
            </w:r>
            <w:r w:rsidRPr="00880B0F">
              <w:t>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(10)</w:t>
            </w:r>
            <w:r w:rsidRPr="00880B0F">
              <w:tab/>
              <w:t xml:space="preserve">Nationale administrative og retslige </w:t>
            </w:r>
            <w:r w:rsidRPr="00880B0F">
              <w:lastRenderedPageBreak/>
              <w:t xml:space="preserve">myndigheder bør tage højde for alle relevante omstændigheder, når de fastsætter det niveau af sanktioner, forureneren skal pålægges. Under hensyntagen til den forskelligartede karakter af </w:t>
            </w:r>
            <w:r w:rsidRPr="00880B0F">
              <w:t>de forurenende stoffer, der er omfattet af direktiv 2005/35/EF, og betydningen af en ensartet anvendelse af sanktioner i hele Unionen i betragtning af den regulerede adfærds grænseoverskridende karakter, bør yderligere tilnærmelse og effektivitet af sankti</w:t>
            </w:r>
            <w:r w:rsidRPr="00880B0F">
              <w:t>onsniveauerne fremmes ved at fastsætte konkrete kriterier for anvendelsen af sanktioner for udtømning af forskellige forurenende stoffer. For at sikre ensartede betingelser for anvendelsen af sanktioner bør</w:t>
            </w:r>
            <w:r w:rsidRPr="00880B0F">
              <w:rPr>
                <w:b/>
                <w:i/>
              </w:rPr>
              <w:t xml:space="preserve"> </w:t>
            </w:r>
            <w:r w:rsidRPr="00880B0F">
              <w:t>Kommissionen</w:t>
            </w:r>
            <w:r w:rsidRPr="00880B0F">
              <w:rPr>
                <w:b/>
                <w:i/>
              </w:rPr>
              <w:t xml:space="preserve"> </w:t>
            </w:r>
            <w:r w:rsidRPr="00880B0F">
              <w:t xml:space="preserve">tillægges gennemførelsesbeføjelser. </w:t>
            </w:r>
            <w:r w:rsidRPr="00880B0F">
              <w:t>Disse beføjelser bør udøves i overensstemmelse med Europa-Parlamentets og Rådets forordning (EU) nr. 182/</w:t>
            </w:r>
            <w:r w:rsidRPr="00880B0F">
              <w:rPr>
                <w:b/>
                <w:i/>
              </w:rPr>
              <w:t>2011</w:t>
            </w:r>
            <w:r w:rsidRPr="00880B0F">
              <w:rPr>
                <w:b/>
                <w:i/>
                <w:vertAlign w:val="superscript"/>
              </w:rPr>
              <w:t>96</w:t>
            </w:r>
            <w:r w:rsidRPr="00880B0F">
              <w:t>. Undersøgelsesproceduren bør anvendes til vedtagelsen af disse gennemførelsesretsakter.</w:t>
            </w:r>
          </w:p>
        </w:tc>
        <w:tc>
          <w:tcPr>
            <w:tcW w:w="4876" w:type="dxa"/>
          </w:tcPr>
          <w:p w:rsidR="001303FC" w:rsidRPr="00880B0F" w:rsidRDefault="00880B0F" w:rsidP="004F0A9F">
            <w:pPr>
              <w:pStyle w:val="Normal6a"/>
            </w:pPr>
            <w:r w:rsidRPr="00880B0F">
              <w:lastRenderedPageBreak/>
              <w:t>(10)</w:t>
            </w:r>
            <w:r w:rsidRPr="00880B0F">
              <w:tab/>
              <w:t xml:space="preserve">Nationale administrative og retslige </w:t>
            </w:r>
            <w:r w:rsidRPr="00880B0F">
              <w:lastRenderedPageBreak/>
              <w:t>myndigheder bø</w:t>
            </w:r>
            <w:r w:rsidRPr="00880B0F">
              <w:t xml:space="preserve">r tage højde for alle relevante omstændigheder, når de fastsætter det niveau af sanktioner, forureneren skal pålægges. </w:t>
            </w:r>
            <w:r w:rsidRPr="00880B0F">
              <w:rPr>
                <w:b/>
                <w:i/>
              </w:rPr>
              <w:t>Nationale myndigheder bør indføre et omfattende og proportionalt system til sanktionering af ulovlig forurening fra skibe, der tager hens</w:t>
            </w:r>
            <w:r w:rsidRPr="00880B0F">
              <w:rPr>
                <w:b/>
                <w:i/>
              </w:rPr>
              <w:t>yn til fartøjets størrelse, arten og mængden af affald og hyppigheden af overtrædelserne, idet det samtidig fremmer miljøansvarlighed og afskrækker fra ulovlig forurening.</w:t>
            </w:r>
            <w:r w:rsidRPr="00880B0F">
              <w:t xml:space="preserve"> Under hensyntagen til den forskelligartede karakter af de forurenende stoffer, der e</w:t>
            </w:r>
            <w:r w:rsidRPr="00880B0F">
              <w:t xml:space="preserve">r omfattet af direktiv 2005/35/EF, og betydningen af en ensartet anvendelse af sanktioner i hele Unionen i betragtning af den regulerede adfærds grænseoverskridende karakter, bør yderligere tilnærmelse og effektivitet af sanktionsniveauerne fremmes ved at </w:t>
            </w:r>
            <w:r w:rsidRPr="00880B0F">
              <w:t xml:space="preserve">fastsætte konkrete kriterier for anvendelsen af sanktioner for udtømning af forskellige forurenende stoffer. For at sikre </w:t>
            </w:r>
            <w:r w:rsidRPr="00880B0F">
              <w:rPr>
                <w:b/>
                <w:i/>
              </w:rPr>
              <w:t xml:space="preserve">lige vilkår og bred opbakning på tværs af medlemsstaterne til de administrative og retlige foranstaltninger, der skal træffes, er det </w:t>
            </w:r>
            <w:r w:rsidRPr="00880B0F">
              <w:rPr>
                <w:b/>
                <w:i/>
              </w:rPr>
              <w:t>vigtigt at sikre, at sanktionerne anvendes så ensartet som muligt.</w:t>
            </w:r>
            <w:r w:rsidRPr="00880B0F">
              <w:t xml:space="preserve"> </w:t>
            </w:r>
            <w:r w:rsidRPr="00880B0F">
              <w:rPr>
                <w:b/>
                <w:i/>
              </w:rPr>
              <w:t xml:space="preserve">For at sikre sådanne </w:t>
            </w:r>
            <w:r w:rsidRPr="00880B0F">
              <w:t>ensartede betingelser for anvendelsen af sanktioner bør</w:t>
            </w:r>
            <w:r w:rsidRPr="00880B0F">
              <w:rPr>
                <w:b/>
                <w:i/>
              </w:rPr>
              <w:t> </w:t>
            </w:r>
            <w:r w:rsidRPr="00880B0F">
              <w:t>Kommissionen</w:t>
            </w:r>
            <w:r w:rsidRPr="00880B0F">
              <w:rPr>
                <w:b/>
                <w:i/>
              </w:rPr>
              <w:t> </w:t>
            </w:r>
            <w:r w:rsidRPr="00880B0F">
              <w:t>tillægges gennemførelsesbeføjelser. Disse beføjelser bør udøves i overensstemmelse med Europa-Parla</w:t>
            </w:r>
            <w:r w:rsidRPr="00880B0F">
              <w:t>mentets og Rådets forordning (EU) nr. 182/</w:t>
            </w:r>
            <w:r w:rsidRPr="00880B0F">
              <w:rPr>
                <w:b/>
                <w:i/>
              </w:rPr>
              <w:t>2011</w:t>
            </w:r>
            <w:r w:rsidRPr="00880B0F">
              <w:rPr>
                <w:b/>
                <w:i/>
                <w:vertAlign w:val="superscript"/>
              </w:rPr>
              <w:t>26</w:t>
            </w:r>
            <w:r w:rsidRPr="00880B0F">
              <w:t>. Undersøgelsesproceduren bør anvendes til vedtagelsen af disse gennemførelsesretsakter.</w:t>
            </w:r>
          </w:p>
        </w:tc>
      </w:tr>
      <w:tr w:rsidR="004946DF" w:rsidRPr="00880B0F" w:rsidTr="004F0A9F">
        <w:trPr>
          <w:jc w:val="center"/>
        </w:trPr>
        <w:tc>
          <w:tcPr>
            <w:tcW w:w="4876" w:type="dxa"/>
          </w:tcPr>
          <w:p w:rsidR="001303FC" w:rsidRPr="00880B0F" w:rsidRDefault="00880B0F" w:rsidP="004F0A9F">
            <w:pPr>
              <w:pStyle w:val="Normal6a"/>
            </w:pPr>
            <w:r w:rsidRPr="00880B0F">
              <w:rPr>
                <w:b/>
                <w:i/>
              </w:rPr>
              <w:lastRenderedPageBreak/>
              <w:t>_________________</w:t>
            </w:r>
          </w:p>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26</w:t>
            </w:r>
            <w:r w:rsidRPr="00880B0F">
              <w:t xml:space="preserve"> Europa-Parlamentets og Rådets forordning (EU) nr. 182/2011 af 16.</w:t>
            </w:r>
            <w:r w:rsidRPr="00880B0F">
              <w:rPr>
                <w:b/>
                <w:i/>
              </w:rPr>
              <w:t xml:space="preserve"> </w:t>
            </w:r>
            <w:r w:rsidRPr="00880B0F">
              <w:t>februar 2011</w:t>
            </w:r>
            <w:r w:rsidRPr="00880B0F">
              <w:t xml:space="preserve"> om de generelle regler og principper for, hvordan medlemsstaterne skal kontrollere Kommissionens udøvelse af gennemførelsesbeføjelser (EUT</w:t>
            </w:r>
            <w:r w:rsidRPr="00880B0F">
              <w:rPr>
                <w:b/>
                <w:i/>
              </w:rPr>
              <w:t xml:space="preserve"> </w:t>
            </w:r>
            <w:r w:rsidRPr="00880B0F">
              <w:t>L</w:t>
            </w:r>
            <w:r w:rsidRPr="00880B0F">
              <w:rPr>
                <w:b/>
                <w:i/>
              </w:rPr>
              <w:t xml:space="preserve"> </w:t>
            </w:r>
            <w:r w:rsidRPr="00880B0F">
              <w:t>55 af 28.2.2011, s.</w:t>
            </w:r>
            <w:r w:rsidRPr="00880B0F">
              <w:rPr>
                <w:b/>
                <w:i/>
              </w:rPr>
              <w:t xml:space="preserve"> </w:t>
            </w:r>
            <w:r w:rsidRPr="00880B0F">
              <w:t>13).</w:t>
            </w:r>
          </w:p>
        </w:tc>
        <w:tc>
          <w:tcPr>
            <w:tcW w:w="4876" w:type="dxa"/>
          </w:tcPr>
          <w:p w:rsidR="001303FC" w:rsidRPr="00880B0F" w:rsidRDefault="00880B0F" w:rsidP="004F0A9F">
            <w:pPr>
              <w:pStyle w:val="Normal6a"/>
            </w:pPr>
            <w:r w:rsidRPr="00880B0F">
              <w:rPr>
                <w:vertAlign w:val="superscript"/>
              </w:rPr>
              <w:t>26</w:t>
            </w:r>
            <w:r w:rsidRPr="00880B0F">
              <w:t xml:space="preserve"> Europa-Parlamentets og Rådets forordning (EU) nr. 182/2011 af 16.</w:t>
            </w:r>
            <w:r w:rsidRPr="00880B0F">
              <w:rPr>
                <w:b/>
                <w:i/>
              </w:rPr>
              <w:t> </w:t>
            </w:r>
            <w:r w:rsidRPr="00880B0F">
              <w:t>februar 2011 om de g</w:t>
            </w:r>
            <w:r w:rsidRPr="00880B0F">
              <w:t>enerelle regler og principper for, hvordan medlemsstaterne skal kontrollere Kommissionens udøvelse af gennemførelsesbeføjelser (EUT</w:t>
            </w:r>
            <w:r w:rsidRPr="00880B0F">
              <w:rPr>
                <w:b/>
                <w:i/>
              </w:rPr>
              <w:t> </w:t>
            </w:r>
            <w:r w:rsidRPr="00880B0F">
              <w:t>L</w:t>
            </w:r>
            <w:r w:rsidRPr="00880B0F">
              <w:rPr>
                <w:b/>
                <w:i/>
              </w:rPr>
              <w:t> </w:t>
            </w:r>
            <w:r w:rsidRPr="00880B0F">
              <w:t>55 af 28.2.2011, s.</w:t>
            </w:r>
            <w:r w:rsidRPr="00880B0F">
              <w:rPr>
                <w:b/>
                <w:i/>
              </w:rPr>
              <w:t> </w:t>
            </w:r>
            <w:r w:rsidRPr="00880B0F">
              <w:t>13).</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lastRenderedPageBreak/>
        <w:t>&lt;Amend&gt;</w:t>
      </w:r>
      <w:r w:rsidRPr="00880B0F">
        <w:t>Ændringsforslag</w:t>
      </w:r>
      <w:r w:rsidRPr="00880B0F">
        <w:tab/>
      </w:r>
      <w:r w:rsidRPr="00880B0F">
        <w:tab/>
      </w:r>
      <w:r w:rsidRPr="00880B0F">
        <w:rPr>
          <w:rStyle w:val="HideTWBExt"/>
          <w:noProof w:val="0"/>
        </w:rPr>
        <w:t>&lt;NumAm&gt;</w:t>
      </w:r>
      <w:r w:rsidRPr="00880B0F">
        <w:t>10</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w:t>
      </w:r>
      <w:r w:rsidRPr="00880B0F">
        <w:rPr>
          <w:rStyle w:val="HideTWBExt"/>
          <w:noProof w:val="0"/>
        </w:rPr>
        <w:t>ticle&gt;</w:t>
      </w:r>
      <w:r w:rsidRPr="00880B0F">
        <w:t>Betragtning 12</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(12)</w:t>
            </w:r>
            <w:r w:rsidRPr="00880B0F">
              <w:tab/>
              <w:t xml:space="preserve">Ledsageforanstaltningerne vedrørende medlemsstaternes samarbejde og rapporteringsforpligtelser har hidtil ikke været tilstrækkelige til at muliggøre en fuldstændig analyse af, </w:t>
            </w:r>
            <w:r w:rsidRPr="00880B0F">
              <w:t>hvorvidt forurenerne bliver mødt med sanktioner, der er effektive, har afskrækkende virkning og står i et rimeligt forhold til overtrædelsen, og muliggøre, at tilstrækkelige data stilles til rådighed for Kommissionen med henblik på overvågning af gennemfør</w:t>
            </w:r>
            <w:r w:rsidRPr="00880B0F">
              <w:t>elsen af direktiv 2005/35/EF. For at sikre, at direktiv 2005/35/EF håndhæves effektivt og ensartet, bør udveksling af oplysninger og erfaringer lettes ved hjælp af forbedret samarbejde, samtidig med at det sikres, at tilstrækkelige data stilles til rådighe</w:t>
            </w:r>
            <w:r w:rsidRPr="00880B0F">
              <w:t>d for Kommissionen, så den har mulighed for på passende vis at overvåge gennemførelsen af direktiv 2005/35/EF.</w:t>
            </w:r>
          </w:p>
        </w:tc>
        <w:tc>
          <w:tcPr>
            <w:tcW w:w="4876" w:type="dxa"/>
          </w:tcPr>
          <w:p w:rsidR="001303FC" w:rsidRPr="00880B0F" w:rsidRDefault="00880B0F" w:rsidP="004F0A9F">
            <w:pPr>
              <w:pStyle w:val="Normal6a"/>
            </w:pPr>
            <w:r w:rsidRPr="00880B0F">
              <w:t>(12)</w:t>
            </w:r>
            <w:r w:rsidRPr="00880B0F">
              <w:tab/>
              <w:t>Ledsageforanstaltningerne vedrørende medlemsstaternes samarbejde og rapporteringsforpligtelser har hidtil ikke været tilstrækkelige til at m</w:t>
            </w:r>
            <w:r w:rsidRPr="00880B0F">
              <w:t>uliggøre en fuldstændig analyse af, hvorvidt forurenerne bliver mødt med sanktioner, der er effektive, har afskrækkende virkning og står i et rimeligt forhold til overtrædelsen, og muliggøre, at tilstrækkelige data stilles til rådighed for Kommissionen med</w:t>
            </w:r>
            <w:r w:rsidRPr="00880B0F">
              <w:t xml:space="preserve"> henblik på overvågning af gennemførelsen af direktiv 2005/35/EF. For at sikre, at direktiv 2005/35/EF håndhæves effektivt og ensartet, bør udveksling af oplysninger og erfaringer lettes ved hjælp af forbedret samarbejde, samtidig med at det sikres, at til</w:t>
            </w:r>
            <w:r w:rsidRPr="00880B0F">
              <w:t xml:space="preserve">strækkelige data stilles til rådighed for Kommissionen, så den har mulighed for på passende vis at overvåge gennemførelsen af direktiv 2005/35/EF. </w:t>
            </w:r>
            <w:r w:rsidRPr="00880B0F">
              <w:rPr>
                <w:b/>
                <w:i/>
              </w:rPr>
              <w:t>Rettighederne for besætningsmedlemmer, der indberetter eventuelle overtrædelser, som de støder på, bør sikres</w:t>
            </w:r>
            <w:r w:rsidRPr="00880B0F">
              <w:rPr>
                <w:b/>
                <w:i/>
              </w:rPr>
              <w:t xml:space="preserve"> omhyggeligt. I den forbindelse bør medlemsstaterne også udveksle erfaringer om bedste praksis og foranstaltninger, der er truffet for at forebygge havaffald, herunder fiskeriaffald, om, hvordan mere miljøvenligt design kan anvendes til at reducere det mes</w:t>
            </w:r>
            <w:r w:rsidRPr="00880B0F">
              <w:rPr>
                <w:b/>
                <w:i/>
              </w:rPr>
              <w:t xml:space="preserve">t almindeligt forekommende havaffald og dets indvirkning på miljøet, samt om gode tiltag, der er iværksat for at opsamle havaffald, der allerede befinder sig i havet. </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11</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12 a (ny)</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(12a)</w:t>
            </w:r>
            <w:r w:rsidRPr="00880B0F">
              <w:tab/>
            </w:r>
            <w:r w:rsidRPr="00880B0F">
              <w:rPr>
                <w:b/>
                <w:i/>
              </w:rPr>
              <w:t>Europa-Parlamentets og Rådets forordning (EU) 2021/1139 giver medlemsstaterne mulighed for at støtte foranstaltninger,</w:t>
            </w:r>
            <w:r w:rsidRPr="00880B0F">
              <w:rPr>
                <w:b/>
                <w:i/>
              </w:rPr>
              <w:br/>
              <w:t xml:space="preserve">som fremmer miljøvenligt design ved </w:t>
            </w:r>
            <w:r w:rsidRPr="00880B0F">
              <w:rPr>
                <w:b/>
                <w:i/>
              </w:rPr>
              <w:t>udformningen af fiskeredskaber, samt foranstaltninger til forebyggelse og opsamling af havaffald.</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12</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13</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(13)</w:t>
            </w:r>
            <w:r w:rsidRPr="00880B0F">
              <w:tab/>
              <w:t xml:space="preserve">Den eksisterende satellitbaserede "CleanSeaNet"-tjeneste, som underretter medlemsstaternes myndigheder om potentielle ulovlige udtømninger, bør forbedres, så den omfatter oplysninger om yderligere forurenende stoffer, som hører under </w:t>
            </w:r>
            <w:r w:rsidRPr="00880B0F">
              <w:t>anvendelsesområdet for direktiv 2005/35/EF. Oplysninger vedrørende potentielle eller faktiske udtømninger, som rapporteres af medlemsstaterne i overensstemmelse med direktiv 2005/35/EF og EU's andre maritime sikkerhedsdatabaser, f.eks. Unionens maritime in</w:t>
            </w:r>
            <w:r w:rsidRPr="00880B0F">
              <w:t>formationsudvekslingssystem ("SafeSeaNet"), der er oprettet ved Europa-Parlamentets og Rådets direktiv 2002/59/EF</w:t>
            </w:r>
            <w:r w:rsidRPr="00880B0F">
              <w:rPr>
                <w:vertAlign w:val="superscript"/>
              </w:rPr>
              <w:t>27</w:t>
            </w:r>
            <w:r w:rsidRPr="00880B0F">
              <w:t>, og inspektionsdatabasen ("THESIS"), der er oprettet ved Europa-Parlamentets og Rådets direktiv 2009/16/EF</w:t>
            </w:r>
            <w:r w:rsidRPr="00880B0F">
              <w:rPr>
                <w:vertAlign w:val="superscript"/>
              </w:rPr>
              <w:t>28</w:t>
            </w:r>
            <w:r w:rsidRPr="00880B0F">
              <w:t xml:space="preserve">, bør integreres og formidles i </w:t>
            </w:r>
            <w:r w:rsidRPr="00880B0F">
              <w:t>et brugervenligt elektronisk format til de nationale myndigheder, som er involveret i håndhævelseskæden, for at gøre det lettere for dem at reagere rettidigt. Når sådanne oplysninger vedrører en faktisk eller potentiel udtømning af restprodukter fra rensni</w:t>
            </w:r>
            <w:r w:rsidRPr="00880B0F">
              <w:t xml:space="preserve">ngssystemer til udstødningsgasser fra et skib, bør oplysningerne desuden formidles til det særlige modul i THESIS, </w:t>
            </w:r>
            <w:r w:rsidRPr="00880B0F">
              <w:lastRenderedPageBreak/>
              <w:t>der er oprettet i henhold til Kommissionens gennemførelsesafgørelse (EU) 2015/253 ("THESIS-EU"), for at bistå medlemsstaterne med de håndhæve</w:t>
            </w:r>
            <w:r w:rsidRPr="00880B0F">
              <w:t>lsesaktiviteter, der udføres i overensstemmelse med bestemmelserne i direktiv (EU) 2016/802. Med henblik på at sikre effektiv overvågning af direktivets gennemførelse i alle medlemsstater bør hver medlemsstat sikre, at 10 % af de varslinger, fremsendes via</w:t>
            </w:r>
            <w:r w:rsidRPr="00880B0F">
              <w:t xml:space="preserve"> CleanSeaNet, verificeres hvert år i løbet af de første tre år fra gennemførelsen af dette direktiv. Der bør gives adgang til disse oplysninger til myndigheder fra andre medlemsstater, som har en interesse i dem i deres egenskab af havnestater for næste an</w:t>
            </w:r>
            <w:r w:rsidRPr="00880B0F">
              <w:t>løbshavn, kyststater, der kan blive påvirket af en potentiel udtømning, eller skibets flagstat, med henblik på at lette effektivt og rettidigt grænseoverskridende samarbejde, at minimere den administrative byrde ved håndhævelsesaktiviteter og i sidste ende</w:t>
            </w:r>
            <w:r w:rsidRPr="00880B0F">
              <w:t xml:space="preserve"> effektivt at straffe lovovertrædere for overtrædelser af direktiv 2005/35/EF.</w:t>
            </w:r>
          </w:p>
        </w:tc>
        <w:tc>
          <w:tcPr>
            <w:tcW w:w="4876" w:type="dxa"/>
          </w:tcPr>
          <w:p w:rsidR="001303FC" w:rsidRPr="00880B0F" w:rsidRDefault="00880B0F" w:rsidP="004F0A9F">
            <w:pPr>
              <w:pStyle w:val="Normal6a"/>
            </w:pPr>
            <w:r w:rsidRPr="00880B0F">
              <w:lastRenderedPageBreak/>
              <w:t>(13)</w:t>
            </w:r>
            <w:r w:rsidRPr="00880B0F">
              <w:tab/>
              <w:t>Den eksisterende satellitbaserede "CleanSeaNet"-tjeneste, som underretter medlemsstaternes myndigheder om potentielle ulovlige udtømninger, bør forbedres, så den omfatter o</w:t>
            </w:r>
            <w:r w:rsidRPr="00880B0F">
              <w:t>plysninger om yderligere forurenende stoffer, som hører under anvendelsesområdet for direktiv 2005/35/EF. Oplysninger vedrørende potentielle eller faktiske udtømninger, som rapporteres af medlemsstaterne i overensstemmelse med direktiv 2005/35/EF og EU's a</w:t>
            </w:r>
            <w:r w:rsidRPr="00880B0F">
              <w:t>ndre maritime sikkerhedsdatabaser, f.eks. Unionens maritime informationsudvekslingssystem ("SafeSeaNet"), der er oprettet ved Europa-Parlamentets og Rådets direktiv 2002/59/EF</w:t>
            </w:r>
            <w:r w:rsidRPr="00880B0F">
              <w:rPr>
                <w:vertAlign w:val="superscript"/>
              </w:rPr>
              <w:t>27</w:t>
            </w:r>
            <w:r w:rsidRPr="00880B0F">
              <w:t>, og inspektionsdatabasen ("THESIS"), der er oprettet ved Europa-Parlamentets o</w:t>
            </w:r>
            <w:r w:rsidRPr="00880B0F">
              <w:t>g Rådets direktiv 2009/16/EF</w:t>
            </w:r>
            <w:r w:rsidRPr="00880B0F">
              <w:rPr>
                <w:vertAlign w:val="superscript"/>
              </w:rPr>
              <w:t>28</w:t>
            </w:r>
            <w:r w:rsidRPr="00880B0F">
              <w:t>, bør integreres og formidles i et brugervenligt elektronisk format til de nationale myndigheder, som er involveret i håndhævelseskæden, for at gøre det lettere for dem at reagere rettidigt. Når sådanne oplysninger vedrører en</w:t>
            </w:r>
            <w:r w:rsidRPr="00880B0F">
              <w:t xml:space="preserve"> faktisk eller potentiel udtømning af restprodukter fra rensningssystemer til udstødningsgasser fra et skib, bør oplysningerne desuden formidles til det særlige modul i THESIS, </w:t>
            </w:r>
            <w:r w:rsidRPr="00880B0F">
              <w:lastRenderedPageBreak/>
              <w:t>der er oprettet i henhold til Kommissionens gennemførelsesafgørelse (EU) 2015/2</w:t>
            </w:r>
            <w:r w:rsidRPr="00880B0F">
              <w:t>53 ("THESIS-EU"), for at bistå medlemsstaterne med de håndhævelsesaktiviteter, der udføres i overensstemmelse med bestemmelserne i direktiv (EU) 2016/802. Med henblik på at sikre effektiv overvågning af direktivets gennemførelse i alle medlemsstater bør hv</w:t>
            </w:r>
            <w:r w:rsidRPr="00880B0F">
              <w:t>er medlemsstat sikre, at 10 % af de varslinger, fremsendes via CleanSeaNet, verificeres hvert år i løbet af de første tre år fra gennemførelsen af dette direktiv. Der bør gives adgang til disse oplysninger til myndigheder fra andre medlemsstater, som har e</w:t>
            </w:r>
            <w:r w:rsidRPr="00880B0F">
              <w:t>n interesse i dem i deres egenskab af havnestater for næste anløbshavn, kyststater, der kan blive påvirket af en potentiel udtømning, eller skibets flagstat, med henblik på at lette effektivt og rettidigt grænseoverskridende samarbejde, at minimere den adm</w:t>
            </w:r>
            <w:r w:rsidRPr="00880B0F">
              <w:t>inistrative byrde ved håndhævelsesaktiviteter og i sidste ende effektivt</w:t>
            </w:r>
            <w:r w:rsidRPr="00880B0F">
              <w:rPr>
                <w:b/>
                <w:i/>
              </w:rPr>
              <w:t xml:space="preserve"> og forholdsmæssigt</w:t>
            </w:r>
            <w:r w:rsidRPr="00880B0F">
              <w:t xml:space="preserve"> at straffe lovovertrædere for overtrædelser af direktiv 2005/35/EF.</w:t>
            </w:r>
          </w:p>
        </w:tc>
      </w:tr>
      <w:tr w:rsidR="004946DF" w:rsidRPr="00880B0F" w:rsidTr="004F0A9F">
        <w:trPr>
          <w:jc w:val="center"/>
        </w:trPr>
        <w:tc>
          <w:tcPr>
            <w:tcW w:w="4876" w:type="dxa"/>
          </w:tcPr>
          <w:p w:rsidR="001303FC" w:rsidRPr="00880B0F" w:rsidRDefault="00880B0F" w:rsidP="004F0A9F">
            <w:pPr>
              <w:pStyle w:val="Normal6a"/>
            </w:pPr>
            <w:r w:rsidRPr="00880B0F">
              <w:rPr>
                <w:b/>
                <w:i/>
              </w:rPr>
              <w:lastRenderedPageBreak/>
              <w:t>_________________</w:t>
            </w:r>
          </w:p>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27</w:t>
            </w:r>
            <w:r w:rsidRPr="00880B0F">
              <w:t xml:space="preserve"> Europa-Parlamentets og Rådets direktiv 2002/59/EF af 27. juni 2002 om oprettelse af et trafikovervågnings- og trafikinformationssystem for skibsfarten i Fællesskabet og om ophævelse af Rådets direktiv 93/75/EØF (EFT L 208 af 5.8.2002, s. 10).</w:t>
            </w:r>
          </w:p>
        </w:tc>
        <w:tc>
          <w:tcPr>
            <w:tcW w:w="4876" w:type="dxa"/>
          </w:tcPr>
          <w:p w:rsidR="001303FC" w:rsidRPr="00880B0F" w:rsidRDefault="00880B0F" w:rsidP="004F0A9F">
            <w:pPr>
              <w:pStyle w:val="Normal6a"/>
            </w:pPr>
            <w:r w:rsidRPr="00880B0F">
              <w:rPr>
                <w:vertAlign w:val="superscript"/>
              </w:rPr>
              <w:t>27</w:t>
            </w:r>
            <w:r w:rsidRPr="00880B0F">
              <w:t xml:space="preserve"> Europa-Pa</w:t>
            </w:r>
            <w:r w:rsidRPr="00880B0F">
              <w:t>rlamentets og Rådets direktiv 2002/59/EF af 27. juni 2002 om oprettelse af et trafikovervågnings- og trafikinformationssystem for skibsfarten i Fællesskabet og om ophævelse af Rådets direktiv 93/75/EØF (EFT L 208 af 5.8.2002, s. 10).</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28</w:t>
            </w:r>
            <w:r w:rsidRPr="00880B0F">
              <w:t xml:space="preserve"> Europa-Parlamentet</w:t>
            </w:r>
            <w:r w:rsidRPr="00880B0F">
              <w:t>s og Rådets direktiv 2009/16/EF af 23. april 2009 om havnestatskontrol (omarbejdning) (EUT L 131 af 28.5.2009, s. 57).</w:t>
            </w:r>
          </w:p>
        </w:tc>
        <w:tc>
          <w:tcPr>
            <w:tcW w:w="4876" w:type="dxa"/>
          </w:tcPr>
          <w:p w:rsidR="001303FC" w:rsidRPr="00880B0F" w:rsidRDefault="00880B0F" w:rsidP="004F0A9F">
            <w:pPr>
              <w:pStyle w:val="Normal6a"/>
            </w:pPr>
            <w:r w:rsidRPr="00880B0F">
              <w:rPr>
                <w:vertAlign w:val="superscript"/>
              </w:rPr>
              <w:t>28</w:t>
            </w:r>
            <w:r w:rsidRPr="00880B0F">
              <w:t xml:space="preserve"> Europa-Parlamentets og Rådets direktiv 2009/16/EF af 23. april 2009 om havnestatskontrol (omarbejdning) (EUT L 131 af 28.5.2009, s. 57</w:t>
            </w:r>
            <w:r w:rsidRPr="00880B0F">
              <w:t>).</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13</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14</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lastRenderedPageBreak/>
              <w:t>(14)</w:t>
            </w:r>
            <w:r w:rsidRPr="00880B0F">
              <w:tab/>
              <w:t xml:space="preserve">Undergruppen om affald fra skibe, der blev oprettet under det europæiske forum </w:t>
            </w:r>
            <w:r w:rsidRPr="00880B0F">
              <w:t>for bæredygtig skibsfart, og som samlede en bred vifte af eksperter inden for forurening fra skibe og håndtering af affald fra skibe, blev opløst i december 2017 i lyset af påbegyndelsen af interinstitutionelle forhandlinger om direktiv (EU) 2019/883. Side</w:t>
            </w:r>
            <w:r w:rsidRPr="00880B0F">
              <w:t>n da har en midlertidig undergruppe leveret værdifuld vejledning og ekspertise til Kommissionen, og en tilsvarende ekspertgruppe bør oprettes med mandat til at udveksle erfaringer om anvendelsen af dette direktiv med henblik på at bistå medlemsstaterne med</w:t>
            </w:r>
            <w:r w:rsidRPr="00880B0F">
              <w:t xml:space="preserve"> at opbygge deres kapacitet til at opdage og verificere forureningshændelser og sikre effektiv håndhævelse af direktiv 2005/35/EF.</w:t>
            </w:r>
          </w:p>
        </w:tc>
        <w:tc>
          <w:tcPr>
            <w:tcW w:w="4876" w:type="dxa"/>
          </w:tcPr>
          <w:p w:rsidR="001303FC" w:rsidRPr="00880B0F" w:rsidRDefault="00880B0F" w:rsidP="004F0A9F">
            <w:pPr>
              <w:pStyle w:val="Normal6a"/>
            </w:pPr>
            <w:r w:rsidRPr="00880B0F">
              <w:t>(14)</w:t>
            </w:r>
            <w:r w:rsidRPr="00880B0F">
              <w:tab/>
              <w:t xml:space="preserve">Undergruppen om affald fra skibe, der blev oprettet under det europæiske forum for bæredygtig skibsfart, og som samlede </w:t>
            </w:r>
            <w:r w:rsidRPr="00880B0F">
              <w:t>en bred vifte af eksperter inden for forurening fra skibe og håndtering af affald fra skibe, blev opløst i december 2017 i lyset af påbegyndelsen af interinstitutionelle forhandlinger om direktiv (EU) 2019/883. Siden da har en midlertidig undergruppe lever</w:t>
            </w:r>
            <w:r w:rsidRPr="00880B0F">
              <w:t>et værdifuld vejledning og ekspertise til Kommissionen, og en tilsvarende ekspertgruppe bør oprettes med mandat til at udveksle erfaringer om anvendelsen af dette direktiv med henblik på at bistå medlemsstaterne med at opbygge deres kapacitet til at opdage</w:t>
            </w:r>
            <w:r w:rsidRPr="00880B0F">
              <w:t xml:space="preserve"> og verificere forureningshændelser og sikre effektiv håndhævelse af direktiv 2005/35/EF. </w:t>
            </w:r>
            <w:r w:rsidRPr="00880B0F">
              <w:rPr>
                <w:b/>
                <w:i/>
              </w:rPr>
              <w:t>Det er også vigtigt at inddrage alle relevante interessenter, herunder fiskerisektoren, i disse undergrupper.</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14</w:t>
      </w:r>
      <w:r w:rsidRPr="00880B0F">
        <w:rPr>
          <w:rStyle w:val="HideTWBExt"/>
          <w:noProof w:val="0"/>
        </w:rPr>
        <w:t>&lt;/NumAm&gt;</w:t>
      </w:r>
    </w:p>
    <w:p w:rsidR="001303FC" w:rsidRPr="00880B0F" w:rsidRDefault="00880B0F" w:rsidP="001303FC">
      <w:pPr>
        <w:pStyle w:val="NormalBold12b"/>
      </w:pPr>
      <w:r w:rsidRPr="00880B0F">
        <w:rPr>
          <w:rStyle w:val="HideTWBExt"/>
          <w:noProof w:val="0"/>
        </w:rPr>
        <w:t>&lt;Doc</w:t>
      </w:r>
      <w:r w:rsidRPr="00880B0F">
        <w:rPr>
          <w:rStyle w:val="HideTWBExt"/>
          <w:noProof w:val="0"/>
        </w:rPr>
        <w:t>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15</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(15)</w:t>
            </w:r>
            <w:r w:rsidRPr="00880B0F">
              <w:tab/>
              <w:t>Det Europæiske Agentur for Søfartssikkerhed ("EMSA"), der er oprettet ved forordning (EU) xxxx/xxxx</w:t>
            </w:r>
            <w:r w:rsidRPr="00880B0F">
              <w:rPr>
                <w:vertAlign w:val="superscript"/>
              </w:rPr>
              <w:t>29</w:t>
            </w:r>
            <w:r w:rsidRPr="00880B0F">
              <w:t xml:space="preserve">, bør yde den nødvendige støtte til </w:t>
            </w:r>
            <w:r w:rsidRPr="00880B0F">
              <w:t>Kommissionen for at sikre gennemførelsen af dette direktiv.</w:t>
            </w:r>
          </w:p>
        </w:tc>
        <w:tc>
          <w:tcPr>
            <w:tcW w:w="4876" w:type="dxa"/>
          </w:tcPr>
          <w:p w:rsidR="001303FC" w:rsidRPr="00880B0F" w:rsidRDefault="00880B0F" w:rsidP="004F0A9F">
            <w:pPr>
              <w:pStyle w:val="Normal6a"/>
            </w:pPr>
            <w:r w:rsidRPr="00880B0F">
              <w:t>(15)</w:t>
            </w:r>
            <w:r w:rsidRPr="00880B0F">
              <w:tab/>
              <w:t>Det Europæiske Agentur for Søfartssikkerhed ("EMSA"), der er oprettet ved forordning (EU) xxxx/xxxx</w:t>
            </w:r>
            <w:r w:rsidRPr="00880B0F">
              <w:rPr>
                <w:vertAlign w:val="superscript"/>
              </w:rPr>
              <w:t>29</w:t>
            </w:r>
            <w:r w:rsidRPr="00880B0F">
              <w:t>, bør yde den nødvendige støtte til Kommissionen for at sikre gennemførelsen af dette dire</w:t>
            </w:r>
            <w:r w:rsidRPr="00880B0F">
              <w:t xml:space="preserve">ktiv. </w:t>
            </w:r>
            <w:r w:rsidRPr="00880B0F">
              <w:rPr>
                <w:b/>
                <w:i/>
              </w:rPr>
              <w:t>Kommissionen bør også, hvor det er relevant, anvende de data, der er indsamlet af EFCA, navnlig med hensyn til tabte fiskeredskaber.</w:t>
            </w:r>
          </w:p>
        </w:tc>
      </w:tr>
      <w:tr w:rsidR="004946DF" w:rsidRPr="00880B0F" w:rsidTr="004F0A9F">
        <w:trPr>
          <w:jc w:val="center"/>
        </w:trPr>
        <w:tc>
          <w:tcPr>
            <w:tcW w:w="4876" w:type="dxa"/>
          </w:tcPr>
          <w:p w:rsidR="001303FC" w:rsidRPr="00880B0F" w:rsidRDefault="00880B0F" w:rsidP="004F0A9F">
            <w:pPr>
              <w:pStyle w:val="Normal6a"/>
            </w:pPr>
            <w:r w:rsidRPr="00880B0F">
              <w:rPr>
                <w:b/>
                <w:i/>
              </w:rPr>
              <w:t>_________________</w:t>
            </w:r>
          </w:p>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29</w:t>
            </w:r>
            <w:r w:rsidRPr="00880B0F">
              <w:t xml:space="preserve"> EUT L xxxx.</w:t>
            </w:r>
          </w:p>
        </w:tc>
        <w:tc>
          <w:tcPr>
            <w:tcW w:w="4876" w:type="dxa"/>
          </w:tcPr>
          <w:p w:rsidR="001303FC" w:rsidRPr="00880B0F" w:rsidRDefault="00880B0F" w:rsidP="004F0A9F">
            <w:pPr>
              <w:pStyle w:val="Normal6a"/>
            </w:pPr>
            <w:r w:rsidRPr="00880B0F">
              <w:rPr>
                <w:vertAlign w:val="superscript"/>
              </w:rPr>
              <w:t>29</w:t>
            </w:r>
            <w:r w:rsidRPr="00880B0F">
              <w:t xml:space="preserve"> EUT L xxxx.</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15</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Betragtning 18</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(18)</w:t>
            </w:r>
            <w:r w:rsidRPr="00880B0F">
              <w:tab/>
              <w:t xml:space="preserve">For at øge offentlighedens bevidsthed om forurening, der stammer fra udtømning fra skibe, </w:t>
            </w:r>
            <w:r w:rsidRPr="00880B0F">
              <w:rPr>
                <w:b/>
                <w:i/>
              </w:rPr>
              <w:t xml:space="preserve">og </w:t>
            </w:r>
            <w:r w:rsidRPr="00880B0F">
              <w:t xml:space="preserve">forbedre miljøbeskyttelsen bør </w:t>
            </w:r>
            <w:r w:rsidRPr="00880B0F">
              <w:t>oplysninger fra medlemsstaterne om anvendelse af direktiv 2005/35/EF gøres offentligt tilgængelige ved hjælp af en oversigt, som skal dække hele Unionen og omfatte de oplysninger, der er anført i bilag II til direktiv 2005/35/EF. Europa-Parlamentets og Råd</w:t>
            </w:r>
            <w:r w:rsidRPr="00880B0F">
              <w:t>ets direktiv 2003/4/EF</w:t>
            </w:r>
            <w:r w:rsidRPr="00880B0F">
              <w:rPr>
                <w:vertAlign w:val="superscript"/>
              </w:rPr>
              <w:t>30</w:t>
            </w:r>
            <w:r w:rsidRPr="00880B0F">
              <w:t xml:space="preserve"> har til formål at garantere retten til adgang til miljøoplysninger i medlemsstaterne i overensstemmelse med konventionen om adgang til oplysninger, offentlig deltagelse i beslutningsprocesser samt adgang til klage og domstolsprøvel</w:t>
            </w:r>
            <w:r w:rsidRPr="00880B0F">
              <w:t>se på miljøområdet (Århuskonventionen), som Unionen er part i. Kommissionen bør beskytte fortroligheden af de oplysninger, den modtager fra medlemsstaterne, uden at det berører bestemmelserne i direktiv 2003/4/EF.</w:t>
            </w:r>
          </w:p>
        </w:tc>
        <w:tc>
          <w:tcPr>
            <w:tcW w:w="4876" w:type="dxa"/>
          </w:tcPr>
          <w:p w:rsidR="001303FC" w:rsidRPr="00880B0F" w:rsidRDefault="00880B0F" w:rsidP="004F0A9F">
            <w:pPr>
              <w:pStyle w:val="Normal6a"/>
            </w:pPr>
            <w:r w:rsidRPr="00880B0F">
              <w:rPr>
                <w:b/>
                <w:i/>
              </w:rPr>
              <w:t>(18)</w:t>
            </w:r>
            <w:r w:rsidRPr="00880B0F">
              <w:tab/>
              <w:t>For at øge offentlighedens bevidsthed</w:t>
            </w:r>
            <w:r w:rsidRPr="00880B0F">
              <w:t xml:space="preserve"> om forurening, der stammer fra udtømning fra skibe, forbedre miljøbeskyttelsen</w:t>
            </w:r>
            <w:r w:rsidRPr="00880B0F">
              <w:rPr>
                <w:b/>
                <w:i/>
              </w:rPr>
              <w:t>, bidrage til målet om naturgenopretning og respektere tilsagnene i den europæiske grønne pagt</w:t>
            </w:r>
            <w:r w:rsidRPr="00880B0F">
              <w:t xml:space="preserve"> bør oplysninger fra medlemsstaterne om anvendelse af direktiv 2005/35/EF gøres off</w:t>
            </w:r>
            <w:r w:rsidRPr="00880B0F">
              <w:t>entligt tilgængelige ved hjælp af en oversigt, som skal dække hele Unionen og omfatte de oplysninger, der er anført i bilag II til direktiv 2005/35/EF</w:t>
            </w:r>
            <w:r w:rsidRPr="00880B0F">
              <w:rPr>
                <w:b/>
                <w:i/>
              </w:rPr>
              <w:t>.</w:t>
            </w:r>
            <w:r w:rsidRPr="00880B0F">
              <w:t xml:space="preserve"> </w:t>
            </w:r>
            <w:r w:rsidRPr="00880B0F">
              <w:rPr>
                <w:b/>
                <w:i/>
              </w:rPr>
              <w:t xml:space="preserve">Med henblik herpå skal der foreligge statistiske oplysninger om antallet af udtømninger, der er opdaget </w:t>
            </w:r>
            <w:r w:rsidRPr="00880B0F">
              <w:rPr>
                <w:b/>
                <w:i/>
              </w:rPr>
              <w:t xml:space="preserve">af SeaCleanNet-systemet, og hvor de fandt sted, og der skal udarbejdes en årlig rapport, som indeholder de modtagne data, antallet af verificerede og bekræftede udtømninger samt antallet af administrative og strafferetlige sanktioner. </w:t>
            </w:r>
            <w:r w:rsidRPr="00880B0F">
              <w:t>Europa-Parlamentets o</w:t>
            </w:r>
            <w:r w:rsidRPr="00880B0F">
              <w:t>g Rådets direktiv 2003/4/EF</w:t>
            </w:r>
            <w:r w:rsidRPr="00880B0F">
              <w:rPr>
                <w:vertAlign w:val="superscript"/>
              </w:rPr>
              <w:t>30</w:t>
            </w:r>
            <w:r w:rsidRPr="00880B0F">
              <w:t xml:space="preserve"> har til formål at garantere retten til adgang til miljøoplysninger i medlemsstaterne i overensstemmelse med konventionen om adgang til oplysninger, offentlig deltagelse i beslutningsprocesser samt adgang til klage og domstolsp</w:t>
            </w:r>
            <w:r w:rsidRPr="00880B0F">
              <w:t>røvelse på miljøområdet (Århuskonventionen), som Unionen er part i. Kommissionen bør beskytte fortroligheden af de oplysninger, den modtager fra medlemsstaterne, uden at det berører bestemmelserne i direktiv 2003/4/EF.</w:t>
            </w:r>
          </w:p>
        </w:tc>
      </w:tr>
      <w:tr w:rsidR="004946DF" w:rsidRPr="00880B0F" w:rsidTr="004F0A9F">
        <w:trPr>
          <w:jc w:val="center"/>
        </w:trPr>
        <w:tc>
          <w:tcPr>
            <w:tcW w:w="4876" w:type="dxa"/>
          </w:tcPr>
          <w:p w:rsidR="001303FC" w:rsidRPr="00880B0F" w:rsidRDefault="00880B0F" w:rsidP="004F0A9F">
            <w:pPr>
              <w:pStyle w:val="Normal6a"/>
            </w:pPr>
            <w:r w:rsidRPr="00880B0F">
              <w:rPr>
                <w:b/>
                <w:i/>
              </w:rPr>
              <w:t>_________________</w:t>
            </w:r>
          </w:p>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30</w:t>
            </w:r>
            <w:r w:rsidRPr="00880B0F">
              <w:t xml:space="preserve"> Europa-Parlamentets og Rådets direktiv 2003/4/EF af 28. januar 2003 om offentlig adgang til miljøoplysninger og om ophævelse af Rådets direktiv 90/313/EØF (EUT L 41 af 14.2.2003, s. 26).</w:t>
            </w:r>
          </w:p>
        </w:tc>
        <w:tc>
          <w:tcPr>
            <w:tcW w:w="4876" w:type="dxa"/>
          </w:tcPr>
          <w:p w:rsidR="001303FC" w:rsidRPr="00880B0F" w:rsidRDefault="00880B0F" w:rsidP="004F0A9F">
            <w:pPr>
              <w:pStyle w:val="Normal6a"/>
            </w:pPr>
            <w:r w:rsidRPr="00880B0F">
              <w:rPr>
                <w:vertAlign w:val="superscript"/>
              </w:rPr>
              <w:t>30</w:t>
            </w:r>
            <w:r w:rsidRPr="00880B0F">
              <w:t xml:space="preserve"> Europa-Parlamentets og Rådets direktiv 2003/4/EF af 28. januar</w:t>
            </w:r>
            <w:r w:rsidRPr="00880B0F">
              <w:t xml:space="preserve"> 2003 om offentlig adgang til miljøoplysninger og om ophævelse af Rådets direktiv 90/313/EØF (EUT L 41 af 14.2.2003, s. 26).</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16</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lastRenderedPageBreak/>
        <w:t>&lt;Article&gt;</w:t>
      </w:r>
      <w:r w:rsidRPr="00880B0F">
        <w:t>Betragtning 21</w:t>
      </w:r>
      <w:r w:rsidRPr="00880B0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(21)</w:t>
            </w:r>
            <w:r w:rsidRPr="00880B0F">
              <w:tab/>
              <w:t>I IMO finder der i øjeblikket drøftelser sted om nye miljøspørgsmål i forbindelse med international skibsfart, som medfører forurening af både vand og luft. Dette omfatter vandforurenende stoffer fra affald i hav</w:t>
            </w:r>
            <w:r w:rsidRPr="00880B0F">
              <w:t xml:space="preserve">et, f.eks. ved tab af containere og plastgranulat, samt undervandsstøj og luftforurenende stoffer som f.eks. sodpartikler. Disse drøftelser kan resultere i nye regler inden for rammerne af Marpol 73/78. I henhold til Europa-Parlamentets og Rådets direktiv </w:t>
            </w:r>
            <w:r w:rsidRPr="00880B0F">
              <w:t>2008/56/EF</w:t>
            </w:r>
            <w:r w:rsidRPr="00880B0F">
              <w:rPr>
                <w:vertAlign w:val="superscript"/>
              </w:rPr>
              <w:t>34</w:t>
            </w:r>
            <w:r w:rsidRPr="00880B0F">
              <w:t xml:space="preserve"> skal medlemsstaterne desuden opnå en god miljøtilstand i havmiljøet, hvilket bl.a. omfatter affald i havet og undervandsstøj fra skibe som kvalitative deskriptorer. I forbindelse hermed fastsættes der i direktiv (EU) 2023/xxxx</w:t>
            </w:r>
            <w:r w:rsidRPr="00880B0F">
              <w:rPr>
                <w:vertAlign w:val="superscript"/>
              </w:rPr>
              <w:t>35</w:t>
            </w:r>
            <w:r w:rsidRPr="00880B0F">
              <w:t xml:space="preserve"> grænseværdier </w:t>
            </w:r>
            <w:r w:rsidRPr="00880B0F">
              <w:t>for nitrogendioxid (NO2), der følger af emissioner af nitrogenoxider (NOx). Skibsfartsaktiviteter bidrager til højere niveauer af NO2 i kyst- og havneområder. På denne baggrund bør der ved en fremtidig revision af direktiv 2005/35/EF tages højde for ny udv</w:t>
            </w:r>
            <w:r w:rsidRPr="00880B0F">
              <w:t xml:space="preserve">ikling, og Kommissionen bør undersøge muligheden for at i givet fald at ændre anvendelsesområdet for dette direktiv, i lyset af nye internationale standarder inden for rammerne af Marpol 73/78. Ved en fremtidig revision bør det vurderes, hvilke muligheder </w:t>
            </w:r>
            <w:r w:rsidRPr="00880B0F">
              <w:t>der er for at ændre anvendelsesområdet for direktiv 2005/35/EF for i givet fald at medtage SOx- og NOx-emissioner, som reguleret i bilag VI til Marpol, på grundlag af de erfaringer, der er indhentet i forbindelse med gennemførelsen af direktiv (EU) 2016/80</w:t>
            </w:r>
            <w:r w:rsidRPr="00880B0F">
              <w:t xml:space="preserve">2, og udviklingen og modenheden af teknologien til opdagelse af SOx- og NOx-emissioner fra skibe med henblik på at sikre en ensartet og effektiv håndhævelsesordning såvel som pålæggelsen af afskrækkende sanktioner, </w:t>
            </w:r>
            <w:r w:rsidRPr="00880B0F">
              <w:lastRenderedPageBreak/>
              <w:t>jf. handlingsplan for nulforurening af va</w:t>
            </w:r>
            <w:r w:rsidRPr="00880B0F">
              <w:t>nd, luft og jord og særlig flagskibsinitiativ 5 heri "Fælles håndhævelse af nulforurening".</w:t>
            </w:r>
          </w:p>
        </w:tc>
        <w:tc>
          <w:tcPr>
            <w:tcW w:w="4876" w:type="dxa"/>
          </w:tcPr>
          <w:p w:rsidR="001303FC" w:rsidRPr="00880B0F" w:rsidRDefault="00880B0F" w:rsidP="004F0A9F">
            <w:pPr>
              <w:pStyle w:val="Normal6a"/>
            </w:pPr>
            <w:r w:rsidRPr="00880B0F">
              <w:lastRenderedPageBreak/>
              <w:t>(21)</w:t>
            </w:r>
            <w:r w:rsidRPr="00880B0F">
              <w:tab/>
              <w:t>I IMO finder der i øjeblikket drøftelser sted om nye miljøspørgsmål i forbindelse med international skibsfart, som medfører forurening af både vand og luft. De</w:t>
            </w:r>
            <w:r w:rsidRPr="00880B0F">
              <w:t xml:space="preserve">tte omfatter vandforurenende stoffer fra affald i havet, f.eks. ved tab af containere og plastgranulat, samt undervandsstøj og luftforurenende stoffer som f.eks. sodpartikler. Disse drøftelser kan resultere i nye regler inden for rammerne af Marpol 73/78. </w:t>
            </w:r>
            <w:r w:rsidRPr="00880B0F">
              <w:rPr>
                <w:b/>
                <w:i/>
              </w:rPr>
              <w:t>Ved en fremtidig revision af Marpol 73/79 bør også nulforurening fra (mikro-)plast og PFAS indgå.</w:t>
            </w:r>
            <w:r w:rsidRPr="00880B0F">
              <w:t xml:space="preserve"> I henhold til Europa-Parlamentets og Rådets direktiv 2008/56/EF</w:t>
            </w:r>
            <w:r w:rsidRPr="00880B0F">
              <w:rPr>
                <w:vertAlign w:val="superscript"/>
              </w:rPr>
              <w:t>34</w:t>
            </w:r>
            <w:r w:rsidRPr="00880B0F">
              <w:t xml:space="preserve"> skal medlemsstaterne desuden opnå en god miljøtilstand i havmiljøet, hvilket bl.a. omfatter </w:t>
            </w:r>
            <w:r w:rsidRPr="00880B0F">
              <w:t>affald i havet og undervandsstøj fra skibe som kvalitative deskriptorer. I forbindelse hermed fastsættes der i direktiv (EU) 2023/xxxx</w:t>
            </w:r>
            <w:r w:rsidRPr="00880B0F">
              <w:rPr>
                <w:vertAlign w:val="superscript"/>
              </w:rPr>
              <w:t>35</w:t>
            </w:r>
            <w:r w:rsidRPr="00880B0F">
              <w:t xml:space="preserve"> grænseværdier for nitrogendioxid (NO2), der følger af emissioner af nitrogenoxider (NOx). Skibsfartsaktiviteter bidrage</w:t>
            </w:r>
            <w:r w:rsidRPr="00880B0F">
              <w:t>r til højere niveauer af NO2 i kyst- og havneområder. På denne baggrund bør der ved en fremtidig revision af direktiv 2005/35/EF tages højde for ny udvikling, og Kommissionen bør undersøge muligheden for at i givet fald at ændre anvendelsesområdet for dett</w:t>
            </w:r>
            <w:r w:rsidRPr="00880B0F">
              <w:t>e direktiv, i lyset af nye internationale standarder inden for rammerne af Marpol 73/78. Ved en fremtidig revision bør det vurderes, hvilke muligheder der er for at ændre anvendelsesområdet for direktiv 2005/35/EF for i givet fald at medtage SOx- og NOx-em</w:t>
            </w:r>
            <w:r w:rsidRPr="00880B0F">
              <w:t>issioner, som reguleret i bilag VI til Marpol, på grundlag af de erfaringer, der er indhentet i forbindelse med gennemførelsen af direktiv (EU) 2016/802, og udviklingen og modenheden af teknologien til opdagelse af</w:t>
            </w:r>
            <w:r w:rsidRPr="00880B0F">
              <w:rPr>
                <w:b/>
                <w:i/>
              </w:rPr>
              <w:t xml:space="preserve"> CO2-,</w:t>
            </w:r>
            <w:r w:rsidRPr="00880B0F">
              <w:t xml:space="preserve"> SOx- og NOx-emissioner fra skibe me</w:t>
            </w:r>
            <w:r w:rsidRPr="00880B0F">
              <w:t xml:space="preserve">d henblik </w:t>
            </w:r>
            <w:r w:rsidRPr="00880B0F">
              <w:lastRenderedPageBreak/>
              <w:t>på at sikre en ensartet og effektiv håndhævelsesordning såvel som pålæggelsen af afskrækkende sanktioner, jf. handlingsplan for nulforurening af vand, luft og jord og særlig flagskibsinitiativ 5 heri "Fælles håndhævelse af nulforurening".</w:t>
            </w:r>
          </w:p>
        </w:tc>
      </w:tr>
      <w:tr w:rsidR="004946DF" w:rsidRPr="00880B0F" w:rsidTr="004F0A9F">
        <w:trPr>
          <w:jc w:val="center"/>
        </w:trPr>
        <w:tc>
          <w:tcPr>
            <w:tcW w:w="4876" w:type="dxa"/>
          </w:tcPr>
          <w:p w:rsidR="001303FC" w:rsidRPr="00880B0F" w:rsidRDefault="00880B0F" w:rsidP="004F0A9F">
            <w:pPr>
              <w:pStyle w:val="Normal6a"/>
            </w:pPr>
            <w:r w:rsidRPr="00880B0F">
              <w:rPr>
                <w:b/>
                <w:i/>
              </w:rPr>
              <w:lastRenderedPageBreak/>
              <w:t>______</w:t>
            </w:r>
            <w:r w:rsidRPr="00880B0F">
              <w:rPr>
                <w:b/>
                <w:i/>
              </w:rPr>
              <w:t>___________</w:t>
            </w:r>
          </w:p>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34</w:t>
            </w:r>
            <w:r w:rsidRPr="00880B0F">
              <w:t xml:space="preserve"> Europa-Parlamentets og Rådets direktiv 2008/56/EF af 17. juni 2008 om fastlæggelse af en ramme for Fællesskabets havmiljøpolitiske foranstaltninger (havstrategirammedirektivet) (EØS-relevant tekst) (EUT L 164 af 25.6.2008, s. 19).</w:t>
            </w:r>
          </w:p>
        </w:tc>
        <w:tc>
          <w:tcPr>
            <w:tcW w:w="4876" w:type="dxa"/>
          </w:tcPr>
          <w:p w:rsidR="001303FC" w:rsidRPr="00880B0F" w:rsidRDefault="00880B0F" w:rsidP="004F0A9F">
            <w:pPr>
              <w:pStyle w:val="Normal6a"/>
            </w:pPr>
            <w:r w:rsidRPr="00880B0F">
              <w:rPr>
                <w:vertAlign w:val="superscript"/>
              </w:rPr>
              <w:t>34</w:t>
            </w:r>
            <w:r w:rsidRPr="00880B0F">
              <w:t xml:space="preserve"> Europa-Parlamentets o</w:t>
            </w:r>
            <w:r w:rsidRPr="00880B0F">
              <w:t>g Rådets direktiv 2008/56/EF af 17. juni 2008 om fastlæggelse af en ramme for Fællesskabets havmiljøpolitiske foranstaltninger (havstrategirammedirektivet) (EØS-relevant tekst) (EUT L 164 af 25.6.2008, s. 19).</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35</w:t>
            </w:r>
            <w:r w:rsidRPr="00880B0F">
              <w:t xml:space="preserve"> EUT L xxxx.</w:t>
            </w:r>
          </w:p>
        </w:tc>
        <w:tc>
          <w:tcPr>
            <w:tcW w:w="4876" w:type="dxa"/>
          </w:tcPr>
          <w:p w:rsidR="001303FC" w:rsidRPr="00880B0F" w:rsidRDefault="00880B0F" w:rsidP="004F0A9F">
            <w:pPr>
              <w:pStyle w:val="Normal6a"/>
            </w:pPr>
            <w:r w:rsidRPr="00880B0F">
              <w:rPr>
                <w:vertAlign w:val="superscript"/>
              </w:rPr>
              <w:t>35</w:t>
            </w:r>
            <w:r w:rsidRPr="00880B0F">
              <w:t xml:space="preserve"> EUT L xxxx.</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17</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2</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 – stk. 1</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w:t>
            </w:r>
            <w:r w:rsidRPr="00880B0F">
              <w:tab/>
              <w:t xml:space="preserve">Formålet med dette direktiv er at indarbejde internationale standarder for forurening fra skibe i EU-retten og sikre, at de personer, der er ansvarlige for ulovlige udtømninger af forurenende stoffer, gøres til genstand for administrative sanktioner, der </w:t>
            </w:r>
            <w:r w:rsidRPr="00880B0F">
              <w:t>har afskrækkende virkning, er effektive og står i et rimeligt forhold til overtrædelsen, med henblik på at forbedre sikkerheden til søs og øge beskyttelsen af havmiljøet mod forurening fra skibe.</w:t>
            </w:r>
          </w:p>
        </w:tc>
        <w:tc>
          <w:tcPr>
            <w:tcW w:w="4876" w:type="dxa"/>
          </w:tcPr>
          <w:p w:rsidR="001303FC" w:rsidRPr="00880B0F" w:rsidRDefault="00880B0F" w:rsidP="004F0A9F">
            <w:pPr>
              <w:pStyle w:val="Normal6a"/>
            </w:pPr>
            <w:r w:rsidRPr="00880B0F">
              <w:t>1.</w:t>
            </w:r>
            <w:r w:rsidRPr="00880B0F">
              <w:tab/>
              <w:t>Formålet med dette direktiv er at indarbejde internationa</w:t>
            </w:r>
            <w:r w:rsidRPr="00880B0F">
              <w:t>le standarder for forurening fra skibe i EU-retten og sikre, at de personer, der er ansvarlige for ulovlige udtømninger af forurenende stoffer, gøres til genstand for administrative sanktioner, der har afskrækkende virkning, er effektive og står i et rimel</w:t>
            </w:r>
            <w:r w:rsidRPr="00880B0F">
              <w:t>igt forhold til overtrædelsen, med henblik på at forbedre sikkerheden til søs</w:t>
            </w:r>
            <w:r w:rsidRPr="00880B0F">
              <w:rPr>
                <w:b/>
                <w:i/>
              </w:rPr>
              <w:t>, bidrage til målet om naturgenopretning, respektere tilsagnene i den europæiske grønne pagt</w:t>
            </w:r>
            <w:r w:rsidRPr="00880B0F">
              <w:t xml:space="preserve"> og øge beskyttelsen af havmiljøet mod forurening fra skibe.</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w:t>
      </w:r>
      <w:r w:rsidRPr="00880B0F">
        <w:t>orslag</w:t>
      </w:r>
      <w:r w:rsidRPr="00880B0F">
        <w:tab/>
      </w:r>
      <w:r w:rsidRPr="00880B0F">
        <w:tab/>
      </w:r>
      <w:r w:rsidRPr="00880B0F">
        <w:rPr>
          <w:rStyle w:val="HideTWBExt"/>
          <w:noProof w:val="0"/>
        </w:rPr>
        <w:t>&lt;NumAm&gt;</w:t>
      </w:r>
      <w:r w:rsidRPr="00880B0F">
        <w:t>18</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3</w:t>
      </w:r>
      <w:r w:rsidRPr="00880B0F">
        <w:rPr>
          <w:rStyle w:val="HideTWBExt"/>
          <w:noProof w:val="0"/>
        </w:rPr>
        <w:t>&lt;/Article&gt;</w:t>
      </w:r>
    </w:p>
    <w:p w:rsidR="001303FC" w:rsidRPr="00880B0F" w:rsidRDefault="00880B0F" w:rsidP="001303FC">
      <w:r w:rsidRPr="00880B0F">
        <w:rPr>
          <w:rStyle w:val="HideTWBExt"/>
          <w:noProof w:val="0"/>
        </w:rPr>
        <w:lastRenderedPageBreak/>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2 – stk. 1 – nr. 2</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2.</w:t>
            </w:r>
            <w:r w:rsidRPr="00880B0F">
              <w:tab/>
            </w:r>
            <w:r w:rsidRPr="00880B0F">
              <w:t>"forurenende stoffer": stoffer, der er genstand for regulering ved bilag I (olie), II (skadelige flydende stoffer i bulk), III (skadelige stoffer, der transporteres ad søvejen i emballeret form), IV (spildevand fra skibe) og V (affald fra skibe) til Marpol</w:t>
            </w:r>
            <w:r w:rsidRPr="00880B0F">
              <w:t xml:space="preserve"> 73/78 samt restprodukter fra rensningssystemer til udstødningsgasser</w:t>
            </w:r>
          </w:p>
        </w:tc>
        <w:tc>
          <w:tcPr>
            <w:tcW w:w="4876" w:type="dxa"/>
          </w:tcPr>
          <w:p w:rsidR="001303FC" w:rsidRPr="00880B0F" w:rsidRDefault="00880B0F" w:rsidP="004F0A9F">
            <w:pPr>
              <w:pStyle w:val="Normal6a"/>
            </w:pPr>
            <w:r w:rsidRPr="00880B0F">
              <w:t>2.</w:t>
            </w:r>
            <w:r w:rsidRPr="00880B0F">
              <w:tab/>
              <w:t>"forurenende stoffer": stoffer, der er genstand for regulering ved bilag I (olie), II (skadelige flydende stoffer i bulk), III (skadelige stoffer, der transporteres ad søvejen i embal</w:t>
            </w:r>
            <w:r w:rsidRPr="00880B0F">
              <w:t>leret form), IV (spildevand fra skibe) og V (affald fra skibe) til Marpol 73/78 samt restprodukter fra rensningssystemer til udstødningsgasser</w:t>
            </w:r>
            <w:r w:rsidRPr="00880B0F">
              <w:rPr>
                <w:b/>
                <w:i/>
              </w:rPr>
              <w:t xml:space="preserve"> i den gældende affattelse</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t>&lt;Amend&gt;</w:t>
      </w:r>
      <w:r w:rsidRPr="00880B0F">
        <w:t>Ændringsforslag</w:t>
      </w:r>
      <w:r w:rsidRPr="00880B0F">
        <w:tab/>
      </w:r>
      <w:r w:rsidRPr="00880B0F">
        <w:tab/>
      </w:r>
      <w:r w:rsidRPr="00880B0F">
        <w:rPr>
          <w:rStyle w:val="HideTWBExt"/>
          <w:b w:val="0"/>
          <w:noProof w:val="0"/>
        </w:rPr>
        <w:t>&lt;NumAm&gt;</w:t>
      </w:r>
      <w:r w:rsidRPr="00880B0F">
        <w:t>19</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3</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2 – stk. 1 – nr. 6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6a.</w:t>
            </w:r>
            <w:r w:rsidRPr="00880B0F">
              <w:rPr>
                <w:b/>
                <w:i/>
              </w:rPr>
              <w:tab/>
              <w:t xml:space="preserve">"skade": utilsigtet fysisk skade, der forringer </w:t>
            </w:r>
            <w:r w:rsidRPr="00880B0F">
              <w:rPr>
                <w:b/>
                <w:i/>
              </w:rPr>
              <w:t>skibets eller dets udstyrs værdi, nytte eller normale funktion og ikke omfatter almindeligt slid.</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20</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4</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w:t>
      </w:r>
      <w:r w:rsidRPr="00880B0F">
        <w:t>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4 – stk. 2</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2.</w:t>
            </w:r>
            <w:r w:rsidRPr="00880B0F">
              <w:tab/>
              <w:t xml:space="preserve">Hver medlemsstat træffer </w:t>
            </w:r>
            <w:r w:rsidRPr="00880B0F">
              <w:rPr>
                <w:b/>
                <w:i/>
              </w:rPr>
              <w:t>de</w:t>
            </w:r>
            <w:r w:rsidRPr="00880B0F">
              <w:t xml:space="preserve"> nødvendige foranstaltninger for at sikre, at enhver fysisk eller juridisk person, der har begået en overtrædelse som omhandlet i stk. 1, gøres ansvarlig herfor.</w:t>
            </w:r>
            <w:r w:rsidRPr="00880B0F">
              <w:rPr>
                <w:b/>
                <w:i/>
              </w:rPr>
              <w:t>"</w:t>
            </w:r>
          </w:p>
        </w:tc>
        <w:tc>
          <w:tcPr>
            <w:tcW w:w="4876" w:type="dxa"/>
          </w:tcPr>
          <w:p w:rsidR="001303FC" w:rsidRPr="00880B0F" w:rsidRDefault="00880B0F" w:rsidP="004F0A9F">
            <w:pPr>
              <w:pStyle w:val="Normal6a"/>
            </w:pPr>
            <w:r w:rsidRPr="00880B0F">
              <w:t>2.</w:t>
            </w:r>
            <w:r w:rsidRPr="00880B0F">
              <w:tab/>
              <w:t xml:space="preserve">Hver medlemsstat træffer </w:t>
            </w:r>
            <w:r w:rsidRPr="00880B0F">
              <w:rPr>
                <w:b/>
                <w:i/>
              </w:rPr>
              <w:t>alle</w:t>
            </w:r>
            <w:r w:rsidRPr="00880B0F">
              <w:t xml:space="preserve"> nødvendige foranstaltninger for at sikre, at enhver fysisk e</w:t>
            </w:r>
            <w:r w:rsidRPr="00880B0F">
              <w:t>ller juridisk person, der har begået en overtrædelse som omhandlet i stk. 1, gøres ansvarlig herfor.</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21</w:t>
      </w:r>
      <w:r w:rsidRPr="00880B0F">
        <w:rPr>
          <w:rStyle w:val="HideTWBExt"/>
          <w:noProof w:val="0"/>
        </w:rPr>
        <w:t>&lt;/NumAm&gt;</w:t>
      </w:r>
    </w:p>
    <w:p w:rsidR="001303FC" w:rsidRPr="00880B0F" w:rsidRDefault="00880B0F" w:rsidP="001303FC">
      <w:pPr>
        <w:pStyle w:val="NormalBold12b"/>
      </w:pPr>
      <w:r w:rsidRPr="00880B0F">
        <w:rPr>
          <w:rStyle w:val="HideTWBExt"/>
          <w:noProof w:val="0"/>
        </w:rPr>
        <w:lastRenderedPageBreak/>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5 – stk. 1 – indledning</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w:t>
            </w:r>
            <w:r w:rsidRPr="00880B0F">
              <w:tab/>
              <w:t>En udtømning af forurenende stoffer, der er omfattet af bilag I, II og VI til Marpol 73/78 i de områder, der er nævnt i artikel</w:t>
            </w:r>
            <w:r w:rsidRPr="00880B0F">
              <w:t xml:space="preserve"> 3, stk. 1, litra c), d) og e), betragtes ikke som en overtrædelse fra rederiets, førerens eller besætningens side, hvis </w:t>
            </w:r>
            <w:r w:rsidRPr="00880B0F">
              <w:rPr>
                <w:b/>
                <w:i/>
              </w:rPr>
              <w:t>begge de</w:t>
            </w:r>
            <w:r w:rsidRPr="00880B0F">
              <w:t xml:space="preserve"> følgende</w:t>
            </w:r>
            <w:r w:rsidRPr="00880B0F">
              <w:rPr>
                <w:b/>
                <w:i/>
              </w:rPr>
              <w:t xml:space="preserve"> to</w:t>
            </w:r>
            <w:r w:rsidRPr="00880B0F">
              <w:t xml:space="preserve"> betingelser er opfyldt:</w:t>
            </w:r>
          </w:p>
        </w:tc>
        <w:tc>
          <w:tcPr>
            <w:tcW w:w="4876" w:type="dxa"/>
          </w:tcPr>
          <w:p w:rsidR="001303FC" w:rsidRPr="00880B0F" w:rsidRDefault="00880B0F" w:rsidP="004F0A9F">
            <w:pPr>
              <w:pStyle w:val="Normal6a"/>
            </w:pPr>
            <w:r w:rsidRPr="00880B0F">
              <w:t>1.</w:t>
            </w:r>
            <w:r w:rsidRPr="00880B0F">
              <w:tab/>
              <w:t>En udtømning af forurenende stoffer, der er omfattet af bilag I, II og VI til Marpol 73</w:t>
            </w:r>
            <w:r w:rsidRPr="00880B0F">
              <w:t xml:space="preserve">/78 i de områder, der er nævnt i artikel 3, stk. 1, litra c), d) og e), betragtes ikke som en overtrædelse fra rederiets, førerens eller besætningens side, hvis </w:t>
            </w:r>
            <w:r w:rsidRPr="00880B0F">
              <w:rPr>
                <w:b/>
                <w:i/>
              </w:rPr>
              <w:t>det er et direkte resultat af force majeure;</w:t>
            </w:r>
            <w:r w:rsidRPr="00880B0F">
              <w:t xml:space="preserve"> </w:t>
            </w:r>
            <w:r w:rsidRPr="00880B0F">
              <w:rPr>
                <w:b/>
                <w:i/>
              </w:rPr>
              <w:t>dette gælder dog kun, hvis der fremlægges overbevi</w:t>
            </w:r>
            <w:r w:rsidRPr="00880B0F">
              <w:rPr>
                <w:b/>
                <w:i/>
              </w:rPr>
              <w:t>sende dokumentation herfor,</w:t>
            </w:r>
            <w:r w:rsidRPr="00880B0F">
              <w:t xml:space="preserve"> </w:t>
            </w:r>
            <w:r w:rsidRPr="00880B0F">
              <w:rPr>
                <w:b/>
                <w:i/>
              </w:rPr>
              <w:t>eller hvis samtlige</w:t>
            </w:r>
            <w:r w:rsidRPr="00880B0F">
              <w:t xml:space="preserve"> følgende betingelser er opfyldt:</w:t>
            </w:r>
          </w:p>
        </w:tc>
      </w:tr>
    </w:tbl>
    <w:p w:rsidR="001303FC" w:rsidRPr="00880B0F" w:rsidRDefault="00880B0F" w:rsidP="001303FC">
      <w:pPr>
        <w:pStyle w:val="AmJustTitle"/>
      </w:pPr>
      <w:r w:rsidRPr="00880B0F">
        <w:rPr>
          <w:rStyle w:val="HideTWBExt"/>
          <w:noProof w:val="0"/>
        </w:rPr>
        <w:t>&lt;TitreJust&gt;</w:t>
      </w:r>
      <w:r w:rsidRPr="00880B0F">
        <w:t>Begrundelse</w:t>
      </w:r>
      <w:r w:rsidRPr="00880B0F">
        <w:rPr>
          <w:rStyle w:val="HideTWBExt"/>
          <w:noProof w:val="0"/>
        </w:rPr>
        <w:t>&lt;/TitreJust&gt;</w:t>
      </w:r>
    </w:p>
    <w:p w:rsidR="001303FC" w:rsidRPr="00880B0F" w:rsidRDefault="00880B0F" w:rsidP="001303FC">
      <w:pPr>
        <w:pStyle w:val="AmJustText"/>
      </w:pPr>
      <w:r w:rsidRPr="00880B0F">
        <w:t xml:space="preserve">Eksempelvis: Uforudsete navigationsulykker, kollisioner med andre fartøjer eller ulykker, der skyldes forhindringer under havoverfladen </w:t>
      </w:r>
      <w:r w:rsidRPr="00880B0F">
        <w:t>såsom nedsænkede containere eller brokker, der forårsager skader på et skibs udstyr og resulterer i uforsætlige udtømninger af forurenende stoffer. I sådanne tilfælde kan skibets rederi, fører eller besætning fritages for ansvar, hvis de kan påvise, at de,</w:t>
      </w:r>
      <w:r w:rsidRPr="00880B0F">
        <w:t> efter ulykken indtraf, har truffet alle rimelige forholdsregler for at undgå udtømningen eller begrænse den mest muligt.</w:t>
      </w:r>
    </w:p>
    <w:p w:rsidR="001303FC" w:rsidRPr="00880B0F" w:rsidRDefault="00880B0F" w:rsidP="001303FC">
      <w:pPr>
        <w:pStyle w:val="AmJustText"/>
      </w:pPr>
      <w:r w:rsidRPr="00880B0F">
        <w:t>Ekstreme og uventede vejrforhold, krise- eller nødberedskab etc.</w:t>
      </w:r>
    </w:p>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22</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 xml:space="preserve">Forslag </w:t>
      </w:r>
      <w:r w:rsidRPr="00880B0F">
        <w:t>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5 – stk. 1 – litra b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ba)</w:t>
            </w:r>
            <w:r w:rsidRPr="00880B0F">
              <w:tab/>
            </w:r>
            <w:r w:rsidRPr="00880B0F">
              <w:rPr>
                <w:b/>
                <w:i/>
              </w:rPr>
              <w:t>udtømningen blev straks indberettet til</w:t>
            </w:r>
            <w:r w:rsidRPr="00880B0F">
              <w:rPr>
                <w:b/>
                <w:i/>
              </w:rPr>
              <w:t xml:space="preserve"> myndighederne, efter at den fandt sted</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lastRenderedPageBreak/>
        <w:t>&lt;Amend&gt;</w:t>
      </w:r>
      <w:r w:rsidRPr="00880B0F">
        <w:t>Ændringsforslag</w:t>
      </w:r>
      <w:r w:rsidRPr="00880B0F">
        <w:tab/>
      </w:r>
      <w:r w:rsidRPr="00880B0F">
        <w:tab/>
      </w:r>
      <w:r w:rsidRPr="00880B0F">
        <w:rPr>
          <w:rStyle w:val="HideTWBExt"/>
          <w:b w:val="0"/>
          <w:noProof w:val="0"/>
        </w:rPr>
        <w:t>&lt;NumAm&gt;</w:t>
      </w:r>
      <w:r w:rsidRPr="00880B0F">
        <w:t>23</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5</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 xml:space="preserve">Artikel 5 – stk. 1 – </w:t>
      </w:r>
      <w:r w:rsidRPr="00880B0F">
        <w:t>litra b b (ny)</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bb)</w:t>
            </w:r>
            <w:r w:rsidRPr="00880B0F">
              <w:rPr>
                <w:b/>
                <w:i/>
              </w:rPr>
              <w:tab/>
              <w:t xml:space="preserve">rederiet, skibsføreren eller besætningen fremlægger efter anmodning fra de relevante myndigheder dokumentation eller logfiler med nærmere oplysninger om de forholdsregler, der er </w:t>
            </w:r>
            <w:r w:rsidRPr="00880B0F">
              <w:rPr>
                <w:b/>
                <w:i/>
              </w:rPr>
              <w:t>truffet for at forhindre eller minimere udtømningen.</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24</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 xml:space="preserve">Artikel 5 </w:t>
      </w:r>
      <w:r w:rsidRPr="00880B0F">
        <w:t>– stk. 2</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2.</w:t>
            </w:r>
            <w:r w:rsidRPr="00880B0F">
              <w:tab/>
              <w:t xml:space="preserve">Stk. 1 finder ikke anvendelse, hvis rederiet, føreren eller besætningen, der er ansvarlig for skaden, har forårsaget skaden enten forsætligt eller ved grov fejl eller forsømmelse og med viden </w:t>
            </w:r>
            <w:r w:rsidRPr="00880B0F">
              <w:t>om, at der var fare for skade.</w:t>
            </w:r>
          </w:p>
        </w:tc>
        <w:tc>
          <w:tcPr>
            <w:tcW w:w="4876" w:type="dxa"/>
          </w:tcPr>
          <w:p w:rsidR="001303FC" w:rsidRPr="00880B0F" w:rsidRDefault="00880B0F" w:rsidP="004F0A9F">
            <w:pPr>
              <w:pStyle w:val="Normal6a"/>
            </w:pPr>
            <w:r w:rsidRPr="00880B0F">
              <w:t>2.</w:t>
            </w:r>
            <w:r w:rsidRPr="00880B0F">
              <w:tab/>
              <w:t>Stk. 1 finder ikke anvendelse, hvis rederiet, føreren eller besætningen, der er ansvarlig for skaden, har forårsaget skaden enten forsætligt</w:t>
            </w:r>
            <w:r w:rsidRPr="00880B0F">
              <w:rPr>
                <w:b/>
                <w:i/>
              </w:rPr>
              <w:t>, uagtsomt</w:t>
            </w:r>
            <w:r w:rsidRPr="00880B0F">
              <w:t xml:space="preserve"> eller ved grov fejl eller forsømmelse og med viden om, at der var fare </w:t>
            </w:r>
            <w:r w:rsidRPr="00880B0F">
              <w:t>for skade.</w:t>
            </w:r>
            <w:r w:rsidRPr="00880B0F">
              <w:rPr>
                <w:b/>
                <w:i/>
              </w:rPr>
              <w:t>"</w:t>
            </w:r>
            <w:r w:rsidRPr="00880B0F">
              <w:t xml:space="preserve"> </w:t>
            </w:r>
            <w:r w:rsidRPr="00880B0F">
              <w:rPr>
                <w:b/>
                <w:i/>
              </w:rPr>
              <w:t>Den finder heller ikke anvendelse, når sikkerhedsregler og god praksis tilsidesættes, og navnlig når advarsler ignoreres, hvis det kan påvises, at risiciene er blevet taget i fuld bevidsthed om faren.</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t>&lt;Amend&gt;</w:t>
      </w:r>
      <w:r w:rsidRPr="00880B0F">
        <w:t>Ændringsforslag</w:t>
      </w:r>
      <w:r w:rsidRPr="00880B0F">
        <w:tab/>
      </w:r>
      <w:r w:rsidRPr="00880B0F">
        <w:tab/>
      </w:r>
      <w:r w:rsidRPr="00880B0F">
        <w:rPr>
          <w:rStyle w:val="HideTWBExt"/>
          <w:b w:val="0"/>
          <w:noProof w:val="0"/>
        </w:rPr>
        <w:t>&lt;NumAm&gt;</w:t>
      </w:r>
      <w:r w:rsidRPr="00880B0F">
        <w:t>25</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9</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 – stk. 3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3a.</w:t>
            </w:r>
            <w:r w:rsidRPr="00880B0F">
              <w:rPr>
                <w:b/>
                <w:i/>
              </w:rPr>
              <w:tab/>
              <w:t xml:space="preserve">Medlemsstaterne </w:t>
            </w:r>
            <w:r w:rsidRPr="00880B0F">
              <w:rPr>
                <w:b/>
                <w:i/>
              </w:rPr>
              <w:t>opfordres til at medtage uddannelses- og efteruddannelsesprogrammer som en del af sanktionssystemet, så det sikres, at erhvervsdrivende i fiskerisektoren, skibsførere og besætninger informeres om bedste praksis og betydningen af overholdelse.</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w:t>
      </w:r>
      <w:r w:rsidRPr="00880B0F">
        <w:rPr>
          <w:rStyle w:val="HideTWBExt"/>
          <w:noProof w:val="0"/>
        </w:rPr>
        <w:t>end&gt;</w:t>
      </w:r>
      <w:r w:rsidRPr="00880B0F">
        <w:t>Ændringsforslag</w:t>
      </w:r>
      <w:r w:rsidRPr="00880B0F">
        <w:tab/>
      </w:r>
      <w:r w:rsidRPr="00880B0F">
        <w:tab/>
      </w:r>
      <w:r w:rsidRPr="00880B0F">
        <w:rPr>
          <w:rStyle w:val="HideTWBExt"/>
          <w:noProof w:val="0"/>
        </w:rPr>
        <w:t>&lt;NumAm&gt;</w:t>
      </w:r>
      <w:r w:rsidRPr="00880B0F">
        <w:t>26</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13</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8d – stk. 1 – litra a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aa)</w:t>
            </w:r>
            <w:r w:rsidRPr="00880B0F">
              <w:tab/>
            </w:r>
            <w:r w:rsidRPr="00880B0F">
              <w:rPr>
                <w:b/>
                <w:i/>
              </w:rPr>
              <w:t>indholdet og mængden af udtømt affald som skærpende faktorer</w:t>
            </w:r>
          </w:p>
        </w:tc>
      </w:tr>
    </w:tbl>
    <w:p w:rsidR="001303FC" w:rsidRPr="00880B0F" w:rsidRDefault="00880B0F" w:rsidP="001303FC">
      <w:pPr>
        <w:pStyle w:val="AmJustTitle"/>
      </w:pPr>
      <w:r w:rsidRPr="00880B0F">
        <w:rPr>
          <w:rStyle w:val="HideTWBExt"/>
          <w:noProof w:val="0"/>
        </w:rPr>
        <w:t>&lt;TitreJust&gt;</w:t>
      </w:r>
      <w:r w:rsidRPr="00880B0F">
        <w:t>Begrundelse</w:t>
      </w:r>
      <w:r w:rsidRPr="00880B0F">
        <w:rPr>
          <w:rStyle w:val="HideTWBExt"/>
          <w:noProof w:val="0"/>
        </w:rPr>
        <w:t>&lt;/TitreJust&gt;</w:t>
      </w:r>
    </w:p>
    <w:p w:rsidR="001303FC" w:rsidRPr="00880B0F" w:rsidRDefault="00880B0F" w:rsidP="001303FC">
      <w:pPr>
        <w:pStyle w:val="AmJustText"/>
      </w:pPr>
      <w:r w:rsidRPr="00880B0F">
        <w:t>Medlemsstaterne tilskyndes til at skræddersy sanktionerne til det specifikke indhold af det affald, der udtømmes, og til at skelne mellem</w:t>
      </w:r>
      <w:r w:rsidRPr="00880B0F">
        <w:t xml:space="preserve"> forskellige typer affald med henblik på at pålægge højere sanktioner for ulovlig udtømning af materialer, der udgør en forhøjet miljørisiko.</w:t>
      </w:r>
    </w:p>
    <w:p w:rsidR="001303FC" w:rsidRPr="00880B0F" w:rsidRDefault="00880B0F" w:rsidP="001303FC">
      <w:pPr>
        <w:pStyle w:val="AmJustText"/>
      </w:pPr>
      <w:r w:rsidRPr="00880B0F">
        <w:t>Medlemsstaterne bør fastsætte sanktionskategorier på grundlag af omfanget eller mængden af udtømt affald. For mind</w:t>
      </w:r>
      <w:r w:rsidRPr="00880B0F">
        <w:t>re udtømninger kan sanktionerne være lempeligere, mens større eller mere omfattende udtømninger udløser højere bøder.</w:t>
      </w:r>
    </w:p>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27</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13</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 d – stk. 1 – litra a b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ab)</w:t>
            </w:r>
            <w:r w:rsidRPr="00880B0F">
              <w:tab/>
            </w:r>
            <w:r w:rsidRPr="00880B0F">
              <w:rPr>
                <w:b/>
                <w:i/>
              </w:rPr>
              <w:t>skibsstørrelseskategorier</w:t>
            </w:r>
          </w:p>
        </w:tc>
      </w:tr>
    </w:tbl>
    <w:p w:rsidR="001303FC" w:rsidRPr="00880B0F" w:rsidRDefault="00880B0F" w:rsidP="001303FC">
      <w:pPr>
        <w:pStyle w:val="AmJustTitle"/>
      </w:pPr>
      <w:r w:rsidRPr="00880B0F">
        <w:rPr>
          <w:rStyle w:val="HideTWBExt"/>
          <w:noProof w:val="0"/>
        </w:rPr>
        <w:lastRenderedPageBreak/>
        <w:t>&lt;TitreJust&gt;</w:t>
      </w:r>
      <w:r w:rsidRPr="00880B0F">
        <w:t>Begrundelse</w:t>
      </w:r>
      <w:r w:rsidRPr="00880B0F">
        <w:rPr>
          <w:rStyle w:val="HideTWBExt"/>
          <w:noProof w:val="0"/>
        </w:rPr>
        <w:t>&lt;/TitreJust&gt;</w:t>
      </w:r>
    </w:p>
    <w:p w:rsidR="001303FC" w:rsidRPr="00880B0F" w:rsidRDefault="00880B0F" w:rsidP="001303FC">
      <w:pPr>
        <w:pStyle w:val="AmJustText"/>
      </w:pPr>
      <w:r w:rsidRPr="00880B0F">
        <w:t xml:space="preserve">Medlemsstaterne tilskyndes til at </w:t>
      </w:r>
      <w:r w:rsidRPr="00880B0F">
        <w:t>indføre en trinvis sanktionsstruktur, hvor bøderne eller sanktionerne øges i forhold til fartøjets størrelse. Større skibe kan blive pålagt større bøder end mindre skibe for de samme overtrædelser.</w:t>
      </w:r>
    </w:p>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28</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w:t>
      </w:r>
      <w:r w:rsidRPr="00880B0F">
        <w:rPr>
          <w:rStyle w:val="HideTWBExt"/>
          <w:noProof w:val="0"/>
        </w:rPr>
        <w:t>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13</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8d – stk. 1 – litra c</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(c)</w:t>
            </w:r>
            <w:r w:rsidRPr="00880B0F">
              <w:tab/>
              <w:t>den skade, udtømningen har forvoldt</w:t>
            </w:r>
            <w:r w:rsidRPr="00880B0F">
              <w:t xml:space="preserve"> på miljøet eller menneskers sundhed</w:t>
            </w:r>
          </w:p>
        </w:tc>
        <w:tc>
          <w:tcPr>
            <w:tcW w:w="4876" w:type="dxa"/>
          </w:tcPr>
          <w:p w:rsidR="001303FC" w:rsidRPr="00880B0F" w:rsidRDefault="00880B0F" w:rsidP="004F0A9F">
            <w:pPr>
              <w:pStyle w:val="Normal6a"/>
            </w:pPr>
            <w:r w:rsidRPr="00880B0F">
              <w:t>c)</w:t>
            </w:r>
            <w:r w:rsidRPr="00880B0F">
              <w:tab/>
              <w:t>den skade, udtømningen har forvoldt på miljøet eller menneskers sundhed, miljøkonsekvensvurderingen og udgifterne til miljøgenopretning</w:t>
            </w:r>
          </w:p>
        </w:tc>
      </w:tr>
    </w:tbl>
    <w:p w:rsidR="001303FC" w:rsidRPr="00880B0F" w:rsidRDefault="00880B0F" w:rsidP="001303FC">
      <w:pPr>
        <w:pStyle w:val="AmJustTitle"/>
      </w:pPr>
      <w:r w:rsidRPr="00880B0F">
        <w:rPr>
          <w:rStyle w:val="HideTWBExt"/>
          <w:noProof w:val="0"/>
        </w:rPr>
        <w:t>&lt;TitreJust&gt;</w:t>
      </w:r>
      <w:r w:rsidRPr="00880B0F">
        <w:t>Begrundelse</w:t>
      </w:r>
      <w:r w:rsidRPr="00880B0F">
        <w:rPr>
          <w:rStyle w:val="HideTWBExt"/>
          <w:noProof w:val="0"/>
        </w:rPr>
        <w:t>&lt;/TitreJust&gt;</w:t>
      </w:r>
    </w:p>
    <w:p w:rsidR="001303FC" w:rsidRPr="00880B0F" w:rsidRDefault="00880B0F" w:rsidP="001303FC">
      <w:pPr>
        <w:pStyle w:val="AmJustText"/>
      </w:pPr>
      <w:r w:rsidRPr="00880B0F">
        <w:t>Medlemsstaterne tilskyndes til at foretage e</w:t>
      </w:r>
      <w:r w:rsidRPr="00880B0F">
        <w:t>n vurdering af den miljømæssige påvirkning, hvor faktorer såsom følsomheden af lokale økosystemer, den potentielle skade på vilde dyr og planter samt skader på kystområder tages i betragtning, og ved hjælp heraf afpasse sanktionerne efter, hvor alvorlig mi</w:t>
      </w:r>
      <w:r w:rsidRPr="00880B0F">
        <w:t>ljøpåvirkningen er, med et fokus på afbødning og på at genoprette påvirkede økosystemer.</w:t>
      </w:r>
    </w:p>
    <w:p w:rsidR="001303FC" w:rsidRPr="00880B0F" w:rsidRDefault="00880B0F" w:rsidP="001303FC">
      <w:pPr>
        <w:pStyle w:val="AmJustText"/>
      </w:pPr>
      <w:r w:rsidRPr="00880B0F">
        <w:t>Sanktionerne bør dække de udgifter, der er nødvendige for at råde bod på de miljøskader, som den ulovlige udtømning har medført, for at sikre, at det økonomiske ansvar</w:t>
      </w:r>
      <w:r w:rsidRPr="00880B0F">
        <w:t xml:space="preserve"> for oprydning og genopretning bæres af forurenerne.</w:t>
      </w:r>
    </w:p>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29</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13</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8d</w:t>
      </w:r>
      <w:r w:rsidRPr="00880B0F">
        <w:t xml:space="preserve"> – stk. 1 – litra f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fa)</w:t>
            </w:r>
            <w:r w:rsidRPr="00880B0F">
              <w:tab/>
            </w:r>
            <w:r w:rsidRPr="00880B0F">
              <w:rPr>
                <w:b/>
                <w:i/>
              </w:rPr>
              <w:t xml:space="preserve">foranstaltninger truffet af den ansvarlige person eller virksomhed med henblik på at underrette de kompetente myndigheder eller ledelsen, hvis der er tale om en </w:t>
            </w:r>
            <w:r w:rsidRPr="00880B0F">
              <w:rPr>
                <w:b/>
                <w:i/>
              </w:rPr>
              <w:t>medarbejder i en virksomhed</w:t>
            </w:r>
          </w:p>
        </w:tc>
      </w:tr>
    </w:tbl>
    <w:p w:rsidR="001303FC" w:rsidRPr="00880B0F" w:rsidRDefault="00880B0F" w:rsidP="001303FC">
      <w:pPr>
        <w:pStyle w:val="AmJustTitle"/>
      </w:pPr>
      <w:r w:rsidRPr="00880B0F">
        <w:rPr>
          <w:rStyle w:val="HideTWBExt"/>
          <w:noProof w:val="0"/>
        </w:rPr>
        <w:lastRenderedPageBreak/>
        <w:t>&lt;TitreJust&gt;</w:t>
      </w:r>
      <w:r w:rsidRPr="00880B0F">
        <w:t>Begrundelse</w:t>
      </w:r>
      <w:r w:rsidRPr="00880B0F">
        <w:rPr>
          <w:rStyle w:val="HideTWBExt"/>
          <w:noProof w:val="0"/>
        </w:rPr>
        <w:t>&lt;/TitreJust&gt;</w:t>
      </w:r>
    </w:p>
    <w:p w:rsidR="001303FC" w:rsidRPr="00880B0F" w:rsidRDefault="00880B0F" w:rsidP="001303FC">
      <w:pPr>
        <w:pStyle w:val="AmJustText"/>
      </w:pPr>
      <w:r w:rsidRPr="00880B0F">
        <w:t xml:space="preserve">Medlemsstaterne kan overveje nedsatte sanktioner for personer, der underretter myndighederne eller, hvis de er medarbejdere, deres overordnede, om overtrædelser for at skabe balance mellem </w:t>
      </w:r>
      <w:r w:rsidRPr="00880B0F">
        <w:t>ansvarlighed og samarbejde og samtidig fremme miljøansvar. Det kan tilskynde til ærlighed, effektiv ressourcetildeling og hurtige afhjælpende tiltag, samtidig med at der sikres retfærdighed og lighed i behandlingen af miljøovertrædelser.</w:t>
      </w:r>
    </w:p>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w:t>
      </w:r>
      <w:r w:rsidRPr="00880B0F">
        <w:t>dringsforslag</w:t>
      </w:r>
      <w:r w:rsidRPr="00880B0F">
        <w:tab/>
      </w:r>
      <w:r w:rsidRPr="00880B0F">
        <w:tab/>
      </w:r>
      <w:r w:rsidRPr="00880B0F">
        <w:rPr>
          <w:rStyle w:val="HideTWBExt"/>
          <w:noProof w:val="0"/>
        </w:rPr>
        <w:t>&lt;NumAm&gt;</w:t>
      </w:r>
      <w:r w:rsidRPr="00880B0F">
        <w:t>30</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13</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8d – stk. 1 – litra h</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(h)</w:t>
            </w:r>
            <w:r w:rsidRPr="00880B0F">
              <w:tab/>
              <w:t>eventuelle tidligere overtrædelser begået af den ansvarlige person.</w:t>
            </w:r>
          </w:p>
        </w:tc>
        <w:tc>
          <w:tcPr>
            <w:tcW w:w="4876" w:type="dxa"/>
          </w:tcPr>
          <w:p w:rsidR="001303FC" w:rsidRPr="00880B0F" w:rsidRDefault="00880B0F" w:rsidP="004F0A9F">
            <w:pPr>
              <w:pStyle w:val="Normal6a"/>
            </w:pPr>
            <w:r w:rsidRPr="00880B0F">
              <w:rPr>
                <w:b/>
                <w:i/>
              </w:rPr>
              <w:t>h)</w:t>
            </w:r>
            <w:r w:rsidRPr="00880B0F">
              <w:tab/>
            </w:r>
            <w:r w:rsidRPr="00880B0F">
              <w:rPr>
                <w:b/>
                <w:i/>
              </w:rPr>
              <w:t>antal og omfang af </w:t>
            </w:r>
            <w:r w:rsidRPr="00880B0F">
              <w:t>eventuelle tidligere overtrædelser begået af den ansvarlige person.</w:t>
            </w:r>
          </w:p>
        </w:tc>
      </w:tr>
    </w:tbl>
    <w:p w:rsidR="001303FC" w:rsidRPr="00880B0F" w:rsidRDefault="00880B0F" w:rsidP="001303FC">
      <w:pPr>
        <w:pStyle w:val="AmJustTitle"/>
      </w:pPr>
      <w:r w:rsidRPr="00880B0F">
        <w:rPr>
          <w:rStyle w:val="HideTWBExt"/>
          <w:noProof w:val="0"/>
        </w:rPr>
        <w:t>&lt;TitreJust&gt;</w:t>
      </w:r>
      <w:r w:rsidRPr="00880B0F">
        <w:t>Begrundelse</w:t>
      </w:r>
      <w:r w:rsidRPr="00880B0F">
        <w:rPr>
          <w:rStyle w:val="HideTWBExt"/>
          <w:noProof w:val="0"/>
        </w:rPr>
        <w:t>&lt;/TitreJust&gt;</w:t>
      </w:r>
    </w:p>
    <w:p w:rsidR="001303FC" w:rsidRPr="00880B0F" w:rsidRDefault="00880B0F" w:rsidP="001303FC">
      <w:pPr>
        <w:pStyle w:val="AmJustText"/>
      </w:pPr>
      <w:r w:rsidRPr="00880B0F">
        <w:t xml:space="preserve">Medlemsstaterne opfordres til at indføre et system, der </w:t>
      </w:r>
      <w:r w:rsidRPr="00880B0F">
        <w:t>øger sanktionerne ved gentagne overtrædelser. For eksempel kunne sanktionen ganges op for hver efterfølgende overtrædelse begået af samme skib. Det er nødvendigt at fastsætte klare tærskler for antallet af gentagne overtrædelser og præcisere den multiplika</w:t>
      </w:r>
      <w:r w:rsidRPr="00880B0F">
        <w:t>tor, der skal anvendes i hvert enkelt tilfælde. Medlemsstaterne bør overveje at øge sanktionerne eksponentielt for vaneovertrædere for at skabe et stærkt afskrækkende middel mod vedvarende overtrædelser.</w:t>
      </w:r>
    </w:p>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t>&lt;Amend&gt;</w:t>
      </w:r>
      <w:r w:rsidRPr="00880B0F">
        <w:t>Ændringsforslag</w:t>
      </w:r>
      <w:r w:rsidRPr="00880B0F">
        <w:tab/>
      </w:r>
      <w:r w:rsidRPr="00880B0F">
        <w:tab/>
      </w:r>
      <w:r w:rsidRPr="00880B0F">
        <w:rPr>
          <w:rStyle w:val="HideTWBExt"/>
          <w:b w:val="0"/>
          <w:noProof w:val="0"/>
        </w:rPr>
        <w:t>&lt;NumAm&gt;</w:t>
      </w:r>
      <w:r w:rsidRPr="00880B0F">
        <w:t>31</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w:t>
      </w:r>
      <w:r w:rsidRPr="00880B0F">
        <w:rPr>
          <w:rStyle w:val="HideTWBExt"/>
          <w:b w:val="0"/>
          <w:noProof w:val="0"/>
        </w:rPr>
        <w: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13</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8d – stk. 1 – litra h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ha)</w:t>
            </w:r>
            <w:r w:rsidRPr="00880B0F">
              <w:rPr>
                <w:b/>
                <w:i/>
              </w:rPr>
              <w:tab/>
              <w:t xml:space="preserve">omfanget af de </w:t>
            </w:r>
            <w:r w:rsidRPr="00880B0F">
              <w:rPr>
                <w:b/>
                <w:i/>
              </w:rPr>
              <w:t>skader, som udtømningen har forårsaget på livet i havet, herunder fiskebestandene, og dens efterfølgende indvirkning på fiskeriaktiviteter og kystsamfund</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lastRenderedPageBreak/>
        <w:t>&lt;Amend&gt;</w:t>
      </w:r>
      <w:r w:rsidRPr="00880B0F">
        <w:t>Ændringsforslag</w:t>
      </w:r>
      <w:r w:rsidRPr="00880B0F">
        <w:tab/>
      </w:r>
      <w:r w:rsidRPr="00880B0F">
        <w:tab/>
      </w:r>
      <w:r w:rsidRPr="00880B0F">
        <w:rPr>
          <w:rStyle w:val="HideTWBExt"/>
          <w:b w:val="0"/>
          <w:noProof w:val="0"/>
        </w:rPr>
        <w:t>&lt;NumAm&gt;</w:t>
      </w:r>
      <w:r w:rsidRPr="00880B0F">
        <w:t>32</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13</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8d – stk. 1 – litra h b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hb)</w:t>
            </w:r>
            <w:r w:rsidRPr="00880B0F">
              <w:rPr>
                <w:b/>
                <w:i/>
              </w:rPr>
              <w:tab/>
              <w:t>i områder med betydelig fiskeriaktivitet opfordres medlemssta</w:t>
            </w:r>
            <w:r w:rsidRPr="00880B0F">
              <w:rPr>
                <w:b/>
                <w:i/>
              </w:rPr>
              <w:t>terne til at håndhæve styrkede overvågningsmekanismer og overveje strengere og afskrækkende sanktioner for at forebygge overtrædelser.</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33</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w:t>
      </w:r>
      <w:r w:rsidRPr="00880B0F">
        <w:t xml:space="preserve"> – nr. 13</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8d – stk. 1a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1a.</w:t>
            </w:r>
            <w:r w:rsidRPr="00880B0F">
              <w:tab/>
            </w:r>
            <w:r w:rsidRPr="00880B0F">
              <w:rPr>
                <w:b/>
                <w:i/>
              </w:rPr>
              <w:t xml:space="preserve">Når medlemsstaterne gennemfører forpligtelserne i stk. 1, skal de tage hensyn til forpligtelser i </w:t>
            </w:r>
            <w:r w:rsidRPr="00880B0F">
              <w:rPr>
                <w:b/>
                <w:i/>
              </w:rPr>
              <w:t>medfør af andre EU-retsakter såsom forordning (EF) nr. 1224/2009 om fiskerikontrol.</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t>&lt;Amend&gt;</w:t>
      </w:r>
      <w:r w:rsidRPr="00880B0F">
        <w:t>Ændringsforslag</w:t>
      </w:r>
      <w:r w:rsidRPr="00880B0F">
        <w:tab/>
      </w:r>
      <w:r w:rsidRPr="00880B0F">
        <w:tab/>
      </w:r>
      <w:r w:rsidRPr="00880B0F">
        <w:rPr>
          <w:rStyle w:val="HideTWBExt"/>
          <w:b w:val="0"/>
          <w:noProof w:val="0"/>
        </w:rPr>
        <w:t>&lt;NumAm&gt;</w:t>
      </w:r>
      <w:r w:rsidRPr="00880B0F">
        <w:t>34</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14</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 – stk. 1 – litra d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da)</w:t>
            </w:r>
            <w:r w:rsidRPr="00880B0F">
              <w:rPr>
                <w:b/>
                <w:i/>
              </w:rPr>
              <w:tab/>
              <w:t xml:space="preserve">sikre, at de nationale eller lokale myndigheder rettidigt og på en forståelig måde formidler relevante oplysninger, navnlig om områder, </w:t>
            </w:r>
            <w:r w:rsidRPr="00880B0F">
              <w:rPr>
                <w:b/>
                <w:i/>
              </w:rPr>
              <w:t>hvor der er sket hændelser med forurening fra skibe, til fiskersamfundene.</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lastRenderedPageBreak/>
        <w:t>&lt;Amend&gt;</w:t>
      </w:r>
      <w:r w:rsidRPr="00880B0F">
        <w:t>Ændringsforslag</w:t>
      </w:r>
      <w:r w:rsidRPr="00880B0F">
        <w:tab/>
      </w:r>
      <w:r w:rsidRPr="00880B0F">
        <w:tab/>
      </w:r>
      <w:r w:rsidRPr="00880B0F">
        <w:rPr>
          <w:rStyle w:val="HideTWBExt"/>
          <w:noProof w:val="0"/>
        </w:rPr>
        <w:t>&lt;NumAm&gt;</w:t>
      </w:r>
      <w:r w:rsidRPr="00880B0F">
        <w:t>35</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14</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 – stk. 1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1a.</w:t>
            </w:r>
            <w:r w:rsidRPr="00880B0F">
              <w:tab/>
            </w:r>
            <w:r w:rsidRPr="00880B0F">
              <w:rPr>
                <w:b/>
                <w:i/>
              </w:rPr>
              <w:t>Medlemsstaterne og Kommissionen skal samarbejde om at udveksle information om bedste praksis og foranstaltninger, der er truffet for at forebygge ha</w:t>
            </w:r>
            <w:r w:rsidRPr="00880B0F">
              <w:rPr>
                <w:b/>
                <w:i/>
              </w:rPr>
              <w:t>vaffald, herunder fiskeriaffald, om, hvordan mere miljøvenligt design kan anvendes til at reducere det mest almindeligt forekommende havaffald og dets indvirkning på miljøet, samt om gode tiltag, der er iværksat for at opsamle havaffald, der allerede befin</w:t>
            </w:r>
            <w:r w:rsidRPr="00880B0F">
              <w:rPr>
                <w:b/>
                <w:i/>
              </w:rPr>
              <w:t>der sig i havet.</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t>&lt;Amend&gt;</w:t>
      </w:r>
      <w:r w:rsidRPr="00880B0F">
        <w:t>Ændringsforslag</w:t>
      </w:r>
      <w:r w:rsidRPr="00880B0F">
        <w:tab/>
      </w:r>
      <w:r w:rsidRPr="00880B0F">
        <w:tab/>
      </w:r>
      <w:r w:rsidRPr="00880B0F">
        <w:rPr>
          <w:rStyle w:val="HideTWBExt"/>
          <w:b w:val="0"/>
          <w:noProof w:val="0"/>
        </w:rPr>
        <w:t>&lt;NumAm&gt;</w:t>
      </w:r>
      <w:r w:rsidRPr="00880B0F">
        <w:t>36</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14</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 – stk. 2</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hideMark/>
          </w:tcPr>
          <w:p w:rsidR="001303FC" w:rsidRPr="00880B0F" w:rsidRDefault="00880B0F" w:rsidP="004F0A9F">
            <w:pPr>
              <w:pStyle w:val="Normal6"/>
            </w:pPr>
            <w:r w:rsidRPr="00880B0F">
              <w:t>2.</w:t>
            </w:r>
            <w:r w:rsidRPr="00880B0F">
              <w:tab/>
              <w:t xml:space="preserve">Kommissionen sørger for tilrettelæggelsen af udvekslingen af erfaringer mellem medlemsstaternes nationale myndigheder og eksperter, herunder fra den private sektor, civilsamfundet og </w:t>
            </w:r>
            <w:r w:rsidRPr="00880B0F">
              <w:rPr>
                <w:b/>
                <w:i/>
              </w:rPr>
              <w:t>fagforeninger</w:t>
            </w:r>
            <w:r w:rsidRPr="00880B0F">
              <w:t xml:space="preserve">, om anvendelsen </w:t>
            </w:r>
            <w:r w:rsidRPr="00880B0F">
              <w:t>af dette direktiv i hele Unionen med henblik på at fastsætte en fælles praksis og fælles retningslinjer for håndhævelse af dette direktiv."</w:t>
            </w:r>
          </w:p>
        </w:tc>
        <w:tc>
          <w:tcPr>
            <w:tcW w:w="4876" w:type="dxa"/>
            <w:hideMark/>
          </w:tcPr>
          <w:p w:rsidR="001303FC" w:rsidRPr="00880B0F" w:rsidRDefault="00880B0F" w:rsidP="004F0A9F">
            <w:pPr>
              <w:pStyle w:val="Normal6"/>
              <w:rPr>
                <w:szCs w:val="24"/>
              </w:rPr>
            </w:pPr>
            <w:r w:rsidRPr="00880B0F">
              <w:t>2.</w:t>
            </w:r>
            <w:r w:rsidRPr="00880B0F">
              <w:tab/>
              <w:t>Kommissionen sørger for tilrettelæggelsen af udvekslingen af erfaringer mellem medlemsstaternes nationale myndigh</w:t>
            </w:r>
            <w:r w:rsidRPr="00880B0F">
              <w:t>eder og eksperter, herunder fra den private sektor, civilsamfundet</w:t>
            </w:r>
            <w:r w:rsidRPr="00880B0F">
              <w:rPr>
                <w:b/>
                <w:i/>
              </w:rPr>
              <w:t>, fagforeninger</w:t>
            </w:r>
            <w:r w:rsidRPr="00880B0F">
              <w:t xml:space="preserve"> og </w:t>
            </w:r>
            <w:r w:rsidRPr="00880B0F">
              <w:rPr>
                <w:b/>
                <w:i/>
              </w:rPr>
              <w:t>repræsentanter for fiskersamfund og fiskeriorganisationer</w:t>
            </w:r>
            <w:r w:rsidRPr="00880B0F">
              <w:t>, om anvendelsen af dette direktiv i hele Unionen med henblik på at fastsætte en fælles praksis og fælles retnings</w:t>
            </w:r>
            <w:r w:rsidRPr="00880B0F">
              <w:t>linjer for håndhævelse af dette direktiv."</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37</w:t>
      </w:r>
      <w:r w:rsidRPr="00880B0F">
        <w:rPr>
          <w:rStyle w:val="HideTWBExt"/>
          <w:noProof w:val="0"/>
        </w:rPr>
        <w:t>&lt;/NumAm&gt;</w:t>
      </w:r>
    </w:p>
    <w:p w:rsidR="001303FC" w:rsidRPr="00880B0F" w:rsidRDefault="00880B0F" w:rsidP="001303FC">
      <w:pPr>
        <w:pStyle w:val="NormalBold12b"/>
      </w:pPr>
      <w:r w:rsidRPr="00880B0F">
        <w:rPr>
          <w:rStyle w:val="HideTWBExt"/>
          <w:noProof w:val="0"/>
        </w:rPr>
        <w:lastRenderedPageBreak/>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 a – stk.</w:t>
      </w:r>
      <w:r w:rsidRPr="00880B0F">
        <w:t xml:space="preserve"> 2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2a.</w:t>
            </w:r>
            <w:r w:rsidRPr="00880B0F">
              <w:tab/>
            </w:r>
            <w:r w:rsidRPr="00880B0F">
              <w:rPr>
                <w:b/>
                <w:i/>
              </w:rPr>
              <w:t xml:space="preserve">Medlemsstaterne aflægger også rapport om de foranstaltninger, der er truffet med hensyn til at forebygge og indsamle havaffald, samt tiltag til at erstatte materialer i redskaber og </w:t>
            </w:r>
            <w:r w:rsidRPr="00880B0F">
              <w:rPr>
                <w:b/>
                <w:i/>
              </w:rPr>
              <w:t>produkter, der anvendes til søs, såsom beholdere og emballage af ekspanderet polystyren, alt efter hvad der er relevant, idet der tages hensyn til andre indberetningsforpligtelser i henhold til andre EU-retsakter.</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0"/>
        <w:keepNext/>
      </w:pPr>
      <w:r w:rsidRPr="00880B0F">
        <w:rPr>
          <w:rStyle w:val="HideTWBExt"/>
          <w:b w:val="0"/>
          <w:noProof w:val="0"/>
        </w:rPr>
        <w:t>&lt;Amend&gt;</w:t>
      </w:r>
      <w:r w:rsidRPr="00880B0F">
        <w:t>Ændringsforslag</w:t>
      </w:r>
      <w:r w:rsidRPr="00880B0F">
        <w:tab/>
      </w:r>
      <w:r w:rsidRPr="00880B0F">
        <w:tab/>
      </w:r>
      <w:r w:rsidRPr="00880B0F">
        <w:rPr>
          <w:rStyle w:val="HideTWBExt"/>
          <w:b w:val="0"/>
          <w:noProof w:val="0"/>
        </w:rPr>
        <w:t>&lt;NumAm&gt;</w:t>
      </w:r>
      <w:r w:rsidRPr="00880B0F">
        <w:t>3</w:t>
      </w:r>
      <w:r w:rsidRPr="00880B0F">
        <w:t>8</w:t>
      </w:r>
      <w:r w:rsidRPr="00880B0F">
        <w:rPr>
          <w:rStyle w:val="HideTWBExt"/>
          <w:b w:val="0"/>
          <w:noProof w:val="0"/>
        </w:rPr>
        <w:t>&lt;/NumAm&gt;</w:t>
      </w:r>
    </w:p>
    <w:p w:rsidR="001303FC" w:rsidRPr="00880B0F" w:rsidRDefault="00880B0F" w:rsidP="001303FC">
      <w:pPr>
        <w:pStyle w:val="NormalBold12b"/>
        <w:keepNext/>
      </w:pPr>
      <w:r w:rsidRPr="00880B0F">
        <w:rPr>
          <w:rStyle w:val="HideTWBExt"/>
          <w:b w:val="0"/>
          <w:noProof w:val="0"/>
        </w:rPr>
        <w:t>&lt;DocAmend&gt;</w:t>
      </w:r>
      <w:r w:rsidRPr="00880B0F">
        <w:t>Forslag til direktiv</w:t>
      </w:r>
      <w:r w:rsidRPr="00880B0F">
        <w:rPr>
          <w:rStyle w:val="HideTWBExt"/>
          <w:b w:val="0"/>
          <w:noProof w:val="0"/>
        </w:rPr>
        <w:t>&lt;/DocAmend&gt;</w:t>
      </w:r>
    </w:p>
    <w:p w:rsidR="001303FC" w:rsidRPr="00880B0F" w:rsidRDefault="00880B0F" w:rsidP="001303FC">
      <w:pPr>
        <w:pStyle w:val="NormalBold"/>
      </w:pPr>
      <w:r w:rsidRPr="00880B0F">
        <w:rPr>
          <w:rStyle w:val="HideTWBExt"/>
          <w:b w:val="0"/>
          <w:noProof w:val="0"/>
        </w:rPr>
        <w:t>&lt;Article&gt;</w:t>
      </w:r>
      <w:r w:rsidRPr="00880B0F">
        <w:t>Artikel 1 – stk. 1 – nr. 15</w:t>
      </w:r>
      <w:r w:rsidRPr="00880B0F">
        <w:rPr>
          <w:rStyle w:val="HideTWBExt"/>
          <w:b w:val="0"/>
          <w:noProof w:val="0"/>
        </w:rPr>
        <w:t>&lt;/Article&gt;</w:t>
      </w:r>
    </w:p>
    <w:p w:rsidR="001303FC" w:rsidRPr="00880B0F" w:rsidRDefault="00880B0F" w:rsidP="001303FC">
      <w:pPr>
        <w:keepNext/>
      </w:pPr>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10b – stk. 1a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jc w:val="center"/>
        </w:trPr>
        <w:tc>
          <w:tcPr>
            <w:tcW w:w="9752" w:type="dxa"/>
            <w:gridSpan w:val="2"/>
          </w:tcPr>
          <w:p w:rsidR="001303FC" w:rsidRPr="00880B0F" w:rsidRDefault="001303FC" w:rsidP="004F0A9F">
            <w:pPr>
              <w:keepNext/>
            </w:pPr>
          </w:p>
        </w:tc>
      </w:tr>
      <w:tr w:rsidR="004946DF" w:rsidRPr="00880B0F" w:rsidTr="004F0A9F">
        <w:trPr>
          <w:jc w:val="center"/>
        </w:trPr>
        <w:tc>
          <w:tcPr>
            <w:tcW w:w="4876" w:type="dxa"/>
            <w:hideMark/>
          </w:tcPr>
          <w:p w:rsidR="001303FC" w:rsidRPr="00880B0F" w:rsidRDefault="00880B0F" w:rsidP="004F0A9F">
            <w:pPr>
              <w:pStyle w:val="ColumnHeading"/>
              <w:keepNext/>
            </w:pPr>
            <w:r w:rsidRPr="00880B0F">
              <w:t>Kommissionens forslag</w:t>
            </w:r>
          </w:p>
        </w:tc>
        <w:tc>
          <w:tcPr>
            <w:tcW w:w="4876" w:type="dxa"/>
            <w:hideMark/>
          </w:tcPr>
          <w:p w:rsidR="001303FC" w:rsidRPr="00880B0F" w:rsidRDefault="00880B0F" w:rsidP="004F0A9F">
            <w:pPr>
              <w:pStyle w:val="ColumnHeading"/>
              <w:keepNext/>
            </w:pPr>
            <w:r w:rsidRPr="00880B0F">
              <w:t>Ændringsforslag</w:t>
            </w:r>
          </w:p>
        </w:tc>
      </w:tr>
      <w:tr w:rsidR="004946DF" w:rsidRPr="00880B0F" w:rsidTr="004F0A9F">
        <w:trPr>
          <w:jc w:val="center"/>
        </w:trPr>
        <w:tc>
          <w:tcPr>
            <w:tcW w:w="4876" w:type="dxa"/>
          </w:tcPr>
          <w:p w:rsidR="001303FC" w:rsidRPr="00880B0F" w:rsidRDefault="001303FC" w:rsidP="004F0A9F">
            <w:pPr>
              <w:pStyle w:val="Normal6"/>
            </w:pPr>
          </w:p>
        </w:tc>
        <w:tc>
          <w:tcPr>
            <w:tcW w:w="4876" w:type="dxa"/>
            <w:hideMark/>
          </w:tcPr>
          <w:p w:rsidR="001303FC" w:rsidRPr="00880B0F" w:rsidRDefault="00880B0F" w:rsidP="004F0A9F">
            <w:pPr>
              <w:pStyle w:val="Normal6"/>
              <w:rPr>
                <w:szCs w:val="24"/>
              </w:rPr>
            </w:pPr>
            <w:r w:rsidRPr="00880B0F">
              <w:rPr>
                <w:b/>
                <w:i/>
              </w:rPr>
              <w:t>1a.</w:t>
            </w:r>
            <w:r w:rsidRPr="00880B0F">
              <w:tab/>
            </w:r>
            <w:r w:rsidRPr="00880B0F">
              <w:rPr>
                <w:b/>
                <w:i/>
              </w:rPr>
              <w:t xml:space="preserve">Denne </w:t>
            </w:r>
            <w:r w:rsidRPr="00880B0F">
              <w:rPr>
                <w:b/>
                <w:i/>
              </w:rPr>
              <w:t>efteruddannelse omfatter også moduler om havforureningens miljøpåvirkning, med særligt fokus på konsekvenserne for fiskebestandene, yngleområder og migrationsmønstre. Eksperter fra fiskerisektoren opfordres til at bidrage til og deltage i denne efteruddann</w:t>
            </w:r>
            <w:r w:rsidRPr="00880B0F">
              <w:rPr>
                <w:b/>
                <w:i/>
              </w:rPr>
              <w:t>else og komme med førstehåndskendskab til og indsigt i forureningens indvirkning på fiskeriaktiviteterne og på livet i havet. Kommissionen og medlemsstaterne bestræber sig på at formidle vigtig viden og information fra denne efteruddannelse til fiskersamfu</w:t>
            </w:r>
            <w:r w:rsidRPr="00880B0F">
              <w:rPr>
                <w:b/>
                <w:i/>
              </w:rPr>
              <w:t>ndene og sikrer derved, at de er velinformerede og er klædt på til at spille en samarbejdsrolle i forbindelse med opfyldelsen af målene i dette direktiv.</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lastRenderedPageBreak/>
        <w:t>&lt;Amend&gt;</w:t>
      </w:r>
      <w:r w:rsidRPr="00880B0F">
        <w:t>Ændringsforslag</w:t>
      </w:r>
      <w:r w:rsidRPr="00880B0F">
        <w:tab/>
      </w:r>
      <w:r w:rsidRPr="00880B0F">
        <w:tab/>
      </w:r>
      <w:r w:rsidRPr="00880B0F">
        <w:rPr>
          <w:rStyle w:val="HideTWBExt"/>
          <w:noProof w:val="0"/>
        </w:rPr>
        <w:t>&lt;NumAm&gt;</w:t>
      </w:r>
      <w:r w:rsidRPr="00880B0F">
        <w:t>39</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w:t>
      </w:r>
      <w:r>
        <w:t>kel</w:t>
      </w:r>
      <w:r w:rsidRPr="00880B0F">
        <w:t xml:space="preserve"> 10c – </w:t>
      </w:r>
      <w:r>
        <w:t xml:space="preserve">stk. </w:t>
      </w:r>
      <w:r w:rsidRPr="00880B0F">
        <w:t>1</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w:t>
            </w:r>
            <w:r w:rsidRPr="00880B0F">
              <w:tab/>
              <w:t>På grundlag af de oplysninger, medlemsstaterne rapporterer i overensstemmel</w:t>
            </w:r>
            <w:r w:rsidRPr="00880B0F">
              <w:t>se med artikel</w:t>
            </w:r>
            <w:r w:rsidRPr="00880B0F">
              <w:rPr>
                <w:b/>
                <w:i/>
              </w:rPr>
              <w:t xml:space="preserve"> </w:t>
            </w:r>
            <w:r w:rsidRPr="00880B0F">
              <w:t>10a, gør Kommissionen en regelmæssigt ajourført EU-dækkende oversigt over gennemførelsen og håndhævelsen af dette direktiv offentligt tilgængelig. Oversigten omfatter de oplysninger, der er anført i bilag II til dette direktiv.</w:t>
            </w:r>
          </w:p>
        </w:tc>
        <w:tc>
          <w:tcPr>
            <w:tcW w:w="4876" w:type="dxa"/>
          </w:tcPr>
          <w:p w:rsidR="001303FC" w:rsidRPr="00880B0F" w:rsidRDefault="00880B0F" w:rsidP="004F0A9F">
            <w:pPr>
              <w:pStyle w:val="Normal6a"/>
            </w:pPr>
            <w:r w:rsidRPr="00880B0F">
              <w:t>1.</w:t>
            </w:r>
            <w:r w:rsidRPr="00880B0F">
              <w:tab/>
              <w:t>På grundla</w:t>
            </w:r>
            <w:r w:rsidRPr="00880B0F">
              <w:t>g af de oplysninger, medlemsstaterne rapporterer i over</w:t>
            </w:r>
            <w:bookmarkStart w:id="4" w:name="_GoBack"/>
            <w:bookmarkEnd w:id="4"/>
            <w:r w:rsidRPr="00880B0F">
              <w:t>ensstemmelse med artikel</w:t>
            </w:r>
            <w:r w:rsidRPr="00880B0F">
              <w:rPr>
                <w:b/>
                <w:i/>
              </w:rPr>
              <w:t> </w:t>
            </w:r>
            <w:r w:rsidRPr="00880B0F">
              <w:t>10a</w:t>
            </w:r>
            <w:r w:rsidRPr="00880B0F">
              <w:rPr>
                <w:b/>
                <w:i/>
              </w:rPr>
              <w:t>, samt relevante oplysninger, der er modtaget i henhold til andre EU-retsakter, såsom forordning (EF) nr. 1224/2009 vedrørende tabte fiskeredskaber</w:t>
            </w:r>
            <w:r w:rsidRPr="00880B0F">
              <w:t>, gør Kommissionen en rege</w:t>
            </w:r>
            <w:r w:rsidRPr="00880B0F">
              <w:t>lmæssigt ajourført EU-dækkende oversigt over gennemførelsen og håndhævelsen af dette direktiv offentligt tilgængelig. Oversigten omfatter de oplysninger, der er anført i bilag II til dette direktiv.</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40</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10d – stk. 1</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1.</w:t>
            </w:r>
            <w:r w:rsidRPr="00880B0F">
              <w:tab/>
              <w:t xml:space="preserve">Kommissionen udvikler og </w:t>
            </w:r>
            <w:r w:rsidRPr="00880B0F">
              <w:rPr>
                <w:b/>
                <w:i/>
              </w:rPr>
              <w:t>vedligeholder</w:t>
            </w:r>
            <w:r w:rsidRPr="00880B0F">
              <w:t xml:space="preserve"> en fortrolig ekstern onlineindberetningskanal til modtagelse af indberetninger som defineret i direktiv (EU) 2019/1937</w:t>
            </w:r>
            <w:r w:rsidRPr="00880B0F">
              <w:rPr>
                <w:vertAlign w:val="superscript"/>
              </w:rPr>
              <w:t>40</w:t>
            </w:r>
            <w:r w:rsidRPr="00880B0F">
              <w:t xml:space="preserve"> om potentielle overtrædelser af nærværende direktiv og fremsender sådanne indberetninger til den eller de berørte medlemsstater.</w:t>
            </w:r>
          </w:p>
        </w:tc>
        <w:tc>
          <w:tcPr>
            <w:tcW w:w="4876" w:type="dxa"/>
          </w:tcPr>
          <w:p w:rsidR="001303FC" w:rsidRPr="00880B0F" w:rsidRDefault="00880B0F" w:rsidP="004F0A9F">
            <w:pPr>
              <w:pStyle w:val="Normal6a"/>
            </w:pPr>
            <w:r w:rsidRPr="00880B0F">
              <w:t>1.</w:t>
            </w:r>
            <w:r w:rsidRPr="00880B0F">
              <w:tab/>
            </w:r>
            <w:r w:rsidRPr="00880B0F">
              <w:t>Kommissionen udvikler</w:t>
            </w:r>
            <w:r w:rsidRPr="00880B0F">
              <w:rPr>
                <w:b/>
                <w:i/>
              </w:rPr>
              <w:t>, vedligeholder</w:t>
            </w:r>
            <w:r w:rsidRPr="00880B0F">
              <w:t xml:space="preserve"> og </w:t>
            </w:r>
            <w:r w:rsidRPr="00880B0F">
              <w:rPr>
                <w:b/>
                <w:i/>
              </w:rPr>
              <w:t>giver offentligheden let adgang til</w:t>
            </w:r>
            <w:r w:rsidRPr="00880B0F">
              <w:t xml:space="preserve"> en fortrolig ekstern onlineindberetningskanal til modtagelse af indberetninger som defineret i direktiv (EU) 2019/1937</w:t>
            </w:r>
            <w:r w:rsidRPr="00880B0F">
              <w:rPr>
                <w:vertAlign w:val="superscript"/>
              </w:rPr>
              <w:t>40</w:t>
            </w:r>
            <w:r w:rsidRPr="00880B0F">
              <w:t xml:space="preserve"> om potentielle overtrædelser af nærværende direktiv og frem</w:t>
            </w:r>
            <w:r w:rsidRPr="00880B0F">
              <w:t>sender sådanne indberetninger til den eller de berørte medlemsstater.</w:t>
            </w:r>
          </w:p>
        </w:tc>
      </w:tr>
      <w:tr w:rsidR="004946DF" w:rsidRPr="00880B0F" w:rsidTr="004F0A9F">
        <w:trPr>
          <w:jc w:val="center"/>
        </w:trPr>
        <w:tc>
          <w:tcPr>
            <w:tcW w:w="4876" w:type="dxa"/>
          </w:tcPr>
          <w:p w:rsidR="001303FC" w:rsidRPr="00880B0F" w:rsidRDefault="00880B0F" w:rsidP="004F0A9F">
            <w:pPr>
              <w:pStyle w:val="Normal6a"/>
            </w:pPr>
            <w:r w:rsidRPr="00880B0F">
              <w:rPr>
                <w:b/>
                <w:i/>
              </w:rPr>
              <w:t>_________________</w:t>
            </w:r>
          </w:p>
        </w:tc>
        <w:tc>
          <w:tcPr>
            <w:tcW w:w="4876" w:type="dxa"/>
          </w:tcPr>
          <w:p w:rsidR="001303FC" w:rsidRPr="00880B0F" w:rsidRDefault="00880B0F" w:rsidP="004F0A9F">
            <w:pPr>
              <w:pStyle w:val="Normal6a"/>
            </w:pPr>
            <w:r w:rsidRPr="00880B0F">
              <w:rPr>
                <w:b/>
                <w:i/>
              </w:rPr>
              <w:t>_________________</w:t>
            </w:r>
          </w:p>
        </w:tc>
      </w:tr>
      <w:tr w:rsidR="004946DF" w:rsidRPr="00880B0F" w:rsidTr="004F0A9F">
        <w:trPr>
          <w:jc w:val="center"/>
        </w:trPr>
        <w:tc>
          <w:tcPr>
            <w:tcW w:w="4876" w:type="dxa"/>
          </w:tcPr>
          <w:p w:rsidR="001303FC" w:rsidRPr="00880B0F" w:rsidRDefault="00880B0F" w:rsidP="004F0A9F">
            <w:pPr>
              <w:pStyle w:val="Normal6a"/>
            </w:pPr>
            <w:r w:rsidRPr="00880B0F">
              <w:rPr>
                <w:vertAlign w:val="superscript"/>
              </w:rPr>
              <w:t>40</w:t>
            </w:r>
            <w:r w:rsidRPr="00880B0F">
              <w:t xml:space="preserve"> Europa-Parlamentets og Rådets direktiv (EU) 2019/1937 af 23. oktober 2019 om beskyttelse af personer, der indberetter overtrædelser af EU-retten </w:t>
            </w:r>
            <w:r w:rsidRPr="00880B0F">
              <w:t>(EUT L 305 af 26.11.2019, s. 17).</w:t>
            </w:r>
          </w:p>
        </w:tc>
        <w:tc>
          <w:tcPr>
            <w:tcW w:w="4876" w:type="dxa"/>
          </w:tcPr>
          <w:p w:rsidR="001303FC" w:rsidRPr="00880B0F" w:rsidRDefault="00880B0F" w:rsidP="004F0A9F">
            <w:pPr>
              <w:pStyle w:val="Normal6a"/>
            </w:pPr>
            <w:r w:rsidRPr="00880B0F">
              <w:rPr>
                <w:vertAlign w:val="superscript"/>
              </w:rPr>
              <w:t>40</w:t>
            </w:r>
            <w:r w:rsidRPr="00880B0F">
              <w:t xml:space="preserve"> Europa-Parlamentets og Rådets direktiv (EU) 2019/1937 af 23. oktober 2019 om beskyttelse af personer, der indberetter overtrædelser af EU-retten (EUT L 305 af 26.11.2019, s. 17).</w:t>
            </w:r>
          </w:p>
        </w:tc>
      </w:tr>
    </w:tbl>
    <w:p w:rsidR="001303FC" w:rsidRPr="00880B0F" w:rsidRDefault="00880B0F" w:rsidP="001303FC">
      <w:r w:rsidRPr="00880B0F">
        <w:rPr>
          <w:rStyle w:val="HideTWBExt"/>
          <w:noProof w:val="0"/>
        </w:rPr>
        <w:lastRenderedPageBreak/>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w:t>
      </w:r>
      <w:r w:rsidRPr="00880B0F">
        <w:rPr>
          <w:rStyle w:val="HideTWBExt"/>
          <w:noProof w:val="0"/>
        </w:rPr>
        <w:t>&gt;</w:t>
      </w:r>
      <w:r w:rsidRPr="00880B0F">
        <w:t>41</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10d – stk. 2</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880B0F" w:rsidP="004F0A9F">
            <w:pPr>
              <w:pStyle w:val="Normal6a"/>
            </w:pPr>
            <w:r w:rsidRPr="00880B0F">
              <w:t>2.</w:t>
            </w:r>
            <w:r w:rsidRPr="00880B0F">
              <w:tab/>
              <w:t>Medlemsstaterne sikrer, at</w:t>
            </w:r>
            <w:r w:rsidRPr="00880B0F">
              <w:t xml:space="preserve"> de nationale kompetente myndigheder, der modtager indberetninger om overtrædelser af dette direktiv, som indgives via den kanal, der er omhandlet i stk. 1, giver feedback og følger op på disse indberetninger i overensstemmelse med direktiv (EU) 2019/1937.</w:t>
            </w:r>
          </w:p>
        </w:tc>
        <w:tc>
          <w:tcPr>
            <w:tcW w:w="4876" w:type="dxa"/>
          </w:tcPr>
          <w:p w:rsidR="001303FC" w:rsidRPr="00880B0F" w:rsidRDefault="00880B0F" w:rsidP="004F0A9F">
            <w:pPr>
              <w:pStyle w:val="Normal6a"/>
            </w:pPr>
            <w:r w:rsidRPr="00880B0F">
              <w:t>2.</w:t>
            </w:r>
            <w:r w:rsidRPr="00880B0F">
              <w:tab/>
              <w:t xml:space="preserve">Medlemsstaterne sikrer, at de nationale kompetente myndigheder, der modtager indberetninger om overtrædelser af dette direktiv, som indgives via den kanal, der er omhandlet i stk. 1, </w:t>
            </w:r>
            <w:r w:rsidRPr="00880B0F">
              <w:rPr>
                <w:b/>
                <w:i/>
              </w:rPr>
              <w:t xml:space="preserve">alt efter tilfældet efterforsker, agerer, </w:t>
            </w:r>
            <w:r w:rsidRPr="00880B0F">
              <w:t>giver</w:t>
            </w:r>
            <w:r w:rsidRPr="00880B0F">
              <w:rPr>
                <w:b/>
                <w:i/>
              </w:rPr>
              <w:t xml:space="preserve"> hurtigt</w:t>
            </w:r>
            <w:r w:rsidRPr="00880B0F">
              <w:t xml:space="preserve"> feedback og f</w:t>
            </w:r>
            <w:r w:rsidRPr="00880B0F">
              <w:t>ølger op på disse indberetninger i overensstemmelse med direktiv (EU) 2019/1937.</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42</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15</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10d – stk. 2a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2a.</w:t>
            </w:r>
            <w:r w:rsidRPr="00880B0F">
              <w:tab/>
            </w:r>
            <w:r w:rsidRPr="00880B0F">
              <w:rPr>
                <w:b/>
                <w:i/>
              </w:rPr>
              <w:t xml:space="preserve">Medlemsstaterne sikrer, at enkeltpersoner, der indberetter potentielle overtrædelser i henhold til dette direktiv, ikke udsættes for negative </w:t>
            </w:r>
            <w:r w:rsidRPr="00880B0F">
              <w:rPr>
                <w:b/>
                <w:i/>
              </w:rPr>
              <w:t>beskæftigelsesmæssige konsekvenser, chikane, trusler eller forskelsbehandling som følge af afsløringen af dem.</w:t>
            </w:r>
            <w:r w:rsidRPr="00880B0F">
              <w:t xml:space="preserve"> </w:t>
            </w:r>
            <w:r w:rsidRPr="00880B0F">
              <w:rPr>
                <w:b/>
                <w:i/>
              </w:rPr>
              <w:t>Whistlebloweres identitet behandles fortroligt, i det omfang lovgivningen tillader det.</w:t>
            </w:r>
            <w:r w:rsidRPr="00880B0F">
              <w:t xml:space="preserve"> </w:t>
            </w:r>
            <w:r w:rsidRPr="00880B0F">
              <w:rPr>
                <w:b/>
                <w:i/>
              </w:rPr>
              <w:t>Whistleblowere skal ikke anses for at være ansvarlige for</w:t>
            </w:r>
            <w:r w:rsidRPr="00880B0F">
              <w:rPr>
                <w:b/>
                <w:i/>
              </w:rPr>
              <w:t xml:space="preserve"> videregivelsen af oplysningerne, forudsat at den sker i god tro og uden onde hensigter.</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43</w:t>
      </w:r>
      <w:r w:rsidRPr="00880B0F">
        <w:rPr>
          <w:rStyle w:val="HideTWBExt"/>
          <w:noProof w:val="0"/>
        </w:rPr>
        <w:t>&lt;/NumAm&gt;</w:t>
      </w:r>
    </w:p>
    <w:p w:rsidR="001303FC" w:rsidRPr="00880B0F" w:rsidRDefault="00880B0F" w:rsidP="001303FC">
      <w:pPr>
        <w:pStyle w:val="NormalBold12b"/>
      </w:pPr>
      <w:r w:rsidRPr="00880B0F">
        <w:rPr>
          <w:rStyle w:val="HideTWBExt"/>
          <w:noProof w:val="0"/>
        </w:rPr>
        <w:lastRenderedPageBreak/>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18</w:t>
      </w:r>
      <w:r w:rsidRPr="00880B0F">
        <w:rPr>
          <w:rStyle w:val="HideTWBExt"/>
          <w:noProof w:val="0"/>
        </w:rPr>
        <w:t>&lt;/Article&gt;</w:t>
      </w:r>
    </w:p>
    <w:p w:rsidR="001303FC" w:rsidRPr="00880B0F" w:rsidRDefault="00880B0F" w:rsidP="001303FC">
      <w:r w:rsidRPr="00880B0F">
        <w:rPr>
          <w:rStyle w:val="HideTWBExt"/>
          <w:noProof w:val="0"/>
        </w:rPr>
        <w:t>&lt;DocAmend2&gt;</w:t>
      </w:r>
      <w:r w:rsidRPr="00880B0F">
        <w:t xml:space="preserve">Direktiv </w:t>
      </w:r>
      <w:r w:rsidRPr="00880B0F">
        <w:t>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12a – stk. 1 – litra b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ba)</w:t>
            </w:r>
            <w:r w:rsidRPr="00880B0F">
              <w:tab/>
            </w:r>
            <w:r w:rsidRPr="00880B0F">
              <w:rPr>
                <w:b/>
                <w:i/>
              </w:rPr>
              <w:t>relevante oplysninger indsamlet i henhold til andre EU-retsakter såsom forordning (EF) nr. 1224/2009.</w:t>
            </w:r>
          </w:p>
        </w:tc>
      </w:tr>
    </w:tbl>
    <w:p w:rsidR="001303FC" w:rsidRPr="00880B0F" w:rsidRDefault="00880B0F" w:rsidP="001303FC">
      <w:r w:rsidRPr="00880B0F">
        <w:rPr>
          <w:rStyle w:val="HideTWBExt"/>
          <w:noProof w:val="0"/>
        </w:rPr>
        <w:t>&lt;/Amend&gt;</w:t>
      </w:r>
    </w:p>
    <w:p w:rsidR="001303FC" w:rsidRPr="00880B0F" w:rsidRDefault="00880B0F" w:rsidP="001303FC">
      <w:pPr>
        <w:pStyle w:val="AmNumberTabs"/>
      </w:pPr>
      <w:r w:rsidRPr="00880B0F">
        <w:rPr>
          <w:rStyle w:val="HideTWBExt"/>
          <w:noProof w:val="0"/>
        </w:rPr>
        <w:t>&lt;Amend&gt;</w:t>
      </w:r>
      <w:r w:rsidRPr="00880B0F">
        <w:t>Ændringsforslag</w:t>
      </w:r>
      <w:r w:rsidRPr="00880B0F">
        <w:tab/>
      </w:r>
      <w:r w:rsidRPr="00880B0F">
        <w:tab/>
      </w:r>
      <w:r w:rsidRPr="00880B0F">
        <w:rPr>
          <w:rStyle w:val="HideTWBExt"/>
          <w:noProof w:val="0"/>
        </w:rPr>
        <w:t>&lt;NumAm&gt;</w:t>
      </w:r>
      <w:r w:rsidRPr="00880B0F">
        <w:t>44</w:t>
      </w:r>
      <w:r w:rsidRPr="00880B0F">
        <w:rPr>
          <w:rStyle w:val="HideTWBExt"/>
          <w:noProof w:val="0"/>
        </w:rPr>
        <w:t>&lt;/NumAm&gt;</w:t>
      </w:r>
    </w:p>
    <w:p w:rsidR="001303FC" w:rsidRPr="00880B0F" w:rsidRDefault="00880B0F" w:rsidP="001303FC">
      <w:pPr>
        <w:pStyle w:val="NormalBold12b"/>
      </w:pPr>
      <w:r w:rsidRPr="00880B0F">
        <w:rPr>
          <w:rStyle w:val="HideTWBExt"/>
          <w:noProof w:val="0"/>
        </w:rPr>
        <w:t>&lt;DocAmend&gt;</w:t>
      </w:r>
      <w:r w:rsidRPr="00880B0F">
        <w:t>Forslag til direktiv</w:t>
      </w:r>
      <w:r w:rsidRPr="00880B0F">
        <w:rPr>
          <w:rStyle w:val="HideTWBExt"/>
          <w:noProof w:val="0"/>
        </w:rPr>
        <w:t>&lt;/DocAmend&gt;</w:t>
      </w:r>
    </w:p>
    <w:p w:rsidR="001303FC" w:rsidRPr="00880B0F" w:rsidRDefault="00880B0F" w:rsidP="001303FC">
      <w:pPr>
        <w:pStyle w:val="NormalBold"/>
      </w:pPr>
      <w:r w:rsidRPr="00880B0F">
        <w:rPr>
          <w:rStyle w:val="HideTWBExt"/>
          <w:noProof w:val="0"/>
        </w:rPr>
        <w:t>&lt;Article&gt;</w:t>
      </w:r>
      <w:r w:rsidRPr="00880B0F">
        <w:t>Artikel 1 – stk. 1 – nr. 18</w:t>
      </w:r>
      <w:r w:rsidRPr="00880B0F">
        <w:rPr>
          <w:rStyle w:val="HideTWBExt"/>
          <w:noProof w:val="0"/>
        </w:rPr>
        <w:t>&lt;/Article&gt;</w:t>
      </w:r>
    </w:p>
    <w:p w:rsidR="001303FC" w:rsidRPr="00880B0F" w:rsidRDefault="00880B0F" w:rsidP="001303FC">
      <w:r w:rsidRPr="00880B0F">
        <w:rPr>
          <w:rStyle w:val="HideTWBExt"/>
          <w:noProof w:val="0"/>
        </w:rPr>
        <w:t>&lt;DocAmend2&gt;</w:t>
      </w:r>
      <w:r w:rsidRPr="00880B0F">
        <w:t>Direktiv 2005/35/EF</w:t>
      </w:r>
      <w:r w:rsidRPr="00880B0F">
        <w:rPr>
          <w:rStyle w:val="HideTWBExt"/>
          <w:noProof w:val="0"/>
        </w:rPr>
        <w:t>&lt;/DocAmend2&gt;</w:t>
      </w:r>
    </w:p>
    <w:p w:rsidR="001303FC" w:rsidRPr="00880B0F" w:rsidRDefault="00880B0F" w:rsidP="001303FC">
      <w:r w:rsidRPr="00880B0F">
        <w:rPr>
          <w:rStyle w:val="HideTWBExt"/>
          <w:noProof w:val="0"/>
        </w:rPr>
        <w:t>&lt;Article2&gt;</w:t>
      </w:r>
      <w:r w:rsidRPr="00880B0F">
        <w:t>Artikel 12 a – stk. 2 a (nyt)</w:t>
      </w:r>
      <w:r w:rsidRPr="00880B0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6DF" w:rsidRPr="00880B0F" w:rsidTr="004F0A9F">
        <w:trPr>
          <w:trHeight w:hRule="exact" w:val="240"/>
          <w:jc w:val="center"/>
        </w:trPr>
        <w:tc>
          <w:tcPr>
            <w:tcW w:w="9752" w:type="dxa"/>
            <w:gridSpan w:val="2"/>
          </w:tcPr>
          <w:p w:rsidR="001303FC" w:rsidRPr="00880B0F" w:rsidRDefault="001303FC" w:rsidP="004F0A9F"/>
        </w:tc>
      </w:tr>
      <w:tr w:rsidR="004946DF" w:rsidRPr="00880B0F" w:rsidTr="004F0A9F">
        <w:trPr>
          <w:trHeight w:val="240"/>
          <w:jc w:val="center"/>
        </w:trPr>
        <w:tc>
          <w:tcPr>
            <w:tcW w:w="4876" w:type="dxa"/>
          </w:tcPr>
          <w:p w:rsidR="001303FC" w:rsidRPr="00880B0F" w:rsidRDefault="00880B0F" w:rsidP="004F0A9F">
            <w:pPr>
              <w:pStyle w:val="AmColumnHeading"/>
            </w:pPr>
            <w:r w:rsidRPr="00880B0F">
              <w:t>Kommissionens forslag</w:t>
            </w:r>
          </w:p>
        </w:tc>
        <w:tc>
          <w:tcPr>
            <w:tcW w:w="4876" w:type="dxa"/>
          </w:tcPr>
          <w:p w:rsidR="001303FC" w:rsidRPr="00880B0F" w:rsidRDefault="00880B0F" w:rsidP="004F0A9F">
            <w:pPr>
              <w:pStyle w:val="AmColumnHeading"/>
            </w:pPr>
            <w:r w:rsidRPr="00880B0F">
              <w:t>Ændringsforslag</w:t>
            </w:r>
          </w:p>
        </w:tc>
      </w:tr>
      <w:tr w:rsidR="004946DF" w:rsidRPr="00880B0F" w:rsidTr="004F0A9F">
        <w:trPr>
          <w:jc w:val="center"/>
        </w:trPr>
        <w:tc>
          <w:tcPr>
            <w:tcW w:w="4876" w:type="dxa"/>
          </w:tcPr>
          <w:p w:rsidR="001303FC" w:rsidRPr="00880B0F" w:rsidRDefault="001303FC" w:rsidP="004F0A9F">
            <w:pPr>
              <w:pStyle w:val="Normal6a"/>
            </w:pPr>
          </w:p>
        </w:tc>
        <w:tc>
          <w:tcPr>
            <w:tcW w:w="4876" w:type="dxa"/>
          </w:tcPr>
          <w:p w:rsidR="001303FC" w:rsidRPr="00880B0F" w:rsidRDefault="00880B0F" w:rsidP="004F0A9F">
            <w:pPr>
              <w:pStyle w:val="Normal6a"/>
            </w:pPr>
            <w:r w:rsidRPr="00880B0F">
              <w:rPr>
                <w:b/>
                <w:i/>
              </w:rPr>
              <w:t>2a.</w:t>
            </w:r>
            <w:r w:rsidRPr="00880B0F">
              <w:tab/>
            </w:r>
            <w:r w:rsidRPr="00880B0F">
              <w:rPr>
                <w:b/>
                <w:i/>
              </w:rPr>
              <w:t>Kommissionen samler også de oplysninger, som medlemsstaterne har forelagt i henhold til artikel 10a, stk. 2a, vurderer, om der er behov for yderligere foranstaltninger på EU-plan, og forelægger alt efter tilfældet forslag herom.</w:t>
            </w:r>
          </w:p>
        </w:tc>
      </w:tr>
    </w:tbl>
    <w:p w:rsidR="001303FC" w:rsidRPr="00880B0F" w:rsidRDefault="00880B0F" w:rsidP="001303FC">
      <w:r w:rsidRPr="00880B0F">
        <w:rPr>
          <w:rStyle w:val="HideTWBExt"/>
          <w:noProof w:val="0"/>
        </w:rPr>
        <w:t>&lt;/Am</w:t>
      </w:r>
      <w:r w:rsidRPr="00880B0F">
        <w:rPr>
          <w:rStyle w:val="HideTWBExt"/>
          <w:noProof w:val="0"/>
        </w:rPr>
        <w:t>end&gt;</w:t>
      </w:r>
    </w:p>
    <w:p w:rsidR="001303FC" w:rsidRPr="00880B0F" w:rsidRDefault="00880B0F" w:rsidP="001303FC">
      <w:r w:rsidRPr="00880B0F">
        <w:rPr>
          <w:rStyle w:val="HideTWBExt"/>
          <w:noProof w:val="0"/>
        </w:rPr>
        <w:t>&lt;/RepeatBlock-Amend&gt;</w:t>
      </w:r>
    </w:p>
    <w:p w:rsidR="001303FC" w:rsidRPr="00880B0F" w:rsidRDefault="001303FC" w:rsidP="001303FC"/>
    <w:p w:rsidR="001303FC" w:rsidRPr="00880B0F" w:rsidRDefault="001303FC" w:rsidP="001303FC">
      <w:pPr>
        <w:pStyle w:val="Normal12a"/>
      </w:pPr>
    </w:p>
    <w:p w:rsidR="001303FC" w:rsidRPr="00880B0F" w:rsidRDefault="00880B0F" w:rsidP="001303FC">
      <w:r w:rsidRPr="00880B0F">
        <w:br w:type="page"/>
      </w:r>
    </w:p>
    <w:p w:rsidR="001303FC" w:rsidRPr="00880B0F" w:rsidRDefault="00880B0F" w:rsidP="001303FC">
      <w:pPr>
        <w:pStyle w:val="PageHeadingNotTOC"/>
      </w:pPr>
      <w:bookmarkStart w:id="5" w:name="FootprintPageAD"/>
      <w:r w:rsidRPr="00880B0F">
        <w:lastRenderedPageBreak/>
        <w:t>BILAG: LISTE OVER ENHEDER ELLER PERSONER,</w:t>
      </w:r>
      <w:r w:rsidRPr="00880B0F">
        <w:br/>
        <w:t>SOM ORDFØREREN HAR MODTAGET INPUT FRA</w:t>
      </w:r>
    </w:p>
    <w:p w:rsidR="001303FC" w:rsidRPr="00880B0F" w:rsidRDefault="00880B0F" w:rsidP="001303FC">
      <w:pPr>
        <w:pStyle w:val="Normal24a"/>
      </w:pPr>
      <w:r w:rsidRPr="00880B0F">
        <w:rPr>
          <w:rStyle w:val="HideTWBExt"/>
          <w:noProof w:val="0"/>
        </w:rPr>
        <w:t>&lt;FootprintIntro&gt;</w:t>
      </w:r>
      <w:r w:rsidRPr="00880B0F">
        <w:t xml:space="preserve">Følgende liste er alene udarbejdet på ordførerens ansvar. Ordføreren har modtaget input fra følgende enheder eller personer som </w:t>
      </w:r>
      <w:r w:rsidRPr="00880B0F">
        <w:t>led i udarbejdelsen af udtalelsen inden vedtagelsen i udvalget:</w:t>
      </w:r>
      <w:r w:rsidRPr="00880B0F">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946DF" w:rsidRPr="00880B0F" w:rsidTr="004F0A9F">
        <w:tc>
          <w:tcPr>
            <w:tcW w:w="9286" w:type="dxa"/>
            <w:shd w:val="clear" w:color="auto" w:fill="auto"/>
          </w:tcPr>
          <w:p w:rsidR="001303FC" w:rsidRPr="00880B0F" w:rsidRDefault="00880B0F" w:rsidP="004F0A9F">
            <w:pPr>
              <w:pStyle w:val="NormalBoldCenter"/>
            </w:pPr>
            <w:r w:rsidRPr="00880B0F">
              <w:t>Enhed og/eller person</w:t>
            </w:r>
          </w:p>
        </w:tc>
      </w:tr>
      <w:tr w:rsidR="004946DF" w:rsidRPr="00880B0F" w:rsidTr="004F0A9F">
        <w:tc>
          <w:tcPr>
            <w:tcW w:w="9286" w:type="dxa"/>
            <w:shd w:val="clear" w:color="auto" w:fill="auto"/>
          </w:tcPr>
          <w:p w:rsidR="001303FC" w:rsidRPr="00880B0F" w:rsidRDefault="00880B0F" w:rsidP="004F0A9F">
            <w:r w:rsidRPr="00880B0F">
              <w:t>Ingen input.</w:t>
            </w:r>
          </w:p>
        </w:tc>
      </w:tr>
    </w:tbl>
    <w:p w:rsidR="001303FC" w:rsidRPr="00880B0F" w:rsidRDefault="001303FC" w:rsidP="001303FC"/>
    <w:p w:rsidR="001303FC" w:rsidRPr="00880B0F" w:rsidRDefault="001303FC" w:rsidP="001303FC"/>
    <w:bookmarkEnd w:id="5"/>
    <w:p w:rsidR="004F2874" w:rsidRPr="00880B0F" w:rsidRDefault="00880B0F" w:rsidP="001303FC">
      <w:pPr>
        <w:pStyle w:val="PageHeadingNotTOC"/>
      </w:pPr>
      <w:r w:rsidRPr="00880B0F">
        <w:br w:type="page"/>
      </w:r>
      <w:r w:rsidRPr="00880B0F">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946DF" w:rsidRPr="00880B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Ændring af direktiv 2005/35/EF om forurening fra skibe og om indførelse af sanktioner, herunder str</w:t>
            </w:r>
            <w:r w:rsidRPr="00880B0F">
              <w:rPr>
                <w:color w:val="000000"/>
                <w:sz w:val="20"/>
              </w:rPr>
              <w:t>afferetlige sanktioner, for ulovlig forurening</w:t>
            </w:r>
          </w:p>
        </w:tc>
      </w:tr>
      <w:tr w:rsidR="004946DF" w:rsidRPr="00880B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COM(2023)0273 – C9-0187/2023 – 2023/0171(COD)</w:t>
            </w:r>
          </w:p>
        </w:tc>
      </w:tr>
      <w:tr w:rsidR="004946DF" w:rsidRPr="00880B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Korresponderende udvalg</w:t>
            </w:r>
          </w:p>
          <w:p w:rsidR="004F2874" w:rsidRPr="00880B0F" w:rsidRDefault="00880B0F">
            <w:pPr>
              <w:autoSpaceDE w:val="0"/>
              <w:autoSpaceDN w:val="0"/>
              <w:adjustRightInd w:val="0"/>
              <w:rPr>
                <w:color w:val="000000"/>
                <w:sz w:val="20"/>
                <w:szCs w:val="20"/>
              </w:rPr>
            </w:pPr>
            <w:r w:rsidRPr="00880B0F">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TRAN</w:t>
            </w:r>
          </w:p>
          <w:p w:rsidR="004F2874" w:rsidRPr="00880B0F" w:rsidRDefault="00880B0F">
            <w:pPr>
              <w:autoSpaceDE w:val="0"/>
              <w:autoSpaceDN w:val="0"/>
              <w:adjustRightInd w:val="0"/>
              <w:rPr>
                <w:color w:val="000000"/>
                <w:sz w:val="20"/>
                <w:szCs w:val="20"/>
              </w:rPr>
            </w:pPr>
            <w:r w:rsidRPr="00880B0F">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r>
      <w:tr w:rsidR="004946DF" w:rsidRPr="00880B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Udtalelse fra</w:t>
            </w:r>
          </w:p>
          <w:p w:rsidR="004F2874" w:rsidRPr="00880B0F" w:rsidRDefault="00880B0F">
            <w:pPr>
              <w:autoSpaceDE w:val="0"/>
              <w:autoSpaceDN w:val="0"/>
              <w:adjustRightInd w:val="0"/>
              <w:rPr>
                <w:color w:val="000000"/>
                <w:sz w:val="20"/>
                <w:szCs w:val="20"/>
              </w:rPr>
            </w:pPr>
            <w:r w:rsidRPr="00880B0F">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PECH</w:t>
            </w:r>
          </w:p>
          <w:p w:rsidR="004F2874" w:rsidRPr="00880B0F" w:rsidRDefault="00880B0F">
            <w:pPr>
              <w:autoSpaceDE w:val="0"/>
              <w:autoSpaceDN w:val="0"/>
              <w:adjustRightInd w:val="0"/>
              <w:rPr>
                <w:color w:val="000000"/>
                <w:sz w:val="20"/>
                <w:szCs w:val="20"/>
              </w:rPr>
            </w:pPr>
            <w:r w:rsidRPr="00880B0F">
              <w:rPr>
                <w:color w:val="000000"/>
                <w:sz w:val="20"/>
              </w:rPr>
              <w:t>10.7.2023</w:t>
            </w:r>
          </w:p>
        </w:tc>
      </w:tr>
      <w:tr w:rsidR="004946DF" w:rsidRPr="00880B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Ordfører for udtalelse</w:t>
            </w:r>
          </w:p>
          <w:p w:rsidR="004F2874" w:rsidRPr="00880B0F" w:rsidRDefault="00880B0F">
            <w:pPr>
              <w:autoSpaceDE w:val="0"/>
              <w:autoSpaceDN w:val="0"/>
              <w:adjustRightInd w:val="0"/>
              <w:rPr>
                <w:color w:val="000000"/>
                <w:sz w:val="20"/>
                <w:szCs w:val="20"/>
              </w:rPr>
            </w:pPr>
            <w:r w:rsidRPr="00880B0F">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Cláudia Monteiro de Aguiar</w:t>
            </w:r>
          </w:p>
          <w:p w:rsidR="004F2874" w:rsidRPr="00880B0F" w:rsidRDefault="00880B0F">
            <w:pPr>
              <w:autoSpaceDE w:val="0"/>
              <w:autoSpaceDN w:val="0"/>
              <w:adjustRightInd w:val="0"/>
              <w:rPr>
                <w:color w:val="000000"/>
                <w:sz w:val="20"/>
                <w:szCs w:val="20"/>
              </w:rPr>
            </w:pPr>
            <w:r w:rsidRPr="00880B0F">
              <w:rPr>
                <w:color w:val="000000"/>
                <w:sz w:val="20"/>
              </w:rPr>
              <w:t>12.9.2023</w:t>
            </w:r>
          </w:p>
        </w:tc>
      </w:tr>
      <w:tr w:rsidR="004946DF" w:rsidRPr="00880B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r>
      <w:tr w:rsidR="004946DF" w:rsidRPr="00880B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9.11.2023</w:t>
            </w:r>
          </w:p>
        </w:tc>
        <w:tc>
          <w:tcPr>
            <w:tcW w:w="1474" w:type="dxa"/>
            <w:tcBorders>
              <w:top w:val="nil"/>
              <w:left w:val="nil"/>
              <w:bottom w:val="single" w:sz="8" w:space="0" w:color="000000"/>
              <w:right w:val="nil"/>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F2874" w:rsidRPr="00880B0F" w:rsidRDefault="004F2874">
            <w:pPr>
              <w:autoSpaceDE w:val="0"/>
              <w:autoSpaceDN w:val="0"/>
              <w:adjustRightInd w:val="0"/>
              <w:rPr>
                <w:rFonts w:ascii="sans-serif" w:hAnsi="sans-serif" w:cs="sans-serif"/>
                <w:color w:val="000000"/>
              </w:rPr>
            </w:pPr>
          </w:p>
        </w:tc>
      </w:tr>
      <w:tr w:rsidR="004946DF" w:rsidRPr="00880B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w:t>
            </w:r>
          </w:p>
          <w:p w:rsidR="004F2874" w:rsidRPr="00880B0F" w:rsidRDefault="00880B0F">
            <w:pPr>
              <w:autoSpaceDE w:val="0"/>
              <w:autoSpaceDN w:val="0"/>
              <w:adjustRightInd w:val="0"/>
              <w:rPr>
                <w:color w:val="000000"/>
                <w:sz w:val="20"/>
                <w:szCs w:val="20"/>
              </w:rPr>
            </w:pPr>
            <w:r w:rsidRPr="00880B0F">
              <w:rPr>
                <w:color w:val="000000"/>
                <w:sz w:val="20"/>
              </w:rPr>
              <w:t>–:</w:t>
            </w:r>
          </w:p>
          <w:p w:rsidR="004F2874" w:rsidRPr="00880B0F" w:rsidRDefault="00880B0F">
            <w:pPr>
              <w:autoSpaceDE w:val="0"/>
              <w:autoSpaceDN w:val="0"/>
              <w:adjustRightInd w:val="0"/>
              <w:rPr>
                <w:color w:val="000000"/>
                <w:sz w:val="20"/>
                <w:szCs w:val="20"/>
              </w:rPr>
            </w:pPr>
            <w:r w:rsidRPr="00880B0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21</w:t>
            </w:r>
          </w:p>
          <w:p w:rsidR="004F2874" w:rsidRPr="00880B0F" w:rsidRDefault="00880B0F">
            <w:pPr>
              <w:autoSpaceDE w:val="0"/>
              <w:autoSpaceDN w:val="0"/>
              <w:adjustRightInd w:val="0"/>
              <w:rPr>
                <w:color w:val="000000"/>
                <w:sz w:val="20"/>
                <w:szCs w:val="20"/>
              </w:rPr>
            </w:pPr>
            <w:r w:rsidRPr="00880B0F">
              <w:rPr>
                <w:color w:val="000000"/>
                <w:sz w:val="20"/>
              </w:rPr>
              <w:t>0</w:t>
            </w:r>
          </w:p>
          <w:p w:rsidR="004F2874" w:rsidRPr="00880B0F" w:rsidRDefault="00880B0F">
            <w:pPr>
              <w:autoSpaceDE w:val="0"/>
              <w:autoSpaceDN w:val="0"/>
              <w:adjustRightInd w:val="0"/>
              <w:rPr>
                <w:color w:val="000000"/>
                <w:sz w:val="20"/>
                <w:szCs w:val="20"/>
              </w:rPr>
            </w:pPr>
            <w:r w:rsidRPr="00880B0F">
              <w:rPr>
                <w:color w:val="000000"/>
                <w:sz w:val="20"/>
              </w:rPr>
              <w:t>1</w:t>
            </w:r>
          </w:p>
        </w:tc>
      </w:tr>
      <w:tr w:rsidR="004946DF" w:rsidRPr="00880B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 xml:space="preserve">Til stede ved den endelige afstemning – </w:t>
            </w:r>
            <w:r w:rsidRPr="00880B0F">
              <w:rPr>
                <w:b/>
                <w:color w:val="000000"/>
                <w:sz w:val="20"/>
              </w:rPr>
              <w:t>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Clara Aguilera, João Albuquerque, Pietro Bartolo, François-Xavier Bellamy, Isabel Carvalhais, Asger Christensen, Rosa D’Amato, Francisco Guerreiro, Anja Haga, Anja Hazekamp, Niclas Herbst, Jan Huitema, Ladislav Ilčić, France Jamet, Predrag Fred M</w:t>
            </w:r>
            <w:r w:rsidRPr="00880B0F">
              <w:rPr>
                <w:color w:val="000000"/>
                <w:sz w:val="20"/>
              </w:rPr>
              <w:t>atić, Francisco José Millán Mon, Marc Tarabella, Theodoros Zagorakis</w:t>
            </w:r>
          </w:p>
        </w:tc>
      </w:tr>
      <w:tr w:rsidR="004946DF" w:rsidRPr="00880B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Cláudia Monteiro de Aguiar, Elżbieta Rafalska, Lucia Vuolo</w:t>
            </w:r>
          </w:p>
        </w:tc>
      </w:tr>
      <w:tr w:rsidR="004946DF" w:rsidRPr="00880B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b/>
                <w:bCs/>
                <w:color w:val="000000"/>
                <w:sz w:val="20"/>
                <w:szCs w:val="20"/>
              </w:rPr>
            </w:pPr>
            <w:r w:rsidRPr="00880B0F">
              <w:rPr>
                <w:b/>
                <w:color w:val="000000"/>
                <w:sz w:val="20"/>
              </w:rPr>
              <w:t xml:space="preserve">Til stede ved den endelige afstemning – stedfortrædere </w:t>
            </w:r>
            <w:r w:rsidRPr="00880B0F">
              <w:rPr>
                <w:b/>
                <w:color w:val="000000"/>
                <w:sz w:val="20"/>
              </w:rPr>
              <w:t>(forretningsordenens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F2874" w:rsidRPr="00880B0F" w:rsidRDefault="00880B0F">
            <w:pPr>
              <w:autoSpaceDE w:val="0"/>
              <w:autoSpaceDN w:val="0"/>
              <w:adjustRightInd w:val="0"/>
              <w:rPr>
                <w:color w:val="000000"/>
                <w:sz w:val="20"/>
                <w:szCs w:val="20"/>
              </w:rPr>
            </w:pPr>
            <w:r w:rsidRPr="00880B0F">
              <w:rPr>
                <w:color w:val="000000"/>
                <w:sz w:val="20"/>
              </w:rPr>
              <w:t>Iskra Mihaylova</w:t>
            </w:r>
          </w:p>
        </w:tc>
      </w:tr>
      <w:bookmarkEnd w:id="0"/>
    </w:tbl>
    <w:p w:rsidR="000177F1" w:rsidRPr="00880B0F" w:rsidRDefault="000177F1"/>
    <w:p w:rsidR="000177F1" w:rsidRPr="00880B0F" w:rsidRDefault="000177F1" w:rsidP="000177F1"/>
    <w:p w:rsidR="000177F1" w:rsidRPr="00880B0F" w:rsidRDefault="000177F1" w:rsidP="000177F1">
      <w:pPr>
        <w:sectPr w:rsidR="000177F1" w:rsidRPr="00880B0F" w:rsidSect="000177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177F1" w:rsidRPr="00880B0F" w:rsidRDefault="000177F1" w:rsidP="000177F1"/>
    <w:p w:rsidR="000177F1" w:rsidRPr="00880B0F" w:rsidRDefault="00880B0F" w:rsidP="00C36610">
      <w:pPr>
        <w:pStyle w:val="PageHeadingNotTOC"/>
      </w:pPr>
      <w:bookmarkStart w:id="6" w:name="RollCallPageAD"/>
      <w:r w:rsidRPr="00880B0F">
        <w:t>ENDELIG AFSTEMNING VED NAVNEOPRÅB</w:t>
      </w:r>
      <w:r w:rsidRPr="00880B0F">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46DF" w:rsidRPr="00880B0F" w:rsidTr="004D1CA4">
        <w:trPr>
          <w:cantSplit/>
        </w:trPr>
        <w:tc>
          <w:tcPr>
            <w:tcW w:w="1701" w:type="dxa"/>
            <w:shd w:val="pct10" w:color="000000" w:fill="FFFFFF"/>
            <w:vAlign w:val="center"/>
          </w:tcPr>
          <w:p w:rsidR="000177F1" w:rsidRPr="00880B0F" w:rsidRDefault="00880B0F" w:rsidP="004D1CA4">
            <w:pPr>
              <w:pStyle w:val="RollCallVotes"/>
            </w:pPr>
            <w:r w:rsidRPr="00880B0F">
              <w:t>21</w:t>
            </w:r>
          </w:p>
        </w:tc>
        <w:tc>
          <w:tcPr>
            <w:tcW w:w="7371" w:type="dxa"/>
            <w:shd w:val="pct10" w:color="000000" w:fill="FFFFFF"/>
          </w:tcPr>
          <w:p w:rsidR="000177F1" w:rsidRPr="00880B0F" w:rsidRDefault="00880B0F" w:rsidP="004D1CA4">
            <w:pPr>
              <w:pStyle w:val="RollCallSymbols14pt"/>
            </w:pPr>
            <w:r w:rsidRPr="00880B0F">
              <w:t>+</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ECR</w:t>
            </w:r>
          </w:p>
        </w:tc>
        <w:tc>
          <w:tcPr>
            <w:tcW w:w="7371" w:type="dxa"/>
            <w:shd w:val="clear" w:color="auto" w:fill="FFFFFF"/>
          </w:tcPr>
          <w:p w:rsidR="000177F1" w:rsidRPr="00880B0F" w:rsidRDefault="00880B0F" w:rsidP="004D1CA4">
            <w:pPr>
              <w:pStyle w:val="RollCallTable"/>
            </w:pPr>
            <w:r w:rsidRPr="00880B0F">
              <w:t>Ladislav Ilčić, Elżbieta Rafalska</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NI</w:t>
            </w:r>
          </w:p>
        </w:tc>
        <w:tc>
          <w:tcPr>
            <w:tcW w:w="7371" w:type="dxa"/>
            <w:shd w:val="clear" w:color="auto" w:fill="FFFFFF"/>
          </w:tcPr>
          <w:p w:rsidR="000177F1" w:rsidRPr="00880B0F" w:rsidRDefault="00880B0F" w:rsidP="004D1CA4">
            <w:pPr>
              <w:pStyle w:val="RollCallTable"/>
            </w:pPr>
            <w:r w:rsidRPr="00880B0F">
              <w:t>Marc Tarabella</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PPE</w:t>
            </w:r>
          </w:p>
        </w:tc>
        <w:tc>
          <w:tcPr>
            <w:tcW w:w="7371" w:type="dxa"/>
            <w:shd w:val="clear" w:color="auto" w:fill="FFFFFF"/>
          </w:tcPr>
          <w:p w:rsidR="000177F1" w:rsidRPr="00880B0F" w:rsidRDefault="00880B0F" w:rsidP="004D1CA4">
            <w:pPr>
              <w:pStyle w:val="RollCallTable"/>
            </w:pPr>
            <w:r w:rsidRPr="00880B0F">
              <w:t xml:space="preserve">François-Xavier Bellamy, Anja Haga, Niclas Herbst, Francisco </w:t>
            </w:r>
            <w:r w:rsidRPr="00880B0F">
              <w:t>José Millán Mon, Cláudia Monteiro de Aguiar, Lucia Vuolo, Theodoros Zagorakis</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Renew</w:t>
            </w:r>
          </w:p>
        </w:tc>
        <w:tc>
          <w:tcPr>
            <w:tcW w:w="7371" w:type="dxa"/>
            <w:shd w:val="clear" w:color="auto" w:fill="FFFFFF"/>
          </w:tcPr>
          <w:p w:rsidR="000177F1" w:rsidRPr="00880B0F" w:rsidRDefault="00880B0F" w:rsidP="004D1CA4">
            <w:pPr>
              <w:pStyle w:val="RollCallTable"/>
            </w:pPr>
            <w:r w:rsidRPr="00880B0F">
              <w:t>Asger Christensen, Jan Huitema, Iskra Mihaylova</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S&amp;D</w:t>
            </w:r>
          </w:p>
        </w:tc>
        <w:tc>
          <w:tcPr>
            <w:tcW w:w="7371" w:type="dxa"/>
            <w:shd w:val="clear" w:color="auto" w:fill="FFFFFF"/>
          </w:tcPr>
          <w:p w:rsidR="000177F1" w:rsidRPr="00880B0F" w:rsidRDefault="00880B0F" w:rsidP="004D1CA4">
            <w:pPr>
              <w:pStyle w:val="RollCallTable"/>
            </w:pPr>
            <w:r w:rsidRPr="00880B0F">
              <w:t>Clara Aguilera, João Albuquerque, Pietro Bartolo, Isabel Carvalhais, Predrag Fred Matić</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The Left</w:t>
            </w:r>
          </w:p>
        </w:tc>
        <w:tc>
          <w:tcPr>
            <w:tcW w:w="7371" w:type="dxa"/>
            <w:shd w:val="clear" w:color="auto" w:fill="FFFFFF"/>
          </w:tcPr>
          <w:p w:rsidR="000177F1" w:rsidRPr="00880B0F" w:rsidRDefault="00880B0F" w:rsidP="004D1CA4">
            <w:pPr>
              <w:pStyle w:val="RollCallTable"/>
            </w:pPr>
            <w:r w:rsidRPr="00880B0F">
              <w:t>Anja Hazekamp</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Verts/ALE</w:t>
            </w:r>
          </w:p>
        </w:tc>
        <w:tc>
          <w:tcPr>
            <w:tcW w:w="7371" w:type="dxa"/>
            <w:shd w:val="clear" w:color="auto" w:fill="FFFFFF"/>
          </w:tcPr>
          <w:p w:rsidR="000177F1" w:rsidRPr="00880B0F" w:rsidRDefault="00880B0F" w:rsidP="004D1CA4">
            <w:pPr>
              <w:pStyle w:val="RollCallTable"/>
            </w:pPr>
            <w:r w:rsidRPr="00880B0F">
              <w:t>Rosa D'Amato, Francisco Guerreiro</w:t>
            </w:r>
          </w:p>
        </w:tc>
      </w:tr>
    </w:tbl>
    <w:p w:rsidR="000177F1" w:rsidRPr="00880B0F" w:rsidRDefault="000177F1" w:rsidP="000177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46DF" w:rsidRPr="00880B0F" w:rsidTr="004D1CA4">
        <w:trPr>
          <w:cantSplit/>
        </w:trPr>
        <w:tc>
          <w:tcPr>
            <w:tcW w:w="1701" w:type="dxa"/>
            <w:shd w:val="pct10" w:color="000000" w:fill="FFFFFF"/>
            <w:vAlign w:val="center"/>
          </w:tcPr>
          <w:p w:rsidR="000177F1" w:rsidRPr="00880B0F" w:rsidRDefault="00880B0F" w:rsidP="004D1CA4">
            <w:pPr>
              <w:pStyle w:val="RollCallVotes"/>
            </w:pPr>
            <w:r w:rsidRPr="00880B0F">
              <w:t>0</w:t>
            </w:r>
          </w:p>
        </w:tc>
        <w:tc>
          <w:tcPr>
            <w:tcW w:w="7371" w:type="dxa"/>
            <w:shd w:val="pct10" w:color="000000" w:fill="FFFFFF"/>
          </w:tcPr>
          <w:p w:rsidR="000177F1" w:rsidRPr="00880B0F" w:rsidRDefault="00880B0F" w:rsidP="004D1CA4">
            <w:pPr>
              <w:pStyle w:val="RollCallSymbols14pt"/>
            </w:pPr>
            <w:r w:rsidRPr="00880B0F">
              <w:t>-</w:t>
            </w:r>
          </w:p>
        </w:tc>
      </w:tr>
      <w:tr w:rsidR="004946DF" w:rsidRPr="00880B0F" w:rsidTr="004D1CA4">
        <w:trPr>
          <w:cantSplit/>
        </w:trPr>
        <w:tc>
          <w:tcPr>
            <w:tcW w:w="1701" w:type="dxa"/>
            <w:shd w:val="clear" w:color="auto" w:fill="FFFFFF"/>
          </w:tcPr>
          <w:p w:rsidR="000177F1" w:rsidRPr="00880B0F" w:rsidRDefault="000177F1" w:rsidP="004D1CA4">
            <w:pPr>
              <w:pStyle w:val="RollCallTable"/>
            </w:pPr>
          </w:p>
        </w:tc>
        <w:tc>
          <w:tcPr>
            <w:tcW w:w="7371" w:type="dxa"/>
            <w:shd w:val="clear" w:color="auto" w:fill="FFFFFF"/>
          </w:tcPr>
          <w:p w:rsidR="000177F1" w:rsidRPr="00880B0F" w:rsidRDefault="000177F1" w:rsidP="004D1CA4">
            <w:pPr>
              <w:pStyle w:val="RollCallTable"/>
            </w:pPr>
          </w:p>
        </w:tc>
      </w:tr>
    </w:tbl>
    <w:p w:rsidR="000177F1" w:rsidRPr="00880B0F" w:rsidRDefault="000177F1" w:rsidP="000177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46DF" w:rsidRPr="00880B0F" w:rsidTr="004D1CA4">
        <w:trPr>
          <w:cantSplit/>
        </w:trPr>
        <w:tc>
          <w:tcPr>
            <w:tcW w:w="1701" w:type="dxa"/>
            <w:shd w:val="pct10" w:color="000000" w:fill="FFFFFF"/>
            <w:vAlign w:val="center"/>
          </w:tcPr>
          <w:p w:rsidR="000177F1" w:rsidRPr="00880B0F" w:rsidRDefault="00880B0F" w:rsidP="004D1CA4">
            <w:pPr>
              <w:pStyle w:val="RollCallVotes"/>
            </w:pPr>
            <w:r w:rsidRPr="00880B0F">
              <w:t>1</w:t>
            </w:r>
          </w:p>
        </w:tc>
        <w:tc>
          <w:tcPr>
            <w:tcW w:w="7371" w:type="dxa"/>
            <w:shd w:val="pct10" w:color="000000" w:fill="FFFFFF"/>
          </w:tcPr>
          <w:p w:rsidR="000177F1" w:rsidRPr="00880B0F" w:rsidRDefault="00880B0F" w:rsidP="004D1CA4">
            <w:pPr>
              <w:pStyle w:val="RollCallSymbols14pt"/>
            </w:pPr>
            <w:r w:rsidRPr="00880B0F">
              <w:t>0</w:t>
            </w:r>
          </w:p>
        </w:tc>
      </w:tr>
      <w:tr w:rsidR="004946DF" w:rsidRPr="00880B0F" w:rsidTr="004D1CA4">
        <w:trPr>
          <w:cantSplit/>
        </w:trPr>
        <w:tc>
          <w:tcPr>
            <w:tcW w:w="1701" w:type="dxa"/>
            <w:shd w:val="clear" w:color="auto" w:fill="FFFFFF"/>
          </w:tcPr>
          <w:p w:rsidR="000177F1" w:rsidRPr="00880B0F" w:rsidRDefault="00880B0F" w:rsidP="004D1CA4">
            <w:pPr>
              <w:pStyle w:val="RollCallTable"/>
            </w:pPr>
            <w:r w:rsidRPr="00880B0F">
              <w:t>ID</w:t>
            </w:r>
          </w:p>
        </w:tc>
        <w:tc>
          <w:tcPr>
            <w:tcW w:w="7371" w:type="dxa"/>
            <w:shd w:val="clear" w:color="auto" w:fill="FFFFFF"/>
          </w:tcPr>
          <w:p w:rsidR="000177F1" w:rsidRPr="00880B0F" w:rsidRDefault="00880B0F" w:rsidP="004D1CA4">
            <w:pPr>
              <w:pStyle w:val="RollCallTable"/>
            </w:pPr>
            <w:r w:rsidRPr="00880B0F">
              <w:t>France Jamet</w:t>
            </w:r>
          </w:p>
        </w:tc>
      </w:tr>
    </w:tbl>
    <w:p w:rsidR="000177F1" w:rsidRPr="00880B0F" w:rsidRDefault="000177F1" w:rsidP="00147FBF">
      <w:pPr>
        <w:pStyle w:val="Normal12a"/>
      </w:pPr>
    </w:p>
    <w:p w:rsidR="000177F1" w:rsidRPr="00880B0F" w:rsidRDefault="00880B0F" w:rsidP="00B735E3">
      <w:r w:rsidRPr="00880B0F">
        <w:t>Tegnforklaring:</w:t>
      </w:r>
    </w:p>
    <w:p w:rsidR="000177F1" w:rsidRPr="00880B0F" w:rsidRDefault="00880B0F" w:rsidP="003858C5">
      <w:pPr>
        <w:pStyle w:val="RollCallTabs"/>
      </w:pPr>
      <w:r w:rsidRPr="00880B0F">
        <w:t>+</w:t>
      </w:r>
      <w:r w:rsidRPr="00880B0F">
        <w:tab/>
        <w:t>:</w:t>
      </w:r>
      <w:r w:rsidRPr="00880B0F">
        <w:tab/>
        <w:t>for</w:t>
      </w:r>
    </w:p>
    <w:p w:rsidR="000177F1" w:rsidRPr="00880B0F" w:rsidRDefault="00880B0F" w:rsidP="003858C5">
      <w:pPr>
        <w:pStyle w:val="RollCallTabs"/>
      </w:pPr>
      <w:r w:rsidRPr="00880B0F">
        <w:t>-</w:t>
      </w:r>
      <w:r w:rsidRPr="00880B0F">
        <w:tab/>
        <w:t>:</w:t>
      </w:r>
      <w:r w:rsidRPr="00880B0F">
        <w:tab/>
        <w:t>imod</w:t>
      </w:r>
    </w:p>
    <w:p w:rsidR="000177F1" w:rsidRPr="00880B0F" w:rsidRDefault="00880B0F" w:rsidP="003858C5">
      <w:pPr>
        <w:pStyle w:val="RollCallTabs"/>
      </w:pPr>
      <w:r w:rsidRPr="00880B0F">
        <w:t>0</w:t>
      </w:r>
      <w:r w:rsidRPr="00880B0F">
        <w:tab/>
        <w:t>:</w:t>
      </w:r>
      <w:r w:rsidRPr="00880B0F">
        <w:tab/>
        <w:t>hverken/eller</w:t>
      </w:r>
    </w:p>
    <w:p w:rsidR="000177F1" w:rsidRPr="00880B0F" w:rsidRDefault="000177F1" w:rsidP="00207509"/>
    <w:bookmarkEnd w:id="6"/>
    <w:p w:rsidR="004F2874" w:rsidRPr="00880B0F" w:rsidRDefault="004F2874" w:rsidP="000177F1"/>
    <w:sectPr w:rsidR="004F2874" w:rsidRPr="00880B0F" w:rsidSect="000177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80B0F">
      <w:r>
        <w:separator/>
      </w:r>
    </w:p>
  </w:endnote>
  <w:endnote w:type="continuationSeparator" w:id="0">
    <w:p w:rsidR="00000000" w:rsidRDefault="0088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7F1" w:rsidRPr="00B0332E" w:rsidRDefault="00880B0F" w:rsidP="000177F1">
    <w:pPr>
      <w:pStyle w:val="EPFooter"/>
    </w:pPr>
    <w:r w:rsidRPr="00B0332E">
      <w:t>PE</w:t>
    </w:r>
    <w:r w:rsidRPr="00B0332E">
      <w:rPr>
        <w:rStyle w:val="HideTWBExt"/>
      </w:rPr>
      <w:t>&lt;NoPE&gt;</w:t>
    </w:r>
    <w:r w:rsidRPr="00B0332E">
      <w:t>753.445</w:t>
    </w:r>
    <w:r w:rsidRPr="00B0332E">
      <w:rPr>
        <w:rStyle w:val="HideTWBExt"/>
      </w:rPr>
      <w:t>&lt;/NoPE&gt;&lt;Version&gt;</w:t>
    </w:r>
    <w:r w:rsidRPr="00B0332E">
      <w:t>v04-00</w:t>
    </w:r>
    <w:r w:rsidRPr="00B0332E">
      <w:rPr>
        <w:rStyle w:val="HideTWBExt"/>
      </w:rPr>
      <w:t>&lt;/Version&gt;</w:t>
    </w:r>
    <w:r w:rsidRPr="00B0332E">
      <w:tab/>
    </w:r>
    <w:r w:rsidRPr="00B0332E">
      <w:fldChar w:fldCharType="begin"/>
    </w:r>
    <w:r w:rsidRPr="00B0332E">
      <w:instrText xml:space="preserve"> PAGE  \* MERGEFORMAT </w:instrText>
    </w:r>
    <w:r w:rsidRPr="00B0332E">
      <w:fldChar w:fldCharType="separate"/>
    </w:r>
    <w:r>
      <w:rPr>
        <w:noProof/>
      </w:rPr>
      <w:t>26</w:t>
    </w:r>
    <w:r w:rsidRPr="00B0332E">
      <w:fldChar w:fldCharType="end"/>
    </w:r>
    <w:r w:rsidRPr="00B0332E">
      <w:t>/</w:t>
    </w:r>
    <w:r w:rsidR="00B0332E" w:rsidRPr="00B0332E">
      <w:fldChar w:fldCharType="begin"/>
    </w:r>
    <w:r>
      <w:instrText xml:space="preserve"> NUMPAGES  \* MERGEFORMAT </w:instrText>
    </w:r>
    <w:r w:rsidR="00B0332E" w:rsidRPr="00B0332E">
      <w:fldChar w:fldCharType="separate"/>
    </w:r>
    <w:r>
      <w:rPr>
        <w:noProof/>
      </w:rPr>
      <w:t>31</w:t>
    </w:r>
    <w:r w:rsidR="00B0332E" w:rsidRPr="00B0332E">
      <w:rPr>
        <w:noProof/>
      </w:rPr>
      <w:fldChar w:fldCharType="end"/>
    </w:r>
    <w:r w:rsidRPr="00B0332E">
      <w:tab/>
    </w:r>
    <w:r w:rsidRPr="00B0332E">
      <w:rPr>
        <w:rStyle w:val="HideTWBExt"/>
      </w:rPr>
      <w:t>&lt;PathFdR&gt;</w:t>
    </w:r>
    <w:r w:rsidRPr="00B0332E">
      <w:t>AD\1290360DA.docx</w:t>
    </w:r>
    <w:r w:rsidRPr="00B0332E">
      <w:rPr>
        <w:rStyle w:val="HideTWBExt"/>
      </w:rPr>
      <w:t>&lt;/PathFdR&gt;</w:t>
    </w:r>
  </w:p>
  <w:p w:rsidR="007F187F" w:rsidRPr="00B0332E" w:rsidRDefault="00880B0F" w:rsidP="000177F1">
    <w:pPr>
      <w:pStyle w:val="EPFooter2"/>
    </w:pPr>
    <w:r w:rsidRPr="00B0332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7F1" w:rsidRPr="00B0332E" w:rsidRDefault="00880B0F" w:rsidP="000177F1">
    <w:pPr>
      <w:pStyle w:val="EPFooter"/>
    </w:pPr>
    <w:r w:rsidRPr="00B0332E">
      <w:rPr>
        <w:rStyle w:val="HideTWBExt"/>
      </w:rPr>
      <w:t>&lt;PathFdR&gt;</w:t>
    </w:r>
    <w:r w:rsidRPr="00B0332E">
      <w:t>AD\1290360DA.docx</w:t>
    </w:r>
    <w:r w:rsidRPr="00B0332E">
      <w:rPr>
        <w:rStyle w:val="HideTWBExt"/>
      </w:rPr>
      <w:t>&lt;/PathFdR&gt;</w:t>
    </w:r>
    <w:r w:rsidRPr="00B0332E">
      <w:tab/>
    </w:r>
    <w:r w:rsidRPr="00B0332E">
      <w:fldChar w:fldCharType="begin"/>
    </w:r>
    <w:r w:rsidRPr="00B0332E">
      <w:instrText xml:space="preserve"> PAGE  \* MERGEFORMAT </w:instrText>
    </w:r>
    <w:r w:rsidRPr="00B0332E">
      <w:fldChar w:fldCharType="separate"/>
    </w:r>
    <w:r>
      <w:rPr>
        <w:noProof/>
      </w:rPr>
      <w:t>25</w:t>
    </w:r>
    <w:r w:rsidRPr="00B0332E">
      <w:fldChar w:fldCharType="end"/>
    </w:r>
    <w:r w:rsidRPr="00B0332E">
      <w:t>/</w:t>
    </w:r>
    <w:r w:rsidR="00B0332E" w:rsidRPr="00B0332E">
      <w:fldChar w:fldCharType="begin"/>
    </w:r>
    <w:r>
      <w:instrText xml:space="preserve"> NUMPAGES  \* MERGEFORMAT </w:instrText>
    </w:r>
    <w:r w:rsidR="00B0332E" w:rsidRPr="00B0332E">
      <w:fldChar w:fldCharType="separate"/>
    </w:r>
    <w:r>
      <w:rPr>
        <w:noProof/>
      </w:rPr>
      <w:t>31</w:t>
    </w:r>
    <w:r w:rsidR="00B0332E" w:rsidRPr="00B0332E">
      <w:rPr>
        <w:noProof/>
      </w:rPr>
      <w:fldChar w:fldCharType="end"/>
    </w:r>
    <w:r w:rsidRPr="00B0332E">
      <w:tab/>
      <w:t>PE</w:t>
    </w:r>
    <w:r w:rsidRPr="00B0332E">
      <w:rPr>
        <w:rStyle w:val="HideTWBExt"/>
      </w:rPr>
      <w:t>&lt;NoPE&gt;</w:t>
    </w:r>
    <w:r w:rsidRPr="00B0332E">
      <w:t>753.445</w:t>
    </w:r>
    <w:r w:rsidRPr="00B0332E">
      <w:rPr>
        <w:rStyle w:val="HideTWBExt"/>
      </w:rPr>
      <w:t>&lt;/NoPE&gt;&lt;Version&gt;</w:t>
    </w:r>
    <w:r w:rsidRPr="00B0332E">
      <w:t>v04-00</w:t>
    </w:r>
    <w:r w:rsidRPr="00B0332E">
      <w:rPr>
        <w:rStyle w:val="HideTWBExt"/>
      </w:rPr>
      <w:t>&lt;/Version&gt;</w:t>
    </w:r>
  </w:p>
  <w:p w:rsidR="007F187F" w:rsidRPr="00B0332E" w:rsidRDefault="00880B0F" w:rsidP="000177F1">
    <w:pPr>
      <w:pStyle w:val="EPFooter2"/>
    </w:pPr>
    <w:r w:rsidRPr="00B0332E">
      <w:tab/>
    </w:r>
    <w:r w:rsidRPr="00B0332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7F1" w:rsidRPr="00B0332E" w:rsidRDefault="00880B0F" w:rsidP="000177F1">
    <w:pPr>
      <w:pStyle w:val="EPFooter"/>
    </w:pPr>
    <w:r w:rsidRPr="00B0332E">
      <w:rPr>
        <w:rStyle w:val="HideTWBExt"/>
      </w:rPr>
      <w:t>&lt;PathFdR&gt;</w:t>
    </w:r>
    <w:r w:rsidRPr="00B0332E">
      <w:t>AD\1290360DA.docx</w:t>
    </w:r>
    <w:r w:rsidRPr="00B0332E">
      <w:rPr>
        <w:rStyle w:val="HideTWBExt"/>
      </w:rPr>
      <w:t>&lt;/PathFdR&gt;</w:t>
    </w:r>
    <w:r w:rsidRPr="00B0332E">
      <w:tab/>
    </w:r>
    <w:r w:rsidRPr="00B0332E">
      <w:tab/>
      <w:t>PE</w:t>
    </w:r>
    <w:r w:rsidRPr="00B0332E">
      <w:rPr>
        <w:rStyle w:val="HideTWBExt"/>
      </w:rPr>
      <w:t>&lt;NoPE&gt;</w:t>
    </w:r>
    <w:r w:rsidRPr="00B0332E">
      <w:t>753.445</w:t>
    </w:r>
    <w:r w:rsidRPr="00B0332E">
      <w:rPr>
        <w:rStyle w:val="HideTWBExt"/>
      </w:rPr>
      <w:t>&lt;/NoPE&gt;&lt;Version&gt;</w:t>
    </w:r>
    <w:r w:rsidRPr="00B0332E">
      <w:t>v04-00</w:t>
    </w:r>
    <w:r w:rsidRPr="00B0332E">
      <w:rPr>
        <w:rStyle w:val="HideTWBExt"/>
      </w:rPr>
      <w:t>&lt;/Version&gt;</w:t>
    </w:r>
  </w:p>
  <w:p w:rsidR="007F187F" w:rsidRPr="00B0332E" w:rsidRDefault="00880B0F" w:rsidP="000177F1">
    <w:pPr>
      <w:pStyle w:val="EPFooter2"/>
    </w:pPr>
    <w:r w:rsidRPr="00B0332E">
      <w:t>DA</w:t>
    </w:r>
    <w:r w:rsidRPr="00B0332E">
      <w:tab/>
    </w:r>
    <w:r w:rsidRPr="00B0332E">
      <w:rPr>
        <w:b w:val="0"/>
        <w:i/>
        <w:color w:val="C0C0C0"/>
        <w:sz w:val="22"/>
      </w:rPr>
      <w:t>Forenet i mangfoldighed</w:t>
    </w:r>
    <w:r w:rsidRPr="00B0332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126" w:rsidRPr="00B0332E" w:rsidRDefault="00880B0F">
      <w:r w:rsidRPr="00B0332E">
        <w:separator/>
      </w:r>
    </w:p>
  </w:footnote>
  <w:footnote w:type="continuationSeparator" w:id="0">
    <w:p w:rsidR="003D2126" w:rsidRPr="00B0332E" w:rsidRDefault="00880B0F">
      <w:r w:rsidRPr="00B0332E">
        <w:continuationSeparator/>
      </w:r>
    </w:p>
  </w:footnote>
  <w:footnote w:id="1">
    <w:p w:rsidR="001303FC" w:rsidRPr="00B0332E" w:rsidRDefault="00880B0F" w:rsidP="001303FC">
      <w:pPr>
        <w:pStyle w:val="FootnoteText"/>
      </w:pPr>
      <w:r>
        <w:rPr>
          <w:rStyle w:val="FootnoteReference"/>
        </w:rPr>
        <w:footnoteRef/>
      </w:r>
      <w:r>
        <w:tab/>
        <w:t xml:space="preserve">EUT L 255 af 30.9.2005, s. 11.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B0F" w:rsidRDefault="00880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B0F" w:rsidRDefault="00880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B0F" w:rsidRDefault="00880B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1"/>
    <w:docVar w:name="CODEMNU" w:val=" 1"/>
    <w:docVar w:name="COM2KEY" w:val="TRAN"/>
    <w:docVar w:name="COMKEY" w:val="PECH"/>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26087 HideTWBExt;}{_x000d__x000a_\s18\ql \li0\ri0\sa120\nowidctlpar\wrapdefault\aspalpha\aspnum\faauto\adjustright\rin0\lin0\itap0 \rtlch\fcs1 \af0\afs20\alang1025 \ltrch\fcs0 \fs24\lang2057\langfe2057\cgrid\langnp2057\langfenp2057 \sbasedon0 \snext18 \spriority0 \styrsid11826087 _x000d__x000a_Normal6a;}{\s19\ql \li0\ri0\nowidctlpar\wrapdefault\aspalpha\aspnum\faauto\adjustright\rin0\lin0\itap0 \rtlch\fcs1 \af0\afs20\alang1025 \ltrch\fcs0 \b\fs24\lang2057\langfe2057\cgrid\langnp2057\langfenp2057 \sbasedon0 \snext19 \spriority0 \styrsid11826087 _x000d__x000a_NormalBold;}{\*\cs20 \additive \v\f1\fs20\cf15 \spriority0 \styrsid11826087 HideTWBInt;}{\s21\qc \li0\ri0\sa240\nowidctlpar\wrapdefault\aspalpha\aspnum\faauto\adjustright\rin0\lin0\itap0 \rtlch\fcs1 \af0\afs20\alang1025 \ltrch\fcs0 _x000d__x000a_\i\fs24\lang2057\langfe2057\cgrid\langnp2057\langfenp2057 \sbasedon0 \snext21 \spriority0 \styrsid1182608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1826087 AmNumberTabs;}{\s23\ql \li0\ri0\sb240\nowidctlpar\wrapdefault\aspalpha\aspnum\faauto\adjustright\rin0\lin0\itap0 \rtlch\fcs1 _x000d__x000a_\af0\afs20\alang1025 \ltrch\fcs0 \b\fs24\lang2057\langfe2057\cgrid\langnp2057\langfenp2057 \sbasedon0 \snext23 \spriority0 \styrsid11826087 NormalBold12b;}}{\*\rsidtbl \rsid24658\rsid223860\rsid735077\rsid1718133\rsid2892074\rsid3565327\rsid4666813_x000d__x000a_\rsid6641733\rsid7823322\rsid7876830\rsid9636012\rsid10377208\rsid11215221\rsid11549030\rsid11826087\rsid12154954\rsid14382809\rsid14424199\rsid15204470\rsid15285974\rsid15950462\rsid16324206\rsid16662270}{\mmathPr\mmathFont34\mbrkBin0\mbrkBinSub0_x000d__x000a_\msmallFrac0\mdispDef1\mlMargin0\mrMargin0\mdefJc1\mwrapIndent1440\mintLim0\mnaryLim1}{\info{\author ZINOCKER Marianne}{\operator ZINOCKER Marianne}{\creatim\yr2023\mo11\dy13\hr14\min25}{\revtim\yr2023\mo11\dy13\hr14\min25}{\version1}{\edmins0}_x000d__x000a_{\nofpages1}{\nofwords30}{\nofchars176}{\nofcharsws20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26087\newtblstyruls\nogrowautofit\usenormstyforlist\noindnmbrts\felnbrelev\nocxsptable\indrlsweleven\noafcnsttbl\afelev\utinl\hwelev\spltpgpar\notcvasp\notbrkcnstfrctbl\notvatxbx\krnprsnet\cachedcolbal _x000d__x000a_\nouicompat \fet0{\*\wgrffmtfilter 013f}\nofeaturethrottle1\ilfomacatclnup0{\*\template C:\\Users\\MZINOC~1\\AppData\\Local\\Temp\\Blank1.dotx}{\*\ftnsep \ltrpar \pard\plain \ltrpar_x000d__x000a_\ql \li0\ri0\widctlpar\wrapdefault\aspalpha\aspnum\faauto\adjustright\rin0\lin0\itap0 \rtlch\fcs1 \af0\afs20\alang1025 \ltrch\fcs0 \fs24\lang2057\langfe2057\cgrid\langnp2057\langfenp2057 {\rtlch\fcs1 \af0 \ltrch\fcs0 \insrsid7876830 \chftnsep _x000d__x000a_\par }}{\*\ftnsepc \ltrpar \pard\plain \ltrpar\ql \li0\ri0\widctlpar\wrapdefault\aspalpha\aspnum\faauto\adjustright\rin0\lin0\itap0 \rtlch\fcs1 \af0\afs20\alang1025 \ltrch\fcs0 \fs24\lang2057\langfe2057\cgrid\langnp2057\langfenp2057 {\rtlch\fcs1 \af0 _x000d__x000a_\ltrch\fcs0 \insrsid7876830 \chftnsepc _x000d__x000a_\par }}{\*\aftnsep \ltrpar \pard\plain \ltrpar\ql \li0\ri0\widctlpar\wrapdefault\aspalpha\aspnum\faauto\adjustright\rin0\lin0\itap0 \rtlch\fcs1 \af0\afs20\alang1025 \ltrch\fcs0 \fs24\lang2057\langfe2057\cgrid\langnp2057\langfenp2057 {\rtlch\fcs1 \af0 _x000d__x000a_\ltrch\fcs0 \insrsid7876830 \chftnsep _x000d__x000a_\par }}{\*\aftnsepc \ltrpar \pard\plain \ltrpar\ql \li0\ri0\widctlpar\wrapdefault\aspalpha\aspnum\faauto\adjustright\rin0\lin0\itap0 \rtlch\fcs1 \af0\afs20\alang1025 \ltrch\fcs0 \fs24\lang2057\langfe2057\cgrid\langnp2057\langfenp2057 {\rtlch\fcs1 \af0 _x000d__x000a_\ltrch\fcs0 \insrsid78768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826087 \rtlch\fcs1 _x000d__x000a_\af0\afs20\alang1025 \ltrch\fcs0 \b\fs24\lang2057\langfe2057\cgrid\langnp2057\langfenp2057 {\rtlch\fcs1 \af0 \ltrch\fcs0 \cs17\b0\v\fs20\cf9\lang1024\langfe1024\loch\af1\hich\af1\dbch\af31501\noproof\insrsid11826087\charrsid4857309 {\*\bkmkstart restartA}_x000d__x000a_\hich\af1\dbch\af31501\loch\f1 &lt;AmendA&gt;}{\rtlch\fcs1 \af0 \ltrch\fcs0 \insrsid11826087\charrsid4857309 Amendment\tab \tab }{\rtlch\fcs1 \af0 \ltrch\fcs0 _x000d__x000a_\cs17\b0\v\fs20\cf9\lang1024\langfe1024\loch\af1\hich\af1\dbch\af31501\noproof\insrsid11826087\charrsid4857309 \hich\af1\dbch\af31501\loch\f1 &lt;NumAmA&gt;}{\rtlch\fcs1 \af0 \ltrch\fcs0 \insrsid11826087\charrsid4857309 #}{\rtlch\fcs1 \af1 \ltrch\fcs0 _x000d__x000a_\cs20\v\f1\fs20\cf15\insrsid11826087\charrsid4857309 ENMIENDA@NRAM@}{\rtlch\fcs1 \af0 \ltrch\fcs0 \insrsid11826087\charrsid4857309 #}{\rtlch\fcs1 \af0 \ltrch\fcs0 _x000d__x000a_\cs17\b0\v\fs20\cf9\lang1024\langfe1024\loch\af1\hich\af1\dbch\af31501\noproof\insrsid11826087\charrsid4857309 \hich\af1\dbch\af31501\loch\f1 &lt;/NumAmA&gt;}{\rtlch\fcs1 \af0 \ltrch\fcs0 \insrsid11826087\charrsid4857309 _x000d__x000a_\par }\pard\plain \ltrpar\s23\ql \li0\ri0\sb240\keepn\nowidctlpar\wrapdefault\aspalpha\aspnum\faauto\adjustright\rin0\lin0\itap0\pararsid11826087 \rtlch\fcs1 \af0\afs20\alang1025 \ltrch\fcs0 \b\fs24\lang2057\langfe2057\cgrid\langnp2057\langfenp2057 {_x000d__x000a_\rtlch\fcs1 \af0 \ltrch\fcs0 \cs17\b0\v\fs20\cf9\lang1024\langfe1024\loch\af1\hich\af1\dbch\af31501\noproof\insrsid11826087\charrsid4857309 \hich\af1\dbch\af31501\loch\f1 &lt;DocAmend&gt;}{\rtlch\fcs1 \af0 \ltrch\fcs0 \insrsid11826087\charrsid4857309 _x000d__x000a_Draft legislative resolution}{\rtlch\fcs1 \af0 \ltrch\fcs0 \cs17\b0\v\fs20\cf9\lang1024\langfe1024\loch\af1\hich\af1\dbch\af31501\noproof\insrsid11826087\charrsid4857309 \hich\af1\dbch\af31501\loch\f1 &lt;/DocAmend&gt;}{\rtlch\fcs1 \af0 \ltrch\fcs0 _x000d__x000a_\insrsid11826087\charrsid4857309 _x000d__x000a_\par }\pard\plain \ltrpar\s19\ql \li0\ri0\nowidctlpar\wrapdefault\aspalpha\aspnum\faauto\adjustright\rin0\lin0\itap0\pararsid11826087 \rtlch\fcs1 \af0\afs20\alang1025 \ltrch\fcs0 \b\fs24\lang2057\langfe2057\cgrid\langnp2057\langfenp2057 {\rtlch\fcs1 \af0 _x000d__x000a_\ltrch\fcs0 \cs17\b0\v\fs20\cf9\lang1024\langfe1024\loch\af1\hich\af1\dbch\af31501\noproof\insrsid11826087\charrsid4857309 \hich\af1\dbch\af31501\loch\f1 &lt;Article&gt;}{\rtlch\fcs1 \af0 \ltrch\fcs0 \cf10\insrsid11826087\charrsid3097835 \u9668\'3f}{_x000d__x000a_\rtlch\fcs1 \af0 \ltrch\fcs0 \insrsid11826087\charrsid4857309 #}{\rtlch\fcs1 \af1 \ltrch\fcs0 \cs20\v\f1\fs20\cf15\insrsid11826087\charrsid4857309 TVTRESPART@RESPART@}{\rtlch\fcs1 \af0 \ltrch\fcs0 \insrsid11826087\charrsid4857309 #}{\rtlch\fcs1 \af0 _x000d__x000a_\ltrch\fcs0 \cf10\insrsid11826087\charrsid3097835 \u9658\'3f}{\rtlch\fcs1 \af0 \ltrch\fcs0 \cs17\b0\v\fs20\cf9\lang1024\langfe1024\loch\af1\hich\af1\dbch\af31501\noproof\insrsid11826087\charrsid4857309 \hich\af1\dbch\af31501\loch\f1 &lt;/Article&gt;}{_x000d__x000a_\rtlch\fcs1 \af0 \ltrch\fcs0 \insrsid11826087\charrsid485730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1826087\charrsid4857309 \cell }\pard \ltrpar\ql \li0\ri0\widctlpar\intbl\wrapdefault\aspalpha\aspnum\faauto\adjustright\rin0\lin0 {\rtlch\fcs1 \af0 \ltrch\fcs0 _x000d__x000a_\insrsid11826087\charrsid4857309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1826087\charrsid4857309 Draft legislative resolution\cell Amendment\cell }\pard\plain \ltrpar\ql \li0\ri0\widctlpar\intbl\wrapdefault\aspalpha\aspnum\faauto\adjustright\rin0\lin0 \rtlch\fcs1 \af0\afs20\alang1025 \ltrch\fcs0 _x000d__x000a_\fs24\lang2057\langfe2057\cgrid\langnp2057\langfenp2057 {\rtlch\fcs1 \af0 \ltrch\fcs0 \insrsid11826087\charrsid4857309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826087\charrsid4857309 ##\cell ##}{\rtlch\fcs1 \af0\afs24 \ltrch\fcs0 \insrsid11826087\charrsid4857309 \cell }\pard\plain \ltrpar\ql \li0\ri0\widctlpar\intbl\wrapdefault\aspalpha\aspnum\faauto\adjustright\rin0\lin0 \rtlch\fcs1 _x000d__x000a_\af0\afs20\alang1025 \ltrch\fcs0 \fs24\lang2057\langfe2057\cgrid\langnp2057\langfenp2057 {\rtlch\fcs1 \af0 \ltrch\fcs0 \insrsid11826087\charrsid485730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826087 {\rtlch\fcs1 \af0 \ltrch\fcs0 \cs17\v\fs20\cf9\lang1024\langfe1024\loch\af1\hich\af1\dbch\af31501\noproof\insrsid11826087\charrsid4857309 _x000d__x000a_\hich\af1\dbch\af31501\loch\f1 &lt;/AmendA&gt;}{\rtlch\fcs1 \af0 \ltrch\fcs0 \insrsid1182608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50df34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1033 HideTWBExt;}{_x000d__x000a_\s18\ql \li0\ri0\sa120\nowidctlpar\wrapdefault\aspalpha\aspnum\faauto\adjustright\rin0\lin0\itap0 \rtlch\fcs1 \af0\afs20\alang1025 \ltrch\fcs0 \fs24\lang2057\langfe2057\cgrid\langnp2057\langfenp2057 \sbasedon0 \snext18 \spriority0 \styrsid1081033 _x000d__x000a_Normal6a;}{\s19\ql \li0\ri0\nowidctlpar\wrapdefault\aspalpha\aspnum\faauto\adjustright\rin0\lin0\itap0 \rtlch\fcs1 \af0\afs20\alang1025 \ltrch\fcs0 \b\fs24\lang2057\langfe2057\cgrid\langnp2057\langfenp2057 \sbasedon0 \snext19 \spriority0 \styrsid1081033 _x000d__x000a_NormalBold;}{\s20\ql \li0\ri0\sa240\nowidctlpar\wrapdefault\aspalpha\aspnum\faauto\adjustright\rin0\lin0\itap0 \rtlch\fcs1 \af0\afs20\alang1025 \ltrch\fcs0 \i\fs24\lang2057\langfe2057\cgrid\langnp2057\langfenp2057 _x000d__x000a_\sbasedon0 \snext20 \spriority0 \styrsid1081033 AmJustText;}{\s21\qc \li0\ri0\sb240\sa240\nowidctlpar\wrapdefault\aspalpha\aspnum\faauto\adjustright\rin0\lin0\itap0 \rtlch\fcs1 \af0\afs20\alang1025 \ltrch\fcs0 _x000d__x000a_\i\fs24\lang2057\langfe2057\cgrid\langnp2057\langfenp2057 \sbasedon0 \snext21 \spriority0 \styrsid1081033 AmCrossRef;}{\*\cs22 \additive \v\f1\fs20\cf15 \spriority0 \styrsid1081033 HideTWBInt;}{_x000d__x000a_\s23\qc \li0\ri0\sb240\sa240\keepn\nowidctlpar\wrapdefault\aspalpha\aspnum\faauto\adjustright\rin0\lin0\itap0 \rtlch\fcs1 \af0\afs20\alang1025 \ltrch\fcs0 \i\fs24\lang2057\langfe2057\cgrid\langnp2057\langfenp2057 _x000d__x000a_\sbasedon0 \snext20 \spriority0 \styrsid1081033 AmJustTitle;}{\s24\qc \li0\ri0\sa240\nowidctlpar\wrapdefault\aspalpha\aspnum\faauto\adjustright\rin0\lin0\itap0 \rtlch\fcs1 \af0\afs20\alang1025 \ltrch\fcs0 _x000d__x000a_\i\fs24\lang2057\langfe2057\cgrid\langnp2057\langfenp2057 \sbasedon0 \snext24 \spriority0 \styrsid108103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81033 AmNumberTabs;}{\s26\ql \li0\ri0\sb240\nowidctlpar\wrapdefault\aspalpha\aspnum\faauto\adjustright\rin0\lin0\itap0 \rtlch\fcs1 _x000d__x000a_\af0\afs20\alang1025 \ltrch\fcs0 \b\fs24\lang2057\langfe2057\cgrid\langnp2057\langfenp2057 \sbasedon0 \snext26 \spriority0 \styrsid1081033 NormalBold12b;}}{\*\rsidtbl \rsid24658\rsid223860\rsid735077\rsid746456\rsid1081033\rsid17181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ZINOCKER Marianne}{\operator ZINOCKER Marianne}{\creatim\yr2023\mo11\dy13\hr14\min25}{\revtim\yr2023\mo11\dy13\hr14\min25}{\version1}{\edmins0}_x000d__x000a_{\nofpages1}{\nofwords99}{\nofchars567}{\nofcharsws6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1033\newtblstyruls\nogrowautofit\usenormstyforlist\noindnmbrts\felnbrelev\nocxsptable\indrlsweleven\noafcnsttbl\afelev\utinl\hwelev\spltpgpar\notcvasp\notbrkcnstfrctbl\notvatxbx\krnprsnet\cachedcolbal _x000d__x000a_\nouicompat \fet0{\*\wgrffmtfilter 013f}\nofeaturethrottle1\ilfomacatclnup0{\*\template C:\\Users\\MZINOC~1\\AppData\\Local\\Temp\\Blank1.dotx}{\*\ftnsep \ltrpar \pard\plain \ltrpar_x000d__x000a_\ql \li0\ri0\widctlpar\wrapdefault\aspalpha\aspnum\faauto\adjustright\rin0\lin0\itap0 \rtlch\fcs1 \af0\afs20\alang1025 \ltrch\fcs0 \fs24\lang2057\langfe2057\cgrid\langnp2057\langfenp2057 {\rtlch\fcs1 \af0 \ltrch\fcs0 \insrsid746456 \chftnsep _x000d__x000a_\par }}{\*\ftnsepc \ltrpar \pard\plain \ltrpar\ql \li0\ri0\widctlpar\wrapdefault\aspalpha\aspnum\faauto\adjustright\rin0\lin0\itap0 \rtlch\fcs1 \af0\afs20\alang1025 \ltrch\fcs0 \fs24\lang2057\langfe2057\cgrid\langnp2057\langfenp2057 {\rtlch\fcs1 \af0 _x000d__x000a_\ltrch\fcs0 \insrsid746456 \chftnsepc _x000d__x000a_\par }}{\*\aftnsep \ltrpar \pard\plain \ltrpar\ql \li0\ri0\widctlpar\wrapdefault\aspalpha\aspnum\faauto\adjustright\rin0\lin0\itap0 \rtlch\fcs1 \af0\afs20\alang1025 \ltrch\fcs0 \fs24\lang2057\langfe2057\cgrid\langnp2057\langfenp2057 {\rtlch\fcs1 \af0 _x000d__x000a_\ltrch\fcs0 \insrsid746456 \chftnsep _x000d__x000a_\par }}{\*\aftnsepc \ltrpar \pard\plain \ltrpar\ql \li0\ri0\widctlpar\wrapdefault\aspalpha\aspnum\faauto\adjustright\rin0\lin0\itap0 \rtlch\fcs1 \af0\afs20\alang1025 \ltrch\fcs0 \fs24\lang2057\langfe2057\cgrid\langnp2057\langfenp2057 {\rtlch\fcs1 \af0 _x000d__x000a_\ltrch\fcs0 \insrsid7464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81033 \rtlch\fcs1 _x000d__x000a_\af0\afs20\alang1025 \ltrch\fcs0 \b\fs24\lang2057\langfe2057\cgrid\langnp2057\langfenp2057 {\rtlch\fcs1 \af0 \ltrch\fcs0 \cs17\b0\v\fs20\cf9\lang1024\langfe1024\loch\af1\hich\af1\dbch\af31501\noproof\insrsid1081033\charrsid4857309 {\*\bkmkstart restartB}_x000d__x000a_\hich\af1\dbch\af31501\loch\f1 &lt;AmendB&gt;}{\rtlch\fcs1 \af0 \ltrch\fcs0 \insrsid1081033\charrsid4857309 Amendment\tab \tab }{\rtlch\fcs1 \af0 \ltrch\fcs0 _x000d__x000a_\cs17\b0\v\fs20\cf9\lang1024\langfe1024\loch\af1\hich\af1\dbch\af31501\noproof\insrsid1081033\charrsid4857309 \hich\af1\dbch\af31501\loch\f1 &lt;NumAmB&gt;}{\rtlch\fcs1 \af0 \ltrch\fcs0 \insrsid1081033\charrsid4857309 #}{\rtlch\fcs1 \af1 \ltrch\fcs0 _x000d__x000a_\cs22\v\f1\fs20\cf15\insrsid1081033\charrsid4857309 ENMIENDA@NRAM@}{\rtlch\fcs1 \af0 \ltrch\fcs0 \insrsid1081033\charrsid4857309 #}{\rtlch\fcs1 \af0 \ltrch\fcs0 _x000d__x000a_\cs17\b0\v\fs20\cf9\lang1024\langfe1024\loch\af1\hich\af1\dbch\af31501\noproof\insrsid1081033\charrsid4857309 \hich\af1\dbch\af31501\loch\f1 &lt;/NumAmB&gt;}{\rtlch\fcs1 \af0 \ltrch\fcs0 \insrsid1081033\charrsid4857309 _x000d__x000a_\par }\pard\plain \ltrpar\s26\ql \li0\ri0\sb240\keepn\nowidctlpar\wrapdefault\aspalpha\aspnum\faauto\adjustright\rin0\lin0\itap0\pararsid1081033 \rtlch\fcs1 \af0\afs20\alang1025 \ltrch\fcs0 \b\fs24\lang2057\langfe2057\cgrid\langnp2057\langfenp2057 {_x000d__x000a_\rtlch\fcs1 \af0 \ltrch\fcs0 \cs17\b0\v\fs20\cf9\lang1024\langfe1024\loch\af1\hich\af1\dbch\af31501\noproof\insrsid1081033\charrsid4857309 \hich\af1\dbch\af31501\loch\f1 &lt;DocAmend&gt;}{\rtlch\fcs1 \af0 \ltrch\fcs0 \insrsid1081033\charrsid4857309 #}{_x000d__x000a_\rtlch\fcs1 \af1 \ltrch\fcs0 \cs22\v\f1\fs20\cf15\insrsid1081033\charrsid4857309 MNU[OPTPROPOSALCOD][OPTPROPOSALCNS][OPTPROPOSALNLE][OPTPROPOSALINL]@CHOICE@CODEMNU}{\rtlch\fcs1 \af0 \ltrch\fcs0 \insrsid1081033\charrsid4857309 ##}{\rtlch\fcs1 \af1 _x000d__x000a_\ltrch\fcs0 \cs22\v\f1\fs20\cf15\insrsid1081033\charrsid4857309 MNU[AMACTYES][NOTAPP]@CHOICE@AMACTMNU}{\rtlch\fcs1 \af0 \ltrch\fcs0 \insrsid1081033\charrsid4857309 #}{\rtlch\fcs1 \af0 \ltrch\fcs0 _x000d__x000a_\cs17\b0\v\fs20\cf9\lang1024\langfe1024\loch\af1\hich\af1\dbch\af31501\noproof\insrsid1081033\charrsid4857309 \hich\af1\dbch\af31501\loch\f1 &lt;/DocAmend&gt;}{\rtlch\fcs1 \af0 \ltrch\fcs0 \insrsid1081033\charrsid4857309 _x000d__x000a_\par }\pard\plain \ltrpar\s19\ql \li0\ri0\keepn\nowidctlpar\wrapdefault\aspalpha\aspnum\faauto\adjustright\rin0\lin0\itap0\pararsid1081033 \rtlch\fcs1 \af0\afs20\alang1025 \ltrch\fcs0 \b\fs24\lang2057\langfe2057\cgrid\langnp2057\langfenp2057 {\rtlch\fcs1 \af0 _x000d__x000a_\ltrch\fcs0 \cs17\b0\v\fs20\cf9\lang1024\langfe1024\loch\af1\hich\af1\dbch\af31501\noproof\insrsid1081033\charrsid4857309 \hich\af1\dbch\af31501\loch\f1 &lt;Article&gt;}{\rtlch\fcs1 \af0 \ltrch\fcs0 \insrsid1081033\charrsid4857309 #}{\rtlch\fcs1 \af1 _x000d__x000a_\ltrch\fcs0 \cs22\v\f1\fs20\cf15\insrsid1081033\charrsid4857309 MNU[AMACTPARTYES][AMACTPARTNO]@CHOICE@AMACTMNU}{\rtlch\fcs1 \af0 \ltrch\fcs0 \insrsid1081033\charrsid4857309 #}{\rtlch\fcs1 \af0 \ltrch\fcs0 _x000d__x000a_\cs17\b0\v\fs20\cf9\lang1024\langfe1024\loch\af1\hich\af1\dbch\af31501\noproof\insrsid1081033\charrsid4857309 \hich\af1\dbch\af31501\loch\f1 &lt;/Article\hich\af1\dbch\af31501\loch\f1 &gt;}{\rtlch\fcs1 \af0 \ltrch\fcs0 \insrsid1081033\charrsid4857309 _x000d__x000a_\par }\pard\plain \ltrpar\ql \li0\ri0\keepn\widctlpar\wrapdefault\aspalpha\aspnum\faauto\adjustright\rin0\lin0\itap0\pararsid1081033 \rtlch\fcs1 \af0\afs20\alang1025 \ltrch\fcs0 \fs24\lang2057\langfe2057\cgrid\langnp2057\langfenp2057 {\rtlch\fcs1 \af0 _x000d__x000a_\ltrch\fcs0 \cs17\v\fs20\cf9\lang1024\langfe1024\loch\af1\hich\af1\dbch\af31501\noproof\insrsid1081033\charrsid4857309 \hich\af1\dbch\af31501\loch\f1 &lt;DocAmend2&gt;&lt;OptDel&gt;}{\rtlch\fcs1 \af0 \ltrch\fcs0 \insrsid1081033\charrsid4857309 #}{\rtlch\fcs1 \af1 _x000d__x000a_\ltrch\fcs0 \cs22\v\f1\fs20\cf15\insrsid1081033\charrsid4857309 MNU[OPTNRACTYES][NOTAPP]@CHOICE@AMACTMNU}{\rtlch\fcs1 \af0 \ltrch\fcs0 \insrsid1081033\charrsid4857309 #}{\rtlch\fcs1 \af0 \ltrch\fcs0 _x000d__x000a_\cs17\v\fs20\cf9\lang1024\langfe1024\loch\af1\hich\af1\dbch\af31501\noproof\insrsid1081033\charrsid4857309 \hich\af1\dbch\af31501\loch\f1 &lt;/OptDel&gt;&lt;/DocAmend2&gt;}{\rtlch\fcs1 \af0 \ltrch\fcs0 \insrsid1081033\charrsid4857309 _x000d__x000a_\par }\pard \ltrpar\ql \li0\ri0\widctlpar\wrapdefault\aspalpha\aspnum\faauto\adjustright\rin0\lin0\itap0\pararsid1081033 {\rtlch\fcs1 \af0 \ltrch\fcs0 \cs17\v\fs20\cf9\lang1024\langfe1024\loch\af1\hich\af1\dbch\af31501\noproof\insrsid1081033\charrsid4857309 _x000d__x000a_\hich\af1\dbch\af31501\loch\f1 &lt;Article2&gt;&lt;OptDel&gt;}{\rtlch\fcs1 \af0 \ltrch\fcs0 \insrsid1081033\charrsid4857309 #}{\rtlch\fcs1 \af1 \ltrch\fcs0 \cs22\v\f1\fs20\cf15\insrsid1081033\charrsid4857309 MNU[OPTACTPARTYES][NOTAPP]@CHOICE@AMACTMNU}{\rtlch\fcs1 _x000d__x000a_\af0 \ltrch\fcs0 \insrsid1081033\charrsid4857309 #}{\rtlch\fcs1 \af0 \ltrch\fcs0 \cs17\v\fs20\cf9\lang1024\langfe1024\loch\af1\hich\af1\dbch\af31501\noproof\insrsid1081033\charrsid4857309 \hich\af1\dbch\af31501\loch\f1 &lt;/OptDel&gt;&lt;/Article2&gt;}{\rtlch\fcs1 _x000d__x000a_\af0 \ltrch\fcs0 \insrsid1081033\charrsid485730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081033\charrsid4857309 \cell }\pard \ltrpar\ql \li0\ri0\widctlpar\intbl\wrapdefault\aspalpha\aspnum\faauto\adjustright\rin0\lin0 {\rtlch\fcs1 \af0 \ltrch\fcs0 \insrsid1081033\charrsid485730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081033\charrsid4857309 #}{\rtlch\fcs1 \af1 \ltrch\fcs0 \cs22\v\f1\fs20\cf15\insrsid1081033\charrsid4857309 MNU[OPTLEFTAMACT][LEFTPROP]@CHOICE@AMACTMNU}{\rtlch\fcs1 \af0 \ltrch\fcs0 \insrsid1081033\charrsid4857309 #\cell Amendment\cell _x000d__x000a_}\pard\plain \ltrpar\ql \li0\ri0\widctlpar\intbl\wrapdefault\aspalpha\aspnum\faauto\adjustright\rin0\lin0 \rtlch\fcs1 \af0\afs20\alang1025 \ltrch\fcs0 \fs24\lang2057\langfe2057\cgrid\langnp2057\langfenp2057 {\rtlch\fcs1 \af0 \ltrch\fcs0 _x000d__x000a_\insrsid1081033\charrsid485730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81033\charrsid4857309 ##\cell ##}{\rtlch\fcs1 \af0\afs24 \ltrch\fcs0 \insrsid1081033\charrsid4857309 \cell }\pard\plain \ltrpar\ql \li0\ri0\widctlpar\intbl\wrapdefault\aspalpha\aspnum\faauto\adjustright\rin0\lin0 _x000d__x000a_\rtlch\fcs1 \af0\afs20\alang1025 \ltrch\fcs0 \fs24\lang2057\langfe2057\cgrid\langnp2057\langfenp2057 {\rtlch\fcs1 \af0 \ltrch\fcs0 \insrsid1081033\charrsid485730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81033 \rtlch\fcs1 \af0\afs20\alang1025 \ltrch\fcs0 \i\fs24\lang2057\langfe2057\cgrid\langnp2057\langfenp2057 {\rtlch\fcs1 \af0 \ltrch\fcs0 _x000d__x000a_\cs17\i0\v\fs20\cf9\lang1024\langfe1024\loch\af1\hich\af1\dbch\af31501\noproof\insrsid1081033\charrsid4857309 \hich\af1\dbch\af31501\loch\f1 &lt;OptDel&gt;}{\rtlch\fcs1 \af0 \ltrch\fcs0 \insrsid1081033\charrsid4857309 #}{\rtlch\fcs1 \af1 \ltrch\fcs0 _x000d__x000a_\cs22\v\f1\fs20\cf15\insrsid1081033\charrsid4857309 MNU[CROSSREFNO][CROSSREFYES]@CHOICE@}{\rtlch\fcs1 \af0 \ltrch\fcs0 \insrsid1081033\charrsid4857309 #}{\rtlch\fcs1 \af0 \ltrch\fcs0 _x000d__x000a_\cs17\i0\v\fs20\cf9\lang1024\langfe1024\loch\af1\hich\af1\dbch\af31501\noproof\insrsid1081033\charrsid4857309 \hich\af1\dbch\af31501\loch\f1 &lt;/OptDel&gt;}{\rtlch\fcs1 \af0 \ltrch\fcs0 \insrsid1081033\charrsid4857309 _x000d__x000a_\par }\pard\plain \ltrpar\s23\qc \li0\ri0\sb240\sa240\keepn\nowidctlpar\wrapdefault\aspalpha\aspnum\faauto\adjustright\rin0\lin0\itap0\pararsid1081033 \rtlch\fcs1 \af0\afs20\alang1025 \ltrch\fcs0 \i\fs24\lang2057\langfe2057\cgrid\langnp2057\langfenp2057 {_x000d__x000a_\rtlch\fcs1 \af0 \ltrch\fcs0 \cs17\i0\v\fs20\cf9\lang1024\langfe1024\loch\af1\hich\af1\dbch\af31501\noproof\insrsid1081033\charrsid4857309 \hich\af1\dbch\af31501\loch\f1 &lt;TitreJust&gt;}{\rtlch\fcs1 \af0 \ltrch\fcs0 \insrsid1081033\charrsid4857309 _x000d__x000a_Justification}{\rtlch\fcs1 \af0 \ltrch\fcs0 \cs17\i0\v\fs20\cf9\lang1024\langfe1024\loch\af1\hich\af1\dbch\af31501\noproof\insrsid1081033\charrsid4857309 \hich\af1\dbch\af31501\loch\f1 &lt;/TitreJust&gt;}{\rtlch\fcs1 \af0 \ltrch\fcs0 _x000d__x000a_\insrsid1081033\charrsid4857309 _x000d__x000a_\par }\pard\plain \ltrpar\s20\ql \li0\ri0\sa240\nowidctlpar\wrapdefault\aspalpha\aspnum\faauto\adjustright\rin0\lin0\itap0\pararsid1081033 \rtlch\fcs1 \af0\afs20\alang1025 \ltrch\fcs0 \i\fs24\lang2057\langfe2057\cgrid\langnp2057\langfenp2057 {\rtlch\fcs1 \af0 _x000d__x000a_\ltrch\fcs0 \cs17\i0\v\fs20\cf9\lang1024\langfe1024\loch\af1\hich\af1\dbch\af31501\noproof\insrsid1081033\charrsid4857309 \hich\af1\dbch\af31501\loch\f1 &lt;OptDelPrev&gt;}{\rtlch\fcs1 \af0 \ltrch\fcs0 \insrsid1081033\charrsid4857309 #}{\rtlch\fcs1 \af1 _x000d__x000a_\ltrch\fcs0 \cs22\v\f1\fs20\cf15\insrsid1081033\charrsid4857309 MNU[TEXTJUSTYES][TEXTJUSTNO]@CHOICE@}{\rtlch\fcs1 \af0 \ltrch\fcs0 \insrsid1081033\charrsid4857309 #}{\rtlch\fcs1 \af0 \ltrch\fcs0 _x000d__x000a_\cs17\i0\v\fs20\cf9\lang1024\langfe1024\loch\af1\hich\af1\dbch\af31501\noproof\insrsid1081033\charrsid4857309 \hich\af1\dbch\af31501\loch\f1 &lt;/OptDelPrev&gt;}{\rtlch\fcs1 \af0 \ltrch\fcs0 \insrsid1081033\charrsid4857309 _x000d__x000a_\par }\pard\plain \ltrpar\ql \li0\ri0\widctlpar\wrapdefault\aspalpha\aspnum\faauto\adjustright\rin0\lin0\itap0\pararsid1081033 \rtlch\fcs1 \af0\afs20\alang1025 \ltrch\fcs0 \fs24\lang2057\langfe2057\cgrid\langnp2057\langfenp2057 {\rtlch\fcs1 \af0 \ltrch\fcs0 _x000d__x000a_\cs17\v\fs20\cf9\lang1024\langfe1024\loch\af1\hich\af1\dbch\af31501\noproof\insrsid1081033\charrsid4857309 \hich\af1\dbch\af31501\loch\f1 &lt;/AmendB&gt;}{\rtlch\fcs1 \af0 \ltrch\fcs0 \insrsid108103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7_x000d__x000a_fae034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230344 HideTWBExt;}{_x000d__x000a_\s18\ql \li0\ri0\sa120\nowidctlpar\wrapdefault\aspalpha\aspnum\faauto\adjustright\rin0\lin0\itap0 \rtlch\fcs1 \af0\afs20\alang1025 \ltrch\fcs0 \fs24\lang2057\langfe2057\cgrid\langnp2057\langfenp2057 \sbasedon0 \snext18 \spriority0 \styrsid14230344 _x000d__x000a_Normal6a;}{\s19\ql \li0\ri0\nowidctlpar\wrapdefault\aspalpha\aspnum\faauto\adjustright\rin0\lin0\itap0 \rtlch\fcs1 \af0\afs20\alang1025 \ltrch\fcs0 \b\fs24\lang2057\langfe2057\cgrid\langnp2057\langfenp2057 \sbasedon0 \snext19 \spriority0 \styrsid14230344 _x000d__x000a_NormalBold;}{\s20\qc \li0\ri0\sa240\nowidctlpar\wrapdefault\aspalpha\aspnum\faauto\adjustright\rin0\lin0\itap0 \rtlch\fcs1 \af0\afs20\alang1025 \ltrch\fcs0 \i\fs24\lang2057\langfe2057\cgrid\langnp2057\langfenp2057 _x000d__x000a_\sbasedon0 \snext20 \spriority0 \styrsid1423034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230344 AmNumberTabs;}{\s22\ql \li0\ri0\sb240\nowidctlpar\wrapdefault\aspalpha\aspnum\faauto\adjustright\rin0\lin0\itap0 \rtlch\fcs1 _x000d__x000a_\af0\afs20\alang1025 \ltrch\fcs0 \b\fs24\lang2057\langfe2057\cgrid\langnp2057\langfenp2057 \sbasedon0 \snext22 \spriority0 \styrsid14230344 NormalBold12b;}}{\*\rsidtbl \rsid24658\rsid223860\rsid735077\rsid1718133\rsid2892074\rsid3565327\rsid4666813_x000d__x000a_\rsid6641733\rsid7823322\rsid9636012\rsid10377208\rsid11215221\rsid11474440\rsid11549030\rsid12154954\rsid14230344\rsid14382809\rsid14424199\rsid15204470\rsid15285974\rsid15950462\rsid16324206\rsid16662270}{\mmathPr\mmathFont34\mbrkBin0\mbrkBinSub0_x000d__x000a_\msmallFrac0\mdispDef1\mlMargin0\mrMargin0\mdefJc1\mwrapIndent1440\mintLim0\mnaryLim1}{\info{\author ZINOCKER Marianne}{\operator ZINOCKER Marianne}{\creatim\yr2023\mo11\dy13\hr14\min25}{\revtim\yr2023\mo11\dy13\hr14\min25}{\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230344\newtblstyruls\nogrowautofit\usenormstyforlist\noindnmbrts\felnbrelev\nocxsptable\indrlsweleven\noafcnsttbl\afelev\utinl\hwelev\spltpgpar\notcvasp\notbrkcnstfrctbl\notvatxbx\krnprsnet\cachedcolbal _x000d__x000a_\nouicompat \fet0{\*\wgrffmtfilter 013f}\nofeaturethrottle1\ilfomacatclnup0{\*\template C:\\Users\\MZINOC~1\\AppData\\Local\\Temp\\Blank1.dotx}{\*\ftnsep \ltrpar \pard\plain \ltrpar_x000d__x000a_\ql \li0\ri0\widctlpar\wrapdefault\aspalpha\aspnum\faauto\adjustright\rin0\lin0\itap0 \rtlch\fcs1 \af0\afs20\alang1025 \ltrch\fcs0 \fs24\lang2057\langfe2057\cgrid\langnp2057\langfenp2057 {\rtlch\fcs1 \af0 \ltrch\fcs0 \insrsid11474440 \chftnsep _x000d__x000a_\par }}{\*\ftnsepc \ltrpar \pard\plain \ltrpar\ql \li0\ri0\widctlpar\wrapdefault\aspalpha\aspnum\faauto\adjustright\rin0\lin0\itap0 \rtlch\fcs1 \af0\afs20\alang1025 \ltrch\fcs0 \fs24\lang2057\langfe2057\cgrid\langnp2057\langfenp2057 {\rtlch\fcs1 \af0 _x000d__x000a_\ltrch\fcs0 \insrsid11474440 \chftnsepc _x000d__x000a_\par }}{\*\aftnsep \ltrpar \pard\plain \ltrpar\ql \li0\ri0\widctlpar\wrapdefault\aspalpha\aspnum\faauto\adjustright\rin0\lin0\itap0 \rtlch\fcs1 \af0\afs20\alang1025 \ltrch\fcs0 \fs24\lang2057\langfe2057\cgrid\langnp2057\langfenp2057 {\rtlch\fcs1 \af0 _x000d__x000a_\ltrch\fcs0 \insrsid11474440 \chftnsep _x000d__x000a_\par }}{\*\aftnsepc \ltrpar \pard\plain \ltrpar\ql \li0\ri0\widctlpar\wrapdefault\aspalpha\aspnum\faauto\adjustright\rin0\lin0\itap0 \rtlch\fcs1 \af0\afs20\alang1025 \ltrch\fcs0 \fs24\lang2057\langfe2057\cgrid\langnp2057\langfenp2057 {\rtlch\fcs1 \af0 _x000d__x000a_\ltrch\fcs0 \insrsid11474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230344 \rtlch\fcs1 _x000d__x000a_\af0\afs20\alang1025 \ltrch\fcs0 \b\fs24\lang2057\langfe2057\cgrid\langnp2057\langfenp2057 {\rtlch\fcs1 \af0 \ltrch\fcs0 \cs17\b0\v\fs20\cf9\lang1024\langfe1024\loch\af1\hich\af1\dbch\af31501\noproof\insrsid14230344\charrsid15879488 {\*\bkmkstart restartA_x000d__x000a_}\hich\af1\dbch\af31501\loch\f1 &lt;AmendA&gt;}{\rtlch\fcs1 \af0 \ltrch\fcs0 \insrsid14230344\charrsid15879488 [ZAMENDMENT]\tab \tab }{\rtlch\fcs1 \af0 \ltrch\fcs0 _x000d__x000a_\cs17\b0\v\fs20\cf9\lang1024\langfe1024\loch\af1\hich\af1\dbch\af31501\noproof\insrsid14230344\charrsid15879488 \hich\af1\dbch\af31501\loch\f1 &lt;NumAmA&gt;}{\rtlch\fcs1 \af0 \ltrch\fcs0 \insrsid14230344\charrsid15879488 [ZNRAM]}{\rtlch\fcs1 \af0 \ltrch\fcs0 _x000d__x000a_\cs17\b0\v\fs20\cf9\lang1024\langfe1024\loch\af1\hich\af1\dbch\af31501\noproof\insrsid14230344\charrsid15879488 \hich\af1\dbch\af31501\loch\f1 &lt;/NumAmA&gt;}{\rtlch\fcs1 \af0 \ltrch\fcs0 \insrsid14230344\charrsid15879488 _x000d__x000a_\par }\pard\plain \ltrpar\s22\ql \li0\ri0\sb240\keepn\nowidctlpar\wrapdefault\aspalpha\aspnum\faauto\adjustright\rin0\lin0\itap0\pararsid14230344 \rtlch\fcs1 \af0\afs20\alang1025 \ltrch\fcs0 \b\fs24\lang2057\langfe2057\cgrid\langnp2057\langfenp2057 {_x000d__x000a_\rtlch\fcs1 \af0 \ltrch\fcs0 \cs17\b0\v\fs20\cf9\lang1024\langfe1024\loch\af1\hich\af1\dbch\af31501\noproof\langnp1036\insrsid14230344\charrsid11356624 \hich\af1\dbch\af31501\loch\f1 &lt;DocAmend&gt;}{\rtlch\fcs1 \af0 \ltrch\fcs0 _x000d__x000a_\lang1036\langfe2057\langnp1036\insrsid14230344\charrsid11356624 [ZRESOLUTION]}{\rtlch\fcs1 \af0 \ltrch\fcs0 \cs17\b0\v\fs20\cf9\lang1024\langfe1024\loch\af1\hich\af1\dbch\af31501\noproof\langnp1036\insrsid14230344\charrsid11356624 _x000d__x000a_\hich\af1\dbch\af31501\loch\f1 &lt;/DocAmend&gt;}{\rtlch\fcs1 \af0 \ltrch\fcs0 \lang1036\langfe2057\langnp1036\insrsid14230344\charrsid11356624 _x000d__x000a_\par }\pard\plain \ltrpar\s19\ql \li0\ri0\nowidctlpar\wrapdefault\aspalpha\aspnum\faauto\adjustright\rin0\lin0\itap0\pararsid14230344 \rtlch\fcs1 \af0\afs20\alang1025 \ltrch\fcs0 \b\fs24\lang2057\langfe2057\cgrid\langnp2057\langfenp2057 {\rtlch\fcs1 \af0 _x000d__x000a_\ltrch\fcs0 \cs17\b0\v\fs20\cf9\lang1024\langfe1024\loch\af1\hich\af1\dbch\af31501\noproof\langnp1036\insrsid14230344\charrsid11356624 \hich\af1\dbch\af31501\loch\f1 &lt;Article&gt;}{\rtlch\fcs1 \af0 \ltrch\fcs0 _x000d__x000a_\lang1036\langfe2057\langnp1036\insrsid14230344\charrsid11356624 [ZRESPART]}{\rtlch\fcs1 \af0 \ltrch\fcs0 \cs17\b0\v\fs20\cf9\lang1024\langfe1024\loch\af1\hich\af1\dbch\af31501\noproof\langnp1036\insrsid14230344\charrsid11356624 _x000d__x000a_\hich\af1\dbch\af31501\loch\f1 &lt;/Article&gt;}{\rtlch\fcs1 \af0 \ltrch\fcs0 \lang1036\langfe2057\langnp1036\insrsid1423034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230344\charrsid11356624 \cell }\pard \ltrpar_x000d__x000a_\ql \li0\ri0\widctlpar\intbl\wrapdefault\aspalpha\aspnum\faauto\adjustright\rin0\lin0 {\rtlch\fcs1 \af0 \ltrch\fcs0 \insrsid1423034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4230344\charrsid15879488 [ZLEFTA]\cell [ZRIGHT]\cell }\pard\plain \ltrpar_x000d__x000a_\ql \li0\ri0\widctlpar\intbl\wrapdefault\aspalpha\aspnum\faauto\adjustright\rin0\lin0 \rtlch\fcs1 \af0\afs20\alang1025 \ltrch\fcs0 \fs24\lang2057\langfe2057\cgrid\langnp2057\langfenp2057 {\rtlch\fcs1 \af0 \ltrch\fcs0 \insrsid14230344\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230344\charrsid15879488 [ZTEXTL]\cell [ZTEXTR]}{\rtlch\fcs1 \af0\afs24 \ltrch\fcs0 \insrsid14230344\charrsid15879488 \cell }\pard\plain \ltrpar\ql \li0\ri0\widctlpar\intbl\wrapdefault\aspalpha\aspnum\faauto\adjustright\rin0\lin0 \rtlch\fcs1 _x000d__x000a_\af0\afs20\alang1025 \ltrch\fcs0 \fs24\lang2057\langfe2057\cgrid\langnp2057\langfenp2057 {\rtlch\fcs1 \af0 \ltrch\fcs0 \insrsid1423034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230344 {\rtlch\fcs1 \af0 \ltrch\fcs0 \cs17\v\fs20\cf9\lang1024\langfe1024\loch\af1\hich\af1\dbch\af31501\noproof\insrsid14230344\charrsid15879488 _x000d__x000a_\hich\af1\dbch\af31501\loch\f1 &lt;/AmendA&gt;}{\rtlch\fcs1 \af0 \ltrch\fcs0 \insrsid1423034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92_x000d__x000a_9fe234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2092 HideTWBExt;}{_x000d__x000a_\s18\ql \li0\ri0\sa120\nowidctlpar\wrapdefault\aspalpha\aspnum\faauto\adjustright\rin0\lin0\itap0 \rtlch\fcs1 \af0\afs20\alang1025 \ltrch\fcs0 \fs24\lang2057\langfe2057\cgrid\langnp2057\langfenp2057 \sbasedon0 \snext18 \spriority0 \styrsid8612092 _x000d__x000a_Normal6a;}{\s19\ql \li0\ri0\nowidctlpar\wrapdefault\aspalpha\aspnum\faauto\adjustright\rin0\lin0\itap0 \rtlch\fcs1 \af0\afs20\alang1025 \ltrch\fcs0 \b\fs24\lang2057\langfe2057\cgrid\langnp2057\langfenp2057 \sbasedon0 \snext19 \spriority0 \styrsid8612092 _x000d__x000a_NormalBold;}{\s20\ql \li0\ri0\sa240\nowidctlpar\wrapdefault\aspalpha\aspnum\faauto\adjustright\rin0\lin0\itap0 \rtlch\fcs1 \af0\afs20\alang1025 \ltrch\fcs0 \i\fs24\lang2057\langfe2057\cgrid\langnp2057\langfenp2057 _x000d__x000a_\sbasedon0 \snext20 \spriority0 \styrsid8612092 AmJustText;}{\s21\qc \li0\ri0\sb240\sa240\nowidctlpar\wrapdefault\aspalpha\aspnum\faauto\adjustright\rin0\lin0\itap0 \rtlch\fcs1 \af0\afs20\alang1025 \ltrch\fcs0 _x000d__x000a_\i\fs24\lang2057\langfe2057\cgrid\langnp2057\langfenp2057 \sbasedon0 \snext21 \spriority0 \styrsid8612092 AmCrossRef;}{\s22\qc \li0\ri0\sb240\sa240\keepn\nowidctlpar\wrapdefault\aspalpha\aspnum\faauto\adjustright\rin0\lin0\itap0 \rtlch\fcs1 _x000d__x000a_\af0\afs20\alang1025 \ltrch\fcs0 \i\fs24\lang2057\langfe2057\cgrid\langnp2057\langfenp2057 \sbasedon0 \snext20 \spriority0 \styrsid8612092 AmJustTitle;}{\s23\qc \li0\ri0\sa240\nowidctlpar\wrapdefault\aspalpha\aspnum\faauto\adjustright\rin0\lin0\itap0 _x000d__x000a_\rtlch\fcs1 \af0\afs20\alang1025 \ltrch\fcs0 \i\fs24\lang2057\langfe2057\cgrid\langnp2057\langfenp2057 \sbasedon0 \snext23 \spriority0 \styrsid861209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12092 AmNumberTabs;}{\s25\ql \li0\ri0\sb240\nowidctlpar\wrapdefault\aspalpha\aspnum\faauto\adjustright\rin0\lin0\itap0 \rtlch\fcs1 _x000d__x000a_\af0\afs20\alang1025 \ltrch\fcs0 \b\fs24\lang2057\langfe2057\cgrid\langnp2057\langfenp2057 \sbasedon0 \snext25 \spriority0 \styrsid8612092 NormalBold12b;}}{\*\rsidtbl \rsid24658\rsid223860\rsid735077\rsid1718133\rsid2892074\rsid3565327\rsid4457573_x000d__x000a_\rsid4666813\rsid6641733\rsid7823322\rsid861209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ZINOCKER Marianne}{\operator ZINOCKER Marianne}{\creatim\yr2023\mo11\dy13\hr14\min25}{\revtim\yr2023\mo11\dy13\hr14\min25}{\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2092\newtblstyruls\nogrowautofit\usenormstyforlist\noindnmbrts\felnbrelev\nocxsptable\indrlsweleven\noafcnsttbl\afelev\utinl\hwelev\spltpgpar\notcvasp\notbrkcnstfrctbl\notvatxbx\krnprsnet\cachedcolbal _x000d__x000a_\nouicompat \fet0{\*\wgrffmtfilter 013f}\nofeaturethrottle1\ilfomacatclnup0{\*\template C:\\Users\\MZINOC~1\\AppData\\Local\\Temp\\Blank1.dotx}{\*\ftnsep \ltrpar \pard\plain \ltrpar_x000d__x000a_\ql \li0\ri0\widctlpar\wrapdefault\aspalpha\aspnum\faauto\adjustright\rin0\lin0\itap0 \rtlch\fcs1 \af0\afs20\alang1025 \ltrch\fcs0 \fs24\lang2057\langfe2057\cgrid\langnp2057\langfenp2057 {\rtlch\fcs1 \af0 \ltrch\fcs0 \insrsid4457573 \chftnsep _x000d__x000a_\par }}{\*\ftnsepc \ltrpar \pard\plain \ltrpar\ql \li0\ri0\widctlpar\wrapdefault\aspalpha\aspnum\faauto\adjustright\rin0\lin0\itap0 \rtlch\fcs1 \af0\afs20\alang1025 \ltrch\fcs0 \fs24\lang2057\langfe2057\cgrid\langnp2057\langfenp2057 {\rtlch\fcs1 \af0 _x000d__x000a_\ltrch\fcs0 \insrsid4457573 \chftnsepc _x000d__x000a_\par }}{\*\aftnsep \ltrpar \pard\plain \ltrpar\ql \li0\ri0\widctlpar\wrapdefault\aspalpha\aspnum\faauto\adjustright\rin0\lin0\itap0 \rtlch\fcs1 \af0\afs20\alang1025 \ltrch\fcs0 \fs24\lang2057\langfe2057\cgrid\langnp2057\langfenp2057 {\rtlch\fcs1 \af0 _x000d__x000a_\ltrch\fcs0 \insrsid4457573 \chftnsep _x000d__x000a_\par }}{\*\aftnsepc \ltrpar \pard\plain \ltrpar\ql \li0\ri0\widctlpar\wrapdefault\aspalpha\aspnum\faauto\adjustright\rin0\lin0\itap0 \rtlch\fcs1 \af0\afs20\alang1025 \ltrch\fcs0 \fs24\lang2057\langfe2057\cgrid\langnp2057\langfenp2057 {\rtlch\fcs1 \af0 _x000d__x000a_\ltrch\fcs0 \insrsid44575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12092 \rtlch\fcs1 _x000d__x000a_\af0\afs20\alang1025 \ltrch\fcs0 \b\fs24\lang2057\langfe2057\cgrid\langnp2057\langfenp2057 {\rtlch\fcs1 \af0 \ltrch\fcs0 \cs17\b0\v\fs20\cf9\lang1024\langfe1024\loch\af1\hich\af1\dbch\af31501\noproof\insrsid8612092\charrsid15879488 {\*\bkmkstart restartB}_x000d__x000a_\hich\af1\dbch\af31501\loch\f1 &lt;AmendB&gt;}{\rtlch\fcs1 \af0 \ltrch\fcs0 \insrsid8612092\charrsid15879488 [ZAMENDMENT]\tab \tab }{\rtlch\fcs1 \af0 \ltrch\fcs0 _x000d__x000a_\cs17\b0\v\fs20\cf9\lang1024\langfe1024\loch\af1\hich\af1\dbch\af31501\noproof\insrsid8612092\charrsid15879488 \hich\af1\dbch\af31501\loch\f1 &lt;NumAmB&gt;}{\rtlch\fcs1 \af0 \ltrch\fcs0 \insrsid8612092\charrsid15879488 [ZNRAM]}{\rtlch\fcs1 \af0 \ltrch\fcs0 _x000d__x000a_\cs17\b0\v\fs20\cf9\lang1024\langfe1024\loch\af1\hich\af1\dbch\af31501\noproof\insrsid8612092\charrsid15879488 \hich\af1\dbch\af31501\loch\f1 &lt;/NumAmB&gt;}{\rtlch\fcs1 \af0 \ltrch\fcs0 \insrsid8612092\charrsid15879488 _x000d__x000a_\par }\pard\plain \ltrpar\s25\ql \li0\ri0\sb240\keepn\nowidctlpar\wrapdefault\aspalpha\aspnum\faauto\adjustright\rin0\lin0\itap0\pararsid8612092 \rtlch\fcs1 \af0\afs20\alang1025 \ltrch\fcs0 \b\fs24\lang2057\langfe2057\cgrid\langnp2057\langfenp2057 {_x000d__x000a_\rtlch\fcs1 \af0 \ltrch\fcs0 \cs17\b0\v\fs20\cf9\lang1024\langfe1024\loch\af1\hich\af1\dbch\af31501\noproof\insrsid8612092\charrsid15879488 \hich\af1\dbch\af31501\loch\f1 &lt;DocAmend&gt;}{\rtlch\fcs1 \af0 \ltrch\fcs0 \insrsid8612092\charrsid15879488 _x000d__x000a_[ZPROPOSAL][ZAMACT]}{\rtlch\fcs1 \af0 \ltrch\fcs0 \cs17\b0\v\fs20\cf9\lang1024\langfe1024\loch\af1\hich\af1\dbch\af31501\noproof\insrsid8612092\charrsid15879488 \hich\af1\dbch\af31501\loch\f1 &lt;/DocAmend&gt;}{\rtlch\fcs1 \af0 \ltrch\fcs0 _x000d__x000a_\insrsid8612092\charrsid15879488 _x000d__x000a_\par }\pard\plain \ltrpar\s19\ql \li0\ri0\keepn\nowidctlpar\wrapdefault\aspalpha\aspnum\faauto\adjustright\rin0\lin0\itap0\pararsid8612092 \rtlch\fcs1 \af0\afs20\alang1025 \ltrch\fcs0 \b\fs24\lang2057\langfe2057\cgrid\langnp2057\langfenp2057 {\rtlch\fcs1 \af0 _x000d__x000a_\ltrch\fcs0 \cs17\b0\v\fs20\cf9\lang1024\langfe1024\loch\af1\hich\af1\dbch\af31501\noproof\insrsid8612092\charrsid15879488 \hich\af1\dbch\af31501\loch\f1 &lt;Article&gt;}{\rtlch\fcs1 \af0 \ltrch\fcs0 \insrsid8612092\charrsid15879488 [ZAMPART]}{\rtlch\fcs1 \af0 _x000d__x000a_\ltrch\fcs0 \cs17\b0\v\fs20\cf9\lang1024\langfe1024\loch\af1\hich\af1\dbch\af31501\noproof\insrsid8612092\charrsid15879488 \hich\af1\dbch\af31501\loch\f1 &lt;/Article&gt;}{\rtlch\fcs1 \af0 \ltrch\fcs0 \insrsid8612092\charrsid15879488 _x000d__x000a_\par }\pard\plain \ltrpar\ql \li0\ri0\keepn\widctlpar\wrapdefault\aspalpha\aspnum\faauto\adjustright\rin0\lin0\itap0\pararsid8612092 \rtlch\fcs1 \af0\afs20\alang1025 \ltrch\fcs0 \fs24\lang2057\langfe2057\cgrid\langnp2057\langfenp2057 {\rtlch\fcs1 \af0 _x000d__x000a_\ltrch\fcs0 \cs17\v\fs20\cf9\lang1024\langfe1024\loch\af1\hich\af1\dbch\af31501\noproof\insrsid8612092\charrsid15879488 \hich\af1\dbch\af31501\loch\f1 &lt;DocAmend2&gt;&lt;OptDel&gt;}{\rtlch\fcs1 \af0 \ltrch\fcs0 \insrsid8612092\charrsid15879488 [ZNRACT]}{_x000d__x000a_\rtlch\fcs1 \af0 \ltrch\fcs0 \cs17\v\fs20\cf9\lang1024\langfe1024\loch\af1\hich\af1\dbch\af31501\noproof\insrsid8612092\charrsid15879488 \hich\af1\dbch\af31501\loch\f1 &lt;/OptDel&gt;&lt;/DocAmend2&gt;}{\rtlch\fcs1 \af0 \ltrch\fcs0 \insrsid8612092\charrsid15879488 _x000d__x000a__x000d__x000a_\par }\pard \ltrpar\ql \li0\ri0\widctlpar\wrapdefault\aspalpha\aspnum\faauto\adjustright\rin0\lin0\itap0\pararsid8612092 {\rtlch\fcs1 \af0 \ltrch\fcs0 _x000d__x000a_\cs17\v\fs20\cf9\lang1024\langfe1024\loch\af1\hich\af1\dbch\af31501\noproof\langnp1036\insrsid8612092\charrsid11356624 \hich\af1\dbch\af31501\loch\f1 &lt;Article2&gt;&lt;OptDel&gt;}{\rtlch\fcs1 \af0 \ltrch\fcs0 _x000d__x000a_\lang1036\langfe2057\langnp1036\insrsid8612092\charrsid11356624 [ZACTPART]}{\rtlch\fcs1 \af0 \ltrch\fcs0 \cs17\v\fs20\cf9\lang1024\langfe1024\loch\af1\hich\af1\dbch\af31501\noproof\langnp1036\insrsid8612092\charrsid11356624 \hich\af1\dbch\af31501\loch\f1 _x000d__x000a_&lt;/OptDel&gt;&lt;/Article2&gt;}{\rtlch\fcs1 \af0 \ltrch\fcs0 \lang1036\langfe2057\langnp1036\insrsid861209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12092\charrsid11356624 \cell }\pard \ltrpar\ql \li0\ri0\widctlpar\intbl\wrapdefault\aspalpha\aspnum\faauto\adjustright\rin0\lin0 {\rtlch\fcs1 \af0 \ltrch\fcs0 \insrsid861209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12092\charrsid15879488 [ZLEFTB]\cell [ZRIGHT]\cell }\pard\plain \ltrpar\ql \li0\ri0\widctlpar\intbl\wrapdefault\aspalpha\aspnum\faauto\adjustright\rin0\lin0 \rtlch\fcs1 \af0\afs20\alang1025 \ltrch\fcs0 _x000d__x000a_\fs24\lang2057\langfe2057\cgrid\langnp2057\langfenp2057 {\rtlch\fcs1 \af0 \ltrch\fcs0 \insrsid861209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12092\charrsid15879488 [ZTEXTL]\cell [ZTEXTR]}{\rtlch\fcs1 \af0\afs24 \ltrch\fcs0 \insrsid8612092\charrsid15879488 \cell }\pard\plain \ltrpar\ql \li0\ri0\widctlpar\intbl\wrapdefault\aspalpha\aspnum\faauto\adjustright\rin0\lin0 \rtlch\fcs1 _x000d__x000a_\af0\afs20\alang1025 \ltrch\fcs0 \fs24\lang2057\langfe2057\cgrid\langnp2057\langfenp2057 {\rtlch\fcs1 \af0 \ltrch\fcs0 \insrsid861209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12092 \rtlch\fcs1 \af0\afs20\alang1025 \ltrch\fcs0 \i\fs24\lang2057\langfe2057\cgrid\langnp2057\langfenp2057 {\rtlch\fcs1 \af0 \ltrch\fcs0 _x000d__x000a_\cs17\i0\v\fs20\cf9\lang1024\langfe1024\loch\af1\hich\af1\dbch\af31501\noproof\insrsid8612092\charrsid15879488 \hich\af1\dbch\af31501\loch\f1 &lt;OptDel&gt;}{\rtlch\fcs1 \af0 \ltrch\fcs0 \insrsid8612092\charrsid15879488 [ZCROSSREF]}{\rtlch\fcs1 \af0 _x000d__x000a_\ltrch\fcs0 \cs17\i0\v\fs20\cf9\lang1024\langfe1024\loch\af1\hich\af1\dbch\af31501\noproof\insrsid8612092\charrsid15879488 \hich\af1\dbch\af31501\loch\f1 &lt;/OptDel&gt;}{\rtlch\fcs1 \af0 \ltrch\fcs0 \insrsid8612092\charrsid15879488 _x000d__x000a_\par }\pard\plain \ltrpar\s22\qc \li0\ri0\sb240\sa240\keepn\nowidctlpar\wrapdefault\aspalpha\aspnum\faauto\adjustright\rin0\lin0\itap0\pararsid8612092 \rtlch\fcs1 \af0\afs20\alang1025 \ltrch\fcs0 \i\fs24\lang2057\langfe2057\cgrid\langnp2057\langfenp2057 {_x000d__x000a_\rtlch\fcs1 \af0 \ltrch\fcs0 \cs17\i0\v\fs20\cf9\lang1024\langfe1024\loch\af1\hich\af1\dbch\af31501\noproof\insrsid8612092\charrsid15879488 \hich\af1\dbch\af31501\loch\f1 &lt;TitreJust&gt;}{\rtlch\fcs1 \af0 \ltrch\fcs0 \insrsid8612092\charrsid15879488 _x000d__x000a_[ZJUSTIFICATION]}{\rtlch\fcs1 \af0 \ltrch\fcs0 \cs17\i0\v\fs20\cf9\lang1024\langfe1024\loch\af1\hich\af1\dbch\af31501\noproof\insrsid8612092\charrsid15879488 \hich\af1\dbch\af31501\loch\f1 &lt;/TitreJust&gt;}{\rtlch\fcs1 \af0 \ltrch\fcs0 _x000d__x000a_\insrsid8612092\charrsid15879488 _x000d__x000a_\par }\pard\plain \ltrpar\s20\ql \li0\ri0\sa240\nowidctlpar\wrapdefault\aspalpha\aspnum\faauto\adjustright\rin0\lin0\itap0\pararsid8612092 \rtlch\fcs1 \af0\afs20\alang1025 \ltrch\fcs0 \i\fs24\lang2057\langfe2057\cgrid\langnp2057\langfenp2057 {\rtlch\fcs1 \af0 _x000d__x000a_\ltrch\fcs0 \cs17\i0\v\fs20\cf9\lang1024\langfe1024\loch\af1\hich\af1\dbch\af31501\noproof\insrsid8612092\charrsid15879488 \hich\af1\dbch\af31501\loch\f1 &lt;OptDelPrev&gt;}{\rtlch\fcs1 \af0 \ltrch\fcs0 \insrsid8612092\charrsid15879488 [ZTEXTJUST]}{\rtlch\fcs1 _x000d__x000a_\af0 \ltrch\fcs0 \cs17\i0\v\fs20\cf9\lang1024\langfe1024\loch\af1\hich\af1\dbch\af31501\noproof\insrsid8612092\charrsid15879488 \hich\af1\dbch\af31501\loch\f1 &lt;/OptDelPrev&gt;}{\rtlch\fcs1 \af0 \ltrch\fcs0 \insrsid8612092\charrsid15879488 _x000d__x000a_\par }\pard\plain \ltrpar\ql \li0\ri0\widctlpar\wrapdefault\aspalpha\aspnum\faauto\adjustright\rin0\lin0\itap0\pararsid8612092 \rtlch\fcs1 \af0\afs20\alang1025 \ltrch\fcs0 \fs24\lang2057\langfe2057\cgrid\langnp2057\langfenp2057 {\rtlch\fcs1 \af0 \ltrch\fcs0 _x000d__x000a_\cs17\v\fs20\cf9\lang1024\langfe1024\loch\af1\hich\af1\dbch\af31501\noproof\insrsid8612092\charrsid15879488 \hich\af1\dbch\af31501\loch\f1 &lt;/AmendB&gt;}{\rtlch\fcs1 \af0 \ltrch\fcs0 \insrsid861209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3_x000d__x000a_2ae434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0"/>
    <w:docVar w:name="TITLECODMNU" w:val=" 1"/>
    <w:docVar w:name="TXTLANGUE" w:val="DA"/>
    <w:docVar w:name="TXTLANGUEMIN" w:val="da"/>
    <w:docVar w:name="TXTNRC" w:val="0187/2023"/>
    <w:docVar w:name="TXTNRCOM" w:val="(2023)273"/>
    <w:docVar w:name="TXTNRPE" w:val="753.445"/>
    <w:docVar w:name="TXTNRPROC" w:val="2023/0171"/>
    <w:docVar w:name="TXTPEorAP" w:val="PE"/>
    <w:docVar w:name="TXTROUTE" w:val="AD\1290360DA.docx"/>
    <w:docVar w:name="TXTVERSION" w:val="04-00"/>
  </w:docVars>
  <w:rsids>
    <w:rsidRoot w:val="003D2126"/>
    <w:rsid w:val="000177F1"/>
    <w:rsid w:val="00026559"/>
    <w:rsid w:val="00027FA8"/>
    <w:rsid w:val="0004474F"/>
    <w:rsid w:val="00064601"/>
    <w:rsid w:val="00082EC4"/>
    <w:rsid w:val="000D44A6"/>
    <w:rsid w:val="000E1EC5"/>
    <w:rsid w:val="00122C05"/>
    <w:rsid w:val="001303FC"/>
    <w:rsid w:val="00134974"/>
    <w:rsid w:val="00141CD7"/>
    <w:rsid w:val="00147FBF"/>
    <w:rsid w:val="001616BD"/>
    <w:rsid w:val="001820A9"/>
    <w:rsid w:val="00183889"/>
    <w:rsid w:val="001A0556"/>
    <w:rsid w:val="001B0A1E"/>
    <w:rsid w:val="001C0886"/>
    <w:rsid w:val="001D5154"/>
    <w:rsid w:val="001E3AC4"/>
    <w:rsid w:val="001F2B87"/>
    <w:rsid w:val="0020077A"/>
    <w:rsid w:val="00207509"/>
    <w:rsid w:val="0023131B"/>
    <w:rsid w:val="0024304E"/>
    <w:rsid w:val="00290259"/>
    <w:rsid w:val="002A67EE"/>
    <w:rsid w:val="00304EA8"/>
    <w:rsid w:val="00341A99"/>
    <w:rsid w:val="00360FAA"/>
    <w:rsid w:val="0038294E"/>
    <w:rsid w:val="003858C5"/>
    <w:rsid w:val="003A2F84"/>
    <w:rsid w:val="003C7390"/>
    <w:rsid w:val="003D2126"/>
    <w:rsid w:val="003E1280"/>
    <w:rsid w:val="003F128E"/>
    <w:rsid w:val="003F53A9"/>
    <w:rsid w:val="0040055C"/>
    <w:rsid w:val="0044673F"/>
    <w:rsid w:val="00487596"/>
    <w:rsid w:val="004946DF"/>
    <w:rsid w:val="004B3A53"/>
    <w:rsid w:val="004C2A0D"/>
    <w:rsid w:val="004D1CA4"/>
    <w:rsid w:val="004F0A9F"/>
    <w:rsid w:val="004F1D2F"/>
    <w:rsid w:val="004F2874"/>
    <w:rsid w:val="00502B76"/>
    <w:rsid w:val="00513F6F"/>
    <w:rsid w:val="00522B51"/>
    <w:rsid w:val="00524707"/>
    <w:rsid w:val="005539B7"/>
    <w:rsid w:val="00571233"/>
    <w:rsid w:val="005D6E1A"/>
    <w:rsid w:val="00613134"/>
    <w:rsid w:val="00617C13"/>
    <w:rsid w:val="00626D52"/>
    <w:rsid w:val="00643DA8"/>
    <w:rsid w:val="00657D5C"/>
    <w:rsid w:val="00683DD1"/>
    <w:rsid w:val="00691B1C"/>
    <w:rsid w:val="006A0F0A"/>
    <w:rsid w:val="006A1471"/>
    <w:rsid w:val="006A48AA"/>
    <w:rsid w:val="006B1267"/>
    <w:rsid w:val="006D292E"/>
    <w:rsid w:val="006E19D0"/>
    <w:rsid w:val="00712462"/>
    <w:rsid w:val="00716BAA"/>
    <w:rsid w:val="00733FE2"/>
    <w:rsid w:val="00751F44"/>
    <w:rsid w:val="007613D0"/>
    <w:rsid w:val="0078548A"/>
    <w:rsid w:val="007B7CE3"/>
    <w:rsid w:val="007F187F"/>
    <w:rsid w:val="00817D13"/>
    <w:rsid w:val="00820C7D"/>
    <w:rsid w:val="00833D11"/>
    <w:rsid w:val="00836FD3"/>
    <w:rsid w:val="008375A8"/>
    <w:rsid w:val="00852501"/>
    <w:rsid w:val="00860E99"/>
    <w:rsid w:val="00872A52"/>
    <w:rsid w:val="00876A73"/>
    <w:rsid w:val="00880B0F"/>
    <w:rsid w:val="0089388A"/>
    <w:rsid w:val="008F3DB0"/>
    <w:rsid w:val="00904864"/>
    <w:rsid w:val="009052FE"/>
    <w:rsid w:val="009215FC"/>
    <w:rsid w:val="00924555"/>
    <w:rsid w:val="009368B3"/>
    <w:rsid w:val="00982B83"/>
    <w:rsid w:val="009857B4"/>
    <w:rsid w:val="009B7EB6"/>
    <w:rsid w:val="009E7319"/>
    <w:rsid w:val="00A03F39"/>
    <w:rsid w:val="00A633B9"/>
    <w:rsid w:val="00A71228"/>
    <w:rsid w:val="00A74E25"/>
    <w:rsid w:val="00A85843"/>
    <w:rsid w:val="00AC2A60"/>
    <w:rsid w:val="00AD49D0"/>
    <w:rsid w:val="00B00EE6"/>
    <w:rsid w:val="00B0332E"/>
    <w:rsid w:val="00B12A83"/>
    <w:rsid w:val="00B476DC"/>
    <w:rsid w:val="00B556CD"/>
    <w:rsid w:val="00B62D4B"/>
    <w:rsid w:val="00B6732A"/>
    <w:rsid w:val="00B735E3"/>
    <w:rsid w:val="00B84707"/>
    <w:rsid w:val="00B904FA"/>
    <w:rsid w:val="00BA3E40"/>
    <w:rsid w:val="00BD1F76"/>
    <w:rsid w:val="00BE20CF"/>
    <w:rsid w:val="00C22327"/>
    <w:rsid w:val="00C335C6"/>
    <w:rsid w:val="00C36610"/>
    <w:rsid w:val="00C4219C"/>
    <w:rsid w:val="00C52A28"/>
    <w:rsid w:val="00C709B7"/>
    <w:rsid w:val="00C75E98"/>
    <w:rsid w:val="00C81C5B"/>
    <w:rsid w:val="00C83B35"/>
    <w:rsid w:val="00C85D0F"/>
    <w:rsid w:val="00C90DAA"/>
    <w:rsid w:val="00CD36F3"/>
    <w:rsid w:val="00CF2D9F"/>
    <w:rsid w:val="00D2129A"/>
    <w:rsid w:val="00D25CF2"/>
    <w:rsid w:val="00D47A5D"/>
    <w:rsid w:val="00D56CE0"/>
    <w:rsid w:val="00D6254D"/>
    <w:rsid w:val="00D67D0A"/>
    <w:rsid w:val="00D74FD1"/>
    <w:rsid w:val="00D85F8E"/>
    <w:rsid w:val="00D943A5"/>
    <w:rsid w:val="00D9581F"/>
    <w:rsid w:val="00DB56E4"/>
    <w:rsid w:val="00DD30C0"/>
    <w:rsid w:val="00E27F01"/>
    <w:rsid w:val="00E77FF5"/>
    <w:rsid w:val="00E94D64"/>
    <w:rsid w:val="00EA3802"/>
    <w:rsid w:val="00EF1432"/>
    <w:rsid w:val="00EF33D5"/>
    <w:rsid w:val="00F15744"/>
    <w:rsid w:val="00F24D40"/>
    <w:rsid w:val="00F328B1"/>
    <w:rsid w:val="00F53529"/>
    <w:rsid w:val="00FB61DB"/>
    <w:rsid w:val="00FE5B6F"/>
    <w:rsid w:val="00FE73D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D5EA94-7E33-4D30-B4C5-03A9E0E6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5D6E1A"/>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5D6E1A"/>
    <w:rPr>
      <w:rFonts w:eastAsiaTheme="minorHAnsi"/>
      <w:lang w:eastAsia="en-US"/>
    </w:rPr>
  </w:style>
  <w:style w:type="character" w:styleId="FootnoteReference">
    <w:name w:val="footnote reference"/>
    <w:basedOn w:val="DefaultParagraphFont"/>
    <w:uiPriority w:val="99"/>
    <w:unhideWhenUsed/>
    <w:rsid w:val="005D6E1A"/>
    <w:rPr>
      <w:vertAlign w:val="superscript"/>
    </w:rPr>
  </w:style>
  <w:style w:type="character" w:styleId="Hyperlink">
    <w:name w:val="Hyperlink"/>
    <w:basedOn w:val="DefaultParagraphFont"/>
    <w:uiPriority w:val="99"/>
    <w:unhideWhenUsed/>
    <w:rsid w:val="005D6E1A"/>
    <w:rPr>
      <w:color w:val="0000FF"/>
      <w:u w:val="single"/>
    </w:rPr>
  </w:style>
  <w:style w:type="character" w:customStyle="1" w:styleId="NormalBoldChar">
    <w:name w:val="NormalBold Char"/>
    <w:basedOn w:val="DefaultParagraphFont"/>
    <w:link w:val="NormalBold"/>
    <w:locked/>
    <w:rsid w:val="0024304E"/>
    <w:rPr>
      <w:b/>
      <w:sz w:val="24"/>
    </w:rPr>
  </w:style>
  <w:style w:type="character" w:customStyle="1" w:styleId="Normal6Char">
    <w:name w:val="Normal6 Char"/>
    <w:basedOn w:val="DefaultParagraphFont"/>
    <w:link w:val="Normal6"/>
    <w:locked/>
    <w:rsid w:val="0024304E"/>
    <w:rPr>
      <w:sz w:val="24"/>
      <w:lang w:val="da-DK"/>
    </w:rPr>
  </w:style>
  <w:style w:type="paragraph" w:customStyle="1" w:styleId="Normal6">
    <w:name w:val="Normal6"/>
    <w:basedOn w:val="Normal"/>
    <w:link w:val="Normal6Char"/>
    <w:rsid w:val="0024304E"/>
    <w:pPr>
      <w:spacing w:after="120"/>
    </w:pPr>
    <w:rPr>
      <w:szCs w:val="20"/>
    </w:rPr>
  </w:style>
  <w:style w:type="paragraph" w:customStyle="1" w:styleId="ColumnHeading">
    <w:name w:val="ColumnHeading"/>
    <w:basedOn w:val="Normal"/>
    <w:rsid w:val="0024304E"/>
    <w:pPr>
      <w:spacing w:after="240"/>
      <w:jc w:val="center"/>
    </w:pPr>
    <w:rPr>
      <w:i/>
      <w:szCs w:val="20"/>
    </w:rPr>
  </w:style>
  <w:style w:type="paragraph" w:customStyle="1" w:styleId="AMNumberTabs0">
    <w:name w:val="AMNumberTabs"/>
    <w:basedOn w:val="Normal"/>
    <w:rsid w:val="002430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24304E"/>
    <w:pPr>
      <w:jc w:val="right"/>
    </w:pPr>
  </w:style>
  <w:style w:type="paragraph" w:styleId="Footer">
    <w:name w:val="footer"/>
    <w:basedOn w:val="Normal"/>
    <w:link w:val="FooterChar"/>
    <w:rsid w:val="00CF2D9F"/>
    <w:pPr>
      <w:tabs>
        <w:tab w:val="center" w:pos="4513"/>
        <w:tab w:val="right" w:pos="9026"/>
      </w:tabs>
    </w:pPr>
  </w:style>
  <w:style w:type="character" w:customStyle="1" w:styleId="FooterChar">
    <w:name w:val="Footer Char"/>
    <w:basedOn w:val="DefaultParagraphFont"/>
    <w:link w:val="Footer"/>
    <w:rsid w:val="00CF2D9F"/>
    <w:rPr>
      <w:sz w:val="24"/>
      <w:szCs w:val="24"/>
    </w:rPr>
  </w:style>
  <w:style w:type="paragraph" w:styleId="BalloonText">
    <w:name w:val="Balloon Text"/>
    <w:basedOn w:val="Normal"/>
    <w:link w:val="BalloonTextChar"/>
    <w:semiHidden/>
    <w:unhideWhenUsed/>
    <w:rsid w:val="00183889"/>
    <w:rPr>
      <w:rFonts w:ascii="Segoe UI" w:hAnsi="Segoe UI" w:cs="Segoe UI"/>
      <w:sz w:val="18"/>
      <w:szCs w:val="18"/>
    </w:rPr>
  </w:style>
  <w:style w:type="character" w:customStyle="1" w:styleId="BalloonTextChar">
    <w:name w:val="Balloon Text Char"/>
    <w:basedOn w:val="DefaultParagraphFont"/>
    <w:link w:val="BalloonText"/>
    <w:semiHidden/>
    <w:rsid w:val="00183889"/>
    <w:rPr>
      <w:rFonts w:ascii="Segoe UI" w:hAnsi="Segoe UI" w:cs="Segoe UI"/>
      <w:sz w:val="18"/>
      <w:szCs w:val="18"/>
    </w:rPr>
  </w:style>
  <w:style w:type="character" w:customStyle="1" w:styleId="AmNumberTabsChar">
    <w:name w:val="AmNumberTabs Char"/>
    <w:basedOn w:val="DefaultParagraphFont"/>
    <w:link w:val="AmNumberTabs"/>
    <w:rsid w:val="001303FC"/>
    <w:rPr>
      <w:b/>
      <w:sz w:val="24"/>
    </w:rPr>
  </w:style>
  <w:style w:type="character" w:customStyle="1" w:styleId="NormalBold12bChar">
    <w:name w:val="NormalBold12b Char"/>
    <w:basedOn w:val="AmNumberTabsChar"/>
    <w:link w:val="NormalBold12b"/>
    <w:rsid w:val="001303FC"/>
    <w:rPr>
      <w:b/>
      <w:sz w:val="24"/>
    </w:rPr>
  </w:style>
  <w:style w:type="paragraph" w:customStyle="1" w:styleId="RollCallSymbols14pt">
    <w:name w:val="RollCallSymbols14pt"/>
    <w:basedOn w:val="Normal"/>
    <w:rsid w:val="001303F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303FC"/>
    <w:pPr>
      <w:tabs>
        <w:tab w:val="center" w:pos="284"/>
        <w:tab w:val="left" w:pos="426"/>
      </w:tabs>
    </w:pPr>
    <w:rPr>
      <w:snapToGrid w:val="0"/>
      <w:szCs w:val="20"/>
      <w:lang w:eastAsia="en-US"/>
    </w:rPr>
  </w:style>
  <w:style w:type="paragraph" w:customStyle="1" w:styleId="RollCallVotes">
    <w:name w:val="RollCallVotes"/>
    <w:basedOn w:val="Normal"/>
    <w:rsid w:val="001303FC"/>
    <w:pPr>
      <w:spacing w:before="120" w:after="120"/>
      <w:jc w:val="center"/>
    </w:pPr>
    <w:rPr>
      <w:b/>
      <w:bCs/>
      <w:snapToGrid w:val="0"/>
      <w:sz w:val="16"/>
      <w:szCs w:val="20"/>
      <w:lang w:eastAsia="en-US"/>
    </w:rPr>
  </w:style>
  <w:style w:type="paragraph" w:customStyle="1" w:styleId="RollCallTable">
    <w:name w:val="RollCallTable"/>
    <w:basedOn w:val="Normal"/>
    <w:rsid w:val="001303FC"/>
    <w:pPr>
      <w:spacing w:before="120" w:after="120"/>
    </w:pPr>
    <w:rPr>
      <w:snapToGrid w:val="0"/>
      <w:sz w:val="16"/>
      <w:szCs w:val="20"/>
      <w:lang w:eastAsia="en-US"/>
    </w:rPr>
  </w:style>
  <w:style w:type="paragraph" w:customStyle="1" w:styleId="Normal24a">
    <w:name w:val="Normal24a"/>
    <w:basedOn w:val="Normal"/>
    <w:rsid w:val="001303FC"/>
    <w:pPr>
      <w:spacing w:after="480"/>
    </w:pPr>
    <w:rPr>
      <w:szCs w:val="20"/>
    </w:rPr>
  </w:style>
  <w:style w:type="paragraph" w:customStyle="1" w:styleId="NormalBoldCenter">
    <w:name w:val="NormalBoldCenter"/>
    <w:basedOn w:val="Normal"/>
    <w:rsid w:val="001303FC"/>
    <w:pPr>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A/TXT/?uri=CELEX:02005L0035-2009111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8AA12-FE8A-4DF1-A8B7-4160D2B69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7987</Words>
  <Characters>50324</Characters>
  <Application>Microsoft Office Word</Application>
  <DocSecurity>0</DocSecurity>
  <Lines>1863</Lines>
  <Paragraphs>607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2023-11-28T12:24:00Z</dcterms:created>
  <dcterms:modified xsi:type="dcterms:W3CDTF">2023-11-28T12:24:00Z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1290360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- 2023/11/28 13:21</vt:lpwstr>
  </property>
  <property fmtid="{D5CDD505-2E9C-101B-9397-08002B2CF9AE}" pid="9" name="Created with">
    <vt:lpwstr>9.14.1 Build [20230315]</vt:lpwstr>
  </property>
  <property fmtid="{D5CDD505-2E9C-101B-9397-08002B2CF9AE}" pid="10" name="FooterPath">
    <vt:lpwstr>AD\1290360DA.docx</vt:lpwstr>
  </property>
  <property fmtid="{D5CDD505-2E9C-101B-9397-08002B2CF9AE}" pid="11" name="LastEdited with">
    <vt:lpwstr>9.16.1 Build [20230915]</vt:lpwstr>
  </property>
  <property fmtid="{D5CDD505-2E9C-101B-9397-08002B2CF9AE}" pid="12" name="PE number">
    <vt:lpwstr>753.445</vt:lpwstr>
  </property>
  <property fmtid="{D5CDD505-2E9C-101B-9397-08002B2CF9AE}" pid="13" name="SDLStudio">
    <vt:lpwstr/>
  </property>
  <property fmtid="{D5CDD505-2E9C-101B-9397-08002B2CF9AE}" pid="14" name="SendToEpades">
    <vt:lpwstr>OK - 2023/09/21 12:20</vt:lpwstr>
  </property>
</Properties>
</file>