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B66BE" w:rsidTr="00C85D0F">
        <w:trPr>
          <w:trHeight w:hRule="exact" w:val="1418"/>
        </w:trPr>
        <w:tc>
          <w:tcPr>
            <w:tcW w:w="6804" w:type="dxa"/>
            <w:shd w:val="clear" w:color="auto" w:fill="auto"/>
            <w:vAlign w:val="center"/>
          </w:tcPr>
          <w:p w:rsidR="00BA3E40" w:rsidRPr="000E21A0" w:rsidRDefault="00C20DB2" w:rsidP="00C85D0F">
            <w:pPr>
              <w:pStyle w:val="EPName"/>
            </w:pPr>
            <w:r>
              <w:t>Parlamento europeo</w:t>
            </w:r>
          </w:p>
          <w:p w:rsidR="00BA3E40" w:rsidRPr="008C2337" w:rsidRDefault="00C20DB2" w:rsidP="008C2337">
            <w:pPr>
              <w:pStyle w:val="EPTerm"/>
            </w:pPr>
            <w:r>
              <w:t>2019-2024</w:t>
            </w:r>
          </w:p>
        </w:tc>
        <w:tc>
          <w:tcPr>
            <w:tcW w:w="2268" w:type="dxa"/>
            <w:shd w:val="clear" w:color="auto" w:fill="auto"/>
          </w:tcPr>
          <w:p w:rsidR="00BA3E40" w:rsidRPr="000E21A0" w:rsidRDefault="00C20DB2" w:rsidP="00C85D0F">
            <w:pPr>
              <w:pStyle w:val="EPLogo"/>
            </w:pPr>
            <w:r w:rsidRPr="000E21A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0E21A0" w:rsidRDefault="00F24D40" w:rsidP="00F24D40">
      <w:pPr>
        <w:pStyle w:val="LineTop"/>
      </w:pPr>
    </w:p>
    <w:p w:rsidR="00F24D40" w:rsidRPr="000E21A0" w:rsidRDefault="00C20DB2" w:rsidP="00F24D40">
      <w:pPr>
        <w:pStyle w:val="EPBody"/>
      </w:pPr>
      <w:r>
        <w:rPr>
          <w:rStyle w:val="HideTWBExt"/>
        </w:rPr>
        <w:t>&lt;</w:t>
      </w:r>
      <w:r>
        <w:rPr>
          <w:rStyle w:val="HideTWBExt"/>
          <w:i w:val="0"/>
        </w:rPr>
        <w:t>Commission</w:t>
      </w:r>
      <w:r>
        <w:rPr>
          <w:rStyle w:val="HideTWBExt"/>
        </w:rPr>
        <w:t>&gt;</w:t>
      </w:r>
      <w:r>
        <w:rPr>
          <w:rStyle w:val="HideTWBInt"/>
          <w:color w:val="auto"/>
        </w:rPr>
        <w:t>{PECH}</w:t>
      </w:r>
      <w:r>
        <w:t>Commissione per la pesca</w:t>
      </w:r>
      <w:r>
        <w:rPr>
          <w:rStyle w:val="HideTWBExt"/>
        </w:rPr>
        <w:t>&lt;/</w:t>
      </w:r>
      <w:r>
        <w:rPr>
          <w:rStyle w:val="HideTWBExt"/>
          <w:i w:val="0"/>
        </w:rPr>
        <w:t>Commission</w:t>
      </w:r>
      <w:r>
        <w:rPr>
          <w:rStyle w:val="HideTWBExt"/>
        </w:rPr>
        <w:t>&gt;</w:t>
      </w:r>
    </w:p>
    <w:p w:rsidR="00F24D40" w:rsidRPr="000E21A0" w:rsidRDefault="00F24D40" w:rsidP="00F24D40">
      <w:pPr>
        <w:pStyle w:val="LineBottom"/>
      </w:pPr>
    </w:p>
    <w:p w:rsidR="00DB56E4" w:rsidRPr="000E21A0" w:rsidRDefault="00C20DB2" w:rsidP="00DB56E4">
      <w:pPr>
        <w:pStyle w:val="CoverReference"/>
      </w:pPr>
      <w:r>
        <w:rPr>
          <w:rStyle w:val="HideTWBExt"/>
          <w:b w:val="0"/>
        </w:rPr>
        <w:t>&lt;RefProc&gt;</w:t>
      </w:r>
      <w:r>
        <w:t>2023/0171</w:t>
      </w:r>
      <w:r>
        <w:rPr>
          <w:rStyle w:val="HideTWBExt"/>
          <w:b w:val="0"/>
        </w:rPr>
        <w:t>&lt;/RefProc&gt;&lt;RefTypeProc&gt;</w:t>
      </w:r>
      <w:r>
        <w:t>(COD)</w:t>
      </w:r>
      <w:r>
        <w:rPr>
          <w:rStyle w:val="HideTWBExt"/>
          <w:b w:val="0"/>
        </w:rPr>
        <w:t>&lt;/RefTypeProc&gt;</w:t>
      </w:r>
    </w:p>
    <w:p w:rsidR="00DB56E4" w:rsidRPr="000E21A0" w:rsidRDefault="00C20DB2" w:rsidP="00DB56E4">
      <w:pPr>
        <w:pStyle w:val="CoverDate"/>
      </w:pPr>
      <w:r>
        <w:rPr>
          <w:rStyle w:val="HideTWBExt"/>
        </w:rPr>
        <w:t>&lt;Date&gt;</w:t>
      </w:r>
      <w:r>
        <w:rPr>
          <w:rStyle w:val="HideTWBInt"/>
          <w:color w:val="auto"/>
        </w:rPr>
        <w:t>{15/11/2023}</w:t>
      </w:r>
      <w:r>
        <w:t>15.11.2023</w:t>
      </w:r>
      <w:r>
        <w:rPr>
          <w:rStyle w:val="HideTWBExt"/>
        </w:rPr>
        <w:t>&lt;/Date&gt;</w:t>
      </w:r>
    </w:p>
    <w:p w:rsidR="00DB56E4" w:rsidRPr="000E21A0" w:rsidRDefault="00C20DB2" w:rsidP="00DB56E4">
      <w:pPr>
        <w:pStyle w:val="CoverDocType24a"/>
      </w:pPr>
      <w:r>
        <w:rPr>
          <w:rStyle w:val="HideTWBExt"/>
          <w:b w:val="0"/>
        </w:rPr>
        <w:t>&lt;TitreType&gt;</w:t>
      </w:r>
      <w:r>
        <w:t>PARERE</w:t>
      </w:r>
      <w:r>
        <w:rPr>
          <w:rStyle w:val="HideTWBExt"/>
          <w:b w:val="0"/>
        </w:rPr>
        <w:t>&lt;/TitreType&gt;</w:t>
      </w:r>
    </w:p>
    <w:p w:rsidR="00DB56E4" w:rsidRPr="000E21A0" w:rsidRDefault="00C20DB2" w:rsidP="00DB56E4">
      <w:pPr>
        <w:pStyle w:val="CoverNormal24a"/>
      </w:pPr>
      <w:r>
        <w:rPr>
          <w:rStyle w:val="HideTWBExt"/>
        </w:rPr>
        <w:t>&lt;CommissionResp&gt;</w:t>
      </w:r>
      <w:r>
        <w:t xml:space="preserve">della commissione per </w:t>
      </w:r>
      <w:r>
        <w:t>la pesca</w:t>
      </w:r>
      <w:r>
        <w:rPr>
          <w:rStyle w:val="HideTWBExt"/>
        </w:rPr>
        <w:t>&lt;/CommissionResp&gt;</w:t>
      </w:r>
    </w:p>
    <w:p w:rsidR="00DB56E4" w:rsidRPr="000E21A0" w:rsidRDefault="00C20DB2" w:rsidP="00DB56E4">
      <w:pPr>
        <w:pStyle w:val="CoverNormal24a"/>
      </w:pPr>
      <w:r>
        <w:rPr>
          <w:rStyle w:val="HideTWBExt"/>
        </w:rPr>
        <w:t>&lt;CommissionInt&gt;</w:t>
      </w:r>
      <w:r>
        <w:t>destinato alla commissione per i trasporti e il turismo</w:t>
      </w:r>
      <w:r>
        <w:rPr>
          <w:rStyle w:val="HideTWBExt"/>
        </w:rPr>
        <w:t>&lt;/CommissionInt&gt;</w:t>
      </w:r>
    </w:p>
    <w:p w:rsidR="008C2337" w:rsidRPr="008C2337" w:rsidRDefault="00C20DB2" w:rsidP="008C2337">
      <w:pPr>
        <w:pStyle w:val="CoverNormal"/>
      </w:pPr>
      <w:r>
        <w:rPr>
          <w:rStyle w:val="HideTWBExt"/>
        </w:rPr>
        <w:t>&lt;Titre&gt;</w:t>
      </w:r>
      <w:r>
        <w:t>sulla proposta di direttiva del Parlamento europeo e del Consiglio che modifica la direttiva 2005/35/CE relativa all'inquinamento provoc</w:t>
      </w:r>
      <w:r>
        <w:t>ato dalle navi e all'introduzione di sanzioni, anche penali, per i reati di inquinamento</w:t>
      </w:r>
      <w:r>
        <w:rPr>
          <w:rStyle w:val="HideTWBExt"/>
        </w:rPr>
        <w:t>&lt;/Titre&gt;</w:t>
      </w:r>
    </w:p>
    <w:p w:rsidR="00DB56E4" w:rsidRPr="00F31AE6" w:rsidRDefault="00C20DB2" w:rsidP="008C2337">
      <w:pPr>
        <w:pStyle w:val="CoverNormal24a"/>
        <w:rPr>
          <w:lang w:val="pt-PT"/>
        </w:rPr>
      </w:pPr>
      <w:r>
        <w:rPr>
          <w:rStyle w:val="HideTWBExt"/>
          <w:lang w:val="pt-PT"/>
        </w:rPr>
        <w:t>&lt;DocRef&gt;</w:t>
      </w:r>
      <w:r w:rsidRPr="00F31AE6">
        <w:rPr>
          <w:lang w:val="pt-PT"/>
        </w:rPr>
        <w:t>(COM(2023)0273 – C9</w:t>
      </w:r>
      <w:r w:rsidRPr="00F31AE6">
        <w:rPr>
          <w:lang w:val="pt-PT"/>
        </w:rPr>
        <w:noBreakHyphen/>
        <w:t>0187/2023 – 2023/0171(COD))</w:t>
      </w:r>
      <w:r>
        <w:rPr>
          <w:rStyle w:val="HideTWBExt"/>
          <w:lang w:val="pt-PT"/>
        </w:rPr>
        <w:t>&lt;/DocRef&gt;</w:t>
      </w:r>
    </w:p>
    <w:p w:rsidR="00DB56E4" w:rsidRPr="00F31AE6" w:rsidRDefault="00C20DB2" w:rsidP="00DB56E4">
      <w:pPr>
        <w:pStyle w:val="CoverNormal24a"/>
        <w:rPr>
          <w:lang w:val="pt-PT"/>
        </w:rPr>
      </w:pPr>
      <w:r w:rsidRPr="00F31AE6">
        <w:rPr>
          <w:lang w:val="pt-PT"/>
        </w:rPr>
        <w:t xml:space="preserve">Relatrice per parere: </w:t>
      </w:r>
      <w:r>
        <w:rPr>
          <w:rStyle w:val="HideTWBExt"/>
          <w:lang w:val="pt-PT"/>
        </w:rPr>
        <w:t>&lt;Depute&gt;</w:t>
      </w:r>
      <w:r w:rsidRPr="00F31AE6">
        <w:rPr>
          <w:lang w:val="pt-PT"/>
        </w:rPr>
        <w:t>Cláudia Monteiro de Aguiar</w:t>
      </w:r>
      <w:r>
        <w:rPr>
          <w:rStyle w:val="HideTWBExt"/>
          <w:lang w:val="pt-PT"/>
        </w:rPr>
        <w:t>&lt;/Depute&gt;</w:t>
      </w:r>
    </w:p>
    <w:p w:rsidR="00487596" w:rsidRPr="006D6A0C" w:rsidRDefault="00487596" w:rsidP="00487596">
      <w:pPr>
        <w:pStyle w:val="CoverNormal"/>
        <w:rPr>
          <w:lang w:val="pt-PT"/>
        </w:rPr>
      </w:pPr>
    </w:p>
    <w:p w:rsidR="00DB56E4" w:rsidRPr="000E21A0" w:rsidRDefault="00C20DB2" w:rsidP="0004474F">
      <w:pPr>
        <w:tabs>
          <w:tab w:val="center" w:pos="4677"/>
        </w:tabs>
      </w:pPr>
      <w:r w:rsidRPr="00C20DB2">
        <w:br w:type="page"/>
      </w:r>
      <w:r>
        <w:lastRenderedPageBreak/>
        <w:t>PA_Legam</w:t>
      </w:r>
    </w:p>
    <w:p w:rsidR="00D56ECC" w:rsidRPr="00B11CA6" w:rsidRDefault="00C20DB2" w:rsidP="00D56ECC">
      <w:pPr>
        <w:pStyle w:val="PageHeadingNotTOC"/>
      </w:pPr>
      <w:r>
        <w:br w:type="page"/>
      </w:r>
      <w:r>
        <w:lastRenderedPageBreak/>
        <w:t xml:space="preserve">BREVE </w:t>
      </w:r>
      <w:r>
        <w:t>MOTIVAZIONE</w:t>
      </w:r>
      <w:bookmarkStart w:id="0" w:name="EndA"/>
    </w:p>
    <w:p w:rsidR="00D56ECC" w:rsidRPr="00B11CA6" w:rsidRDefault="00C20DB2" w:rsidP="00D56ECC">
      <w:pPr>
        <w:jc w:val="both"/>
      </w:pPr>
      <w:r>
        <w:t xml:space="preserve">La conservazione delle risorse biologiche marine è un aspetto centrale della politica comune della pesca, dal momento che il settore della pesca è vittima dell'inquinamento marino dovuto, tra le molte altre cause, agli scarichi illeciti di </w:t>
      </w:r>
      <w:r>
        <w:t>sostanze inquinanti in mare da parte delle navi.</w:t>
      </w:r>
    </w:p>
    <w:p w:rsidR="00D56ECC" w:rsidRPr="00B11CA6" w:rsidRDefault="00D56ECC" w:rsidP="00D56ECC">
      <w:pPr>
        <w:jc w:val="both"/>
      </w:pPr>
    </w:p>
    <w:p w:rsidR="00D56ECC" w:rsidRPr="00B11CA6" w:rsidRDefault="00C20DB2" w:rsidP="00D56ECC">
      <w:pPr>
        <w:jc w:val="both"/>
      </w:pPr>
      <w:r>
        <w:t xml:space="preserve">Pertanto la relatrice accoglie con favore la proposta della Commissione che aggiorna la direttiva </w:t>
      </w:r>
      <w:hyperlink r:id="rId8" w:history="1">
        <w:r>
          <w:rPr>
            <w:rStyle w:val="Hyperlink"/>
          </w:rPr>
          <w:t>2005/35/CE</w:t>
        </w:r>
        <w:r>
          <w:rPr>
            <w:rStyle w:val="FootnoteReference"/>
            <w:noProof/>
          </w:rPr>
          <w:footnoteReference w:id="1"/>
        </w:r>
        <w:r>
          <w:rPr>
            <w:rStyle w:val="Hyperlink"/>
          </w:rPr>
          <w:t xml:space="preserve"> re</w:t>
        </w:r>
        <w:r>
          <w:rPr>
            <w:rStyle w:val="Hyperlink"/>
          </w:rPr>
          <w:t>lativa all'inquinamento provocato dalle navi</w:t>
        </w:r>
      </w:hyperlink>
      <w:r>
        <w:t xml:space="preserve"> e all'introduzione di sanzioni per i reati di inquinamento.</w:t>
      </w:r>
    </w:p>
    <w:p w:rsidR="00D56ECC" w:rsidRPr="00B11CA6" w:rsidRDefault="00D56ECC" w:rsidP="00D56ECC">
      <w:pPr>
        <w:jc w:val="both"/>
      </w:pPr>
    </w:p>
    <w:p w:rsidR="00D56ECC" w:rsidRPr="00B11CA6" w:rsidRDefault="00C20DB2" w:rsidP="00D56ECC">
      <w:pPr>
        <w:jc w:val="both"/>
        <w:rPr>
          <w:noProof/>
        </w:rPr>
      </w:pPr>
      <w:r>
        <w:t>La relatrice sottolinea che la definizione di inquinamento causato dalle navi è riportata negli allegati I e VI della convenzione internazionale per l</w:t>
      </w:r>
      <w:r>
        <w:t>a prevenzione dell'inquinamento causato da navi del 1973 e nel relativo protocollo del 1978 (convenzione Marpol 73/78), che sono giuridicamente vincolanti per l'Unione europea. L'applicazione di norme più rigorose garantirà parità di condizioni per il tras</w:t>
      </w:r>
      <w:r>
        <w:t>porto marittimo, che presenta una dimensione transnazionale con effetti positivi sugli ecosistemi marini e di conseguenza sulla pesca.</w:t>
      </w:r>
    </w:p>
    <w:p w:rsidR="00D56ECC" w:rsidRPr="00B11CA6" w:rsidRDefault="00D56ECC" w:rsidP="00D56ECC">
      <w:pPr>
        <w:jc w:val="both"/>
        <w:rPr>
          <w:noProof/>
        </w:rPr>
      </w:pPr>
    </w:p>
    <w:p w:rsidR="00D56ECC" w:rsidRPr="00B11CA6" w:rsidRDefault="00C20DB2" w:rsidP="00D56ECC">
      <w:pPr>
        <w:jc w:val="both"/>
        <w:rPr>
          <w:noProof/>
        </w:rPr>
      </w:pPr>
      <w:r>
        <w:t>La relatrice accoglie con favore l'inasprimento dei limiti di emissione; tuttavia avverte che l'inclusione di disposizio</w:t>
      </w:r>
      <w:r>
        <w:t>ni relative alle emissioni di ossido di zolfo e di ossido di azoto provenienti dai gas di scarico delle navi potrebbe avere un impatto sulla flotta peschereccia dell'UE, che è composta per la maggior parte da navi ormai datate e appartenenti a piccole e me</w:t>
      </w:r>
      <w:r>
        <w:t>die imprese con risorse limitate da investire in nuovi motori a basse emissioni. L'estensione dell'ambito di applicazione della direttiva a sostanze aggiuntive contemplate dalla convezione Marpol 73/78 dovrà avere un forte riscontro nel Fondo europeo per g</w:t>
      </w:r>
      <w:r>
        <w:t xml:space="preserve">li affari marittimi, la pesca e l'acquacoltura (FEAMP) attraverso un maggiore sostegno per i motori a basse emissioni e per il rinnovo delle flotte. </w:t>
      </w:r>
    </w:p>
    <w:p w:rsidR="00D56ECC" w:rsidRPr="00B11CA6" w:rsidRDefault="00C20DB2" w:rsidP="00D56ECC">
      <w:pPr>
        <w:jc w:val="both"/>
      </w:pPr>
      <w:r>
        <w:t>La relatrice esorta la Commissione a sostenere il rinnovo delle flotte attraverso il FEAMP.</w:t>
      </w:r>
    </w:p>
    <w:p w:rsidR="00D56ECC" w:rsidRPr="00B11CA6" w:rsidRDefault="00D56ECC" w:rsidP="00D56ECC">
      <w:pPr>
        <w:jc w:val="both"/>
        <w:rPr>
          <w:noProof/>
        </w:rPr>
      </w:pPr>
    </w:p>
    <w:p w:rsidR="00D56ECC" w:rsidRPr="00B11CA6" w:rsidRDefault="00C20DB2" w:rsidP="00D56ECC">
      <w:pPr>
        <w:jc w:val="both"/>
      </w:pPr>
      <w:r>
        <w:t>Inoltre la re</w:t>
      </w:r>
      <w:r>
        <w:t>latrice aggiunge una nuova definizione alla proposta e sottolinea la necessità di vigilare nelle zone interessate da un'attività di pesca significativa, difendendo la duplice causa della protezione ambientale e della sopravvivenza delle comunità di pescato</w:t>
      </w:r>
      <w:r>
        <w:t>ri. La relatrice invita inoltre a costruire una comunità marittima informata, sottolineando la necessità dell'istruzione e della formazione.</w:t>
      </w:r>
    </w:p>
    <w:p w:rsidR="00D56ECC" w:rsidRPr="00B11CA6" w:rsidRDefault="00D56ECC" w:rsidP="00D56ECC">
      <w:pPr>
        <w:jc w:val="both"/>
      </w:pPr>
    </w:p>
    <w:p w:rsidR="00D56ECC" w:rsidRPr="00B11CA6" w:rsidRDefault="00C20DB2" w:rsidP="00D56ECC">
      <w:pPr>
        <w:jc w:val="both"/>
      </w:pPr>
      <w:r>
        <w:t>Da ultimo la relatrice raccomanda che l'inclusione dei riscontri delle comunità di pescatori e un approccio collab</w:t>
      </w:r>
      <w:r>
        <w:t>orativo con i portatori di interessi marittimi siano di sostegno all'idea globale della direttiva, che punta a bilanciare la protezione ambientale con la sostenibilità delle comunità di pescatori.</w:t>
      </w:r>
    </w:p>
    <w:p w:rsidR="00D56ECC" w:rsidRPr="00B11CA6" w:rsidRDefault="00D56ECC" w:rsidP="00D56ECC">
      <w:pPr>
        <w:jc w:val="both"/>
      </w:pPr>
    </w:p>
    <w:p w:rsidR="00D56ECC" w:rsidRPr="00B11CA6" w:rsidRDefault="00C20DB2" w:rsidP="00D56ECC">
      <w:pPr>
        <w:jc w:val="both"/>
        <w:rPr>
          <w:noProof/>
        </w:rPr>
      </w:pPr>
      <w:r>
        <w:t>In conclusione la relatrice auspica che, oltre a garantire</w:t>
      </w:r>
      <w:r>
        <w:t xml:space="preserve"> parità di condizioni tra le flotte dei paesi terzi che operano nelle acque dell'UE, il testo agevoli il coordinamento dei controlli da parte degli Stati membri, nonché le azioni legali e l'applicazione transfrontaliera delle norme, portando, in ultima ana</w:t>
      </w:r>
      <w:r>
        <w:t>lisi, a una riduzione dell'inquinamento provocato dalle navi.</w:t>
      </w:r>
    </w:p>
    <w:p w:rsidR="00D56ECC" w:rsidRPr="00B11CA6" w:rsidRDefault="00C20DB2" w:rsidP="00D56ECC">
      <w:pPr>
        <w:pStyle w:val="AmHeadingPA"/>
      </w:pPr>
      <w:r>
        <w:lastRenderedPageBreak/>
        <w:t>EMENDAMENTI</w:t>
      </w:r>
    </w:p>
    <w:p w:rsidR="00D56ECC" w:rsidRPr="00B11CA6" w:rsidRDefault="00C20DB2" w:rsidP="00D56ECC">
      <w:pPr>
        <w:pStyle w:val="Normal12a"/>
      </w:pPr>
      <w:bookmarkStart w:id="1" w:name="IntroA"/>
      <w:r>
        <w:t>La commissione per la pesca invita la commissione per i trasporti e il turismo, competente per il merito, a prendere in considerazione quanto segue:</w:t>
      </w:r>
    </w:p>
    <w:p w:rsidR="00D56ECC" w:rsidRPr="00B11CA6" w:rsidRDefault="00C20DB2" w:rsidP="00D56ECC">
      <w:bookmarkStart w:id="2" w:name="PasteOldAMStart"/>
      <w:bookmarkStart w:id="3" w:name="PasteOldAMEnd"/>
      <w:bookmarkEnd w:id="1"/>
      <w:bookmarkEnd w:id="2"/>
      <w:bookmarkEnd w:id="3"/>
      <w:r>
        <w:rPr>
          <w:rStyle w:val="HideTWBExt"/>
        </w:rPr>
        <w:t>&lt;RepeatBlock-Amend&gt;</w:t>
      </w:r>
    </w:p>
    <w:p w:rsidR="00D56ECC" w:rsidRPr="00B11CA6" w:rsidRDefault="00C20DB2" w:rsidP="00D56ECC">
      <w:pPr>
        <w:pStyle w:val="AmNumberTabs"/>
      </w:pPr>
      <w:r>
        <w:rPr>
          <w:rStyle w:val="HideTWBExt"/>
        </w:rPr>
        <w:t>&lt;Amend&gt;</w:t>
      </w:r>
      <w:r>
        <w:t>Emenda</w:t>
      </w:r>
      <w:r>
        <w:t>mento</w:t>
      </w:r>
      <w:r>
        <w:tab/>
      </w:r>
      <w:r>
        <w:tab/>
      </w:r>
      <w:r>
        <w:rPr>
          <w:rStyle w:val="HideTWBExt"/>
        </w:rPr>
        <w:t>&lt;NumAm&gt;</w:t>
      </w:r>
      <w:r>
        <w:t>1</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Considerando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(1)</w:t>
            </w:r>
            <w:r>
              <w:tab/>
              <w:t xml:space="preserve">La politica marittima dell'Unione mira a conseguire un elevato livello di sicurezza e protezione dell'ambiente. </w:t>
            </w:r>
            <w:r>
              <w:t>Questo obiettivo si può raggiungere attraverso il rispetto delle convenzioni, dei codici e delle risoluzioni internazionali, mantenendo nel contempo la libertà di navigazione prevista dalla Convenzione delle Nazioni Unite sul diritto del mare.</w:t>
            </w:r>
          </w:p>
        </w:tc>
        <w:tc>
          <w:tcPr>
            <w:tcW w:w="4876" w:type="dxa"/>
          </w:tcPr>
          <w:p w:rsidR="00D56ECC" w:rsidRPr="00B11CA6" w:rsidRDefault="00C20DB2" w:rsidP="00586ACF">
            <w:pPr>
              <w:pStyle w:val="Normal6a"/>
            </w:pPr>
            <w:r>
              <w:t>(1)</w:t>
            </w:r>
            <w:r>
              <w:tab/>
              <w:t>La polit</w:t>
            </w:r>
            <w:r>
              <w:t xml:space="preserve">ica marittima dell'Unione mira a conseguire un elevato livello di sicurezza e protezione dell'ambiente. Questo obiettivo si può raggiungere attraverso il rispetto delle convenzioni, dei codici e delle risoluzioni internazionali, mantenendo nel contempo la </w:t>
            </w:r>
            <w:r>
              <w:t xml:space="preserve">libertà di navigazione prevista dalla Convenzione delle Nazioni Unite sul diritto del mare. </w:t>
            </w:r>
            <w:r>
              <w:rPr>
                <w:b/>
                <w:i/>
              </w:rPr>
              <w:t xml:space="preserve">A tal proposito, occorre ricordare che l'oceano dovrebbe essere riconosciuto a livello internazionale come un bene comune globale ed essere protetto in virtù della </w:t>
            </w:r>
            <w:r>
              <w:rPr>
                <w:b/>
                <w:i/>
              </w:rPr>
              <w:t>sua unicità e interconnessione e dei servizi ecosistemici essenziali che fornisce, da cui dipendono la sopravvivenza e il benessere delle generazioni attuali e future.</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2</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Considerando 2 bis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D56ECC" w:rsidP="00586ACF">
            <w:pPr>
              <w:pStyle w:val="Normal6a"/>
            </w:pPr>
          </w:p>
        </w:tc>
        <w:tc>
          <w:tcPr>
            <w:tcW w:w="4876" w:type="dxa"/>
          </w:tcPr>
          <w:p w:rsidR="00D56ECC" w:rsidRPr="00B11CA6" w:rsidRDefault="00C20DB2" w:rsidP="00586ACF">
            <w:pPr>
              <w:pStyle w:val="Normal6a"/>
            </w:pPr>
            <w:r>
              <w:rPr>
                <w:b/>
                <w:i/>
              </w:rPr>
              <w:t>(2 bis)</w:t>
            </w:r>
            <w:r>
              <w:tab/>
            </w:r>
            <w:r>
              <w:rPr>
                <w:b/>
                <w:i/>
              </w:rPr>
              <w:t xml:space="preserve">L'azione più incisiva in riferimento all'inquinamento e ai rifiuti marini consiste nel prevenire fin dall'inizio il rilascio di sostanze inquinanti </w:t>
            </w:r>
            <w:r>
              <w:rPr>
                <w:b/>
                <w:i/>
              </w:rPr>
              <w:t>nell'oceano.</w:t>
            </w:r>
            <w:r>
              <w:t xml:space="preserve"> </w:t>
            </w:r>
            <w:r>
              <w:rPr>
                <w:b/>
                <w:i/>
              </w:rPr>
              <w:t xml:space="preserve">In considerazione della forte prevalenza di rifiuti di polistirene espanso nell'ambiente marino, dovuta al fatto che tali prodotti, data la </w:t>
            </w:r>
            <w:r>
              <w:rPr>
                <w:b/>
                <w:i/>
              </w:rPr>
              <w:lastRenderedPageBreak/>
              <w:t>loro leggerezza, si staccano facilmente dalle imbarcazioni e finiscono in mare, gli Stati membri dovreb</w:t>
            </w:r>
            <w:r>
              <w:rPr>
                <w:b/>
                <w:i/>
              </w:rPr>
              <w:t xml:space="preserve">bero prendere in considerazione l'eliminazione graduale dei contenitori e degli imballaggi in polistirene espanso dai prodotti della pesca, in linea con l'obiettivo di sostituire la plastica monouso con alternative durevoli a beneficio dell'ambiente e dei </w:t>
            </w:r>
            <w:r>
              <w:rPr>
                <w:b/>
                <w:i/>
              </w:rPr>
              <w:t>pescatori.</w:t>
            </w:r>
          </w:p>
        </w:tc>
      </w:tr>
    </w:tbl>
    <w:p w:rsidR="00D56ECC" w:rsidRPr="00B11CA6" w:rsidRDefault="00C20DB2" w:rsidP="00D56ECC">
      <w:r>
        <w:rPr>
          <w:rStyle w:val="HideTWBExt"/>
        </w:rPr>
        <w:lastRenderedPageBreak/>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3</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Considerando 2 ter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D56ECC" w:rsidP="00586ACF">
            <w:pPr>
              <w:pStyle w:val="Normal6a"/>
            </w:pPr>
          </w:p>
        </w:tc>
        <w:tc>
          <w:tcPr>
            <w:tcW w:w="4876" w:type="dxa"/>
          </w:tcPr>
          <w:p w:rsidR="00D56ECC" w:rsidRPr="00B11CA6" w:rsidRDefault="00C20DB2" w:rsidP="00586ACF">
            <w:pPr>
              <w:pStyle w:val="Normal6a"/>
            </w:pPr>
            <w:r>
              <w:rPr>
                <w:b/>
                <w:i/>
              </w:rPr>
              <w:t>(2 ter)</w:t>
            </w:r>
            <w:r>
              <w:tab/>
            </w:r>
            <w:r>
              <w:rPr>
                <w:b/>
                <w:i/>
              </w:rPr>
              <w:t xml:space="preserve">È inoltre importante sostenere le azioni volte a recuperare </w:t>
            </w:r>
            <w:r>
              <w:rPr>
                <w:b/>
                <w:i/>
              </w:rPr>
              <w:t>efficacemente i materiali e i rifiuti inquinanti rilasciati.</w:t>
            </w:r>
            <w:r>
              <w:t xml:space="preserve"> </w:t>
            </w:r>
            <w:r>
              <w:rPr>
                <w:b/>
                <w:i/>
              </w:rPr>
              <w:t xml:space="preserve">I pescatori, gli acquacoltori e le loro organizzazioni si stanno già operando per la raccolta dei rifiuti, compresi gli attrezzi da pesca perduti o abbandonati in mare e gli "attrezzi fantasma", </w:t>
            </w:r>
            <w:r>
              <w:rPr>
                <w:b/>
                <w:i/>
              </w:rPr>
              <w:t>che rappresentano una minaccia per tutte le attività e gli ecosistemi marini in tutto il mondo.</w:t>
            </w:r>
            <w:r>
              <w:t xml:space="preserve"> </w:t>
            </w:r>
            <w:r>
              <w:rPr>
                <w:b/>
                <w:i/>
              </w:rPr>
              <w:t>Non ci si può attendere che tali sforzi si concretizzino senza un meccanismo di compensazione adeguato.</w:t>
            </w:r>
            <w:r>
              <w:t xml:space="preserve"> </w:t>
            </w:r>
            <w:r>
              <w:rPr>
                <w:b/>
                <w:i/>
              </w:rPr>
              <w:t>Considerando che nell'UE, secondo le stime, il 20 % degl</w:t>
            </w:r>
            <w:r>
              <w:rPr>
                <w:b/>
                <w:i/>
              </w:rPr>
              <w:t>i attrezzi da pesca viene perduto in mare, pari a quasi un terzo dei rifiuti marini nei mari europei</w:t>
            </w:r>
            <w:r>
              <w:rPr>
                <w:b/>
                <w:i/>
                <w:vertAlign w:val="superscript"/>
              </w:rPr>
              <w:t>18 bis</w:t>
            </w:r>
            <w:r>
              <w:rPr>
                <w:b/>
                <w:i/>
              </w:rPr>
              <w:t>, e solo l'1,5 % degli attrezzi da pesca usurati viene riciclato</w:t>
            </w:r>
            <w:r>
              <w:rPr>
                <w:b/>
                <w:i/>
                <w:vertAlign w:val="superscript"/>
              </w:rPr>
              <w:t>18 ter</w:t>
            </w:r>
            <w:r>
              <w:rPr>
                <w:b/>
                <w:i/>
              </w:rPr>
              <w:t>, vi è l'urgente necessità di migliorare la raccolta, il riciclaggio e la ripara</w:t>
            </w:r>
            <w:r>
              <w:rPr>
                <w:b/>
                <w:i/>
              </w:rPr>
              <w:t>zione di tutti gli attrezzi da pesca ed è dunque necessario un sostegno.</w:t>
            </w:r>
            <w:r>
              <w:t xml:space="preserve"> </w:t>
            </w:r>
            <w:r>
              <w:rPr>
                <w:b/>
                <w:i/>
              </w:rPr>
              <w:t>A tal proposito, gli Stati membri dovrebbero condividere le migliori pratiche e riferire in merito alle diverse misure adottate per smaltire e prevenire il rilascio di materiali e rif</w:t>
            </w:r>
            <w:r>
              <w:rPr>
                <w:b/>
                <w:i/>
              </w:rPr>
              <w:t>iuti inquinanti.</w:t>
            </w:r>
          </w:p>
        </w:tc>
      </w:tr>
      <w:tr w:rsidR="006B66BE" w:rsidTr="00586ACF">
        <w:trPr>
          <w:jc w:val="center"/>
        </w:trPr>
        <w:tc>
          <w:tcPr>
            <w:tcW w:w="4876" w:type="dxa"/>
          </w:tcPr>
          <w:p w:rsidR="00D56ECC" w:rsidRPr="00B11CA6" w:rsidRDefault="00D56ECC" w:rsidP="00586ACF"/>
        </w:tc>
        <w:tc>
          <w:tcPr>
            <w:tcW w:w="4876" w:type="dxa"/>
          </w:tcPr>
          <w:p w:rsidR="00D56ECC" w:rsidRPr="00B11CA6" w:rsidRDefault="00C20DB2" w:rsidP="00586ACF">
            <w:pPr>
              <w:pStyle w:val="Normal6a"/>
            </w:pPr>
            <w:r>
              <w:rPr>
                <w:b/>
                <w:i/>
              </w:rPr>
              <w:t>_________________</w:t>
            </w:r>
          </w:p>
        </w:tc>
      </w:tr>
      <w:tr w:rsidR="006B66BE" w:rsidTr="00586ACF">
        <w:trPr>
          <w:jc w:val="center"/>
        </w:trPr>
        <w:tc>
          <w:tcPr>
            <w:tcW w:w="4876" w:type="dxa"/>
          </w:tcPr>
          <w:p w:rsidR="00D56ECC" w:rsidRPr="00B11CA6" w:rsidRDefault="00D56ECC" w:rsidP="00586ACF"/>
        </w:tc>
        <w:tc>
          <w:tcPr>
            <w:tcW w:w="4876" w:type="dxa"/>
          </w:tcPr>
          <w:p w:rsidR="00D56ECC" w:rsidRPr="00B11CA6" w:rsidRDefault="00C20DB2" w:rsidP="00586ACF">
            <w:pPr>
              <w:pStyle w:val="Normal6a"/>
            </w:pPr>
            <w:r>
              <w:rPr>
                <w:b/>
                <w:bCs/>
                <w:i/>
                <w:iCs/>
                <w:vertAlign w:val="superscript"/>
              </w:rPr>
              <w:t xml:space="preserve">18 bis </w:t>
            </w:r>
            <w:r>
              <w:rPr>
                <w:b/>
                <w:bCs/>
                <w:i/>
                <w:iCs/>
              </w:rPr>
              <w:t>"Circular economy:</w:t>
            </w:r>
            <w:r>
              <w:t xml:space="preserve"> </w:t>
            </w:r>
            <w:r>
              <w:rPr>
                <w:b/>
                <w:i/>
              </w:rPr>
              <w:t>From abandoned fishing nets to sustainable clothing" (Economia circolare: dalle reti da pesca abbandonate all'abbigliamento sostenibile), Commissione europea.</w:t>
            </w:r>
          </w:p>
        </w:tc>
      </w:tr>
      <w:tr w:rsidR="006B66BE" w:rsidTr="00586ACF">
        <w:trPr>
          <w:jc w:val="center"/>
        </w:trPr>
        <w:tc>
          <w:tcPr>
            <w:tcW w:w="4876" w:type="dxa"/>
          </w:tcPr>
          <w:p w:rsidR="00D56ECC" w:rsidRPr="00B11CA6" w:rsidRDefault="00D56ECC" w:rsidP="00586ACF"/>
        </w:tc>
        <w:tc>
          <w:tcPr>
            <w:tcW w:w="4876" w:type="dxa"/>
          </w:tcPr>
          <w:p w:rsidR="00D56ECC" w:rsidRPr="00B11CA6" w:rsidRDefault="00C20DB2" w:rsidP="00586ACF">
            <w:pPr>
              <w:pStyle w:val="Normal6a"/>
            </w:pPr>
            <w:r>
              <w:rPr>
                <w:b/>
                <w:bCs/>
                <w:i/>
                <w:iCs/>
                <w:vertAlign w:val="superscript"/>
              </w:rPr>
              <w:t xml:space="preserve">18 ter </w:t>
            </w:r>
            <w:r>
              <w:rPr>
                <w:b/>
                <w:bCs/>
                <w:i/>
                <w:iCs/>
              </w:rPr>
              <w:t>"Lost fishing gear:</w:t>
            </w:r>
            <w:r>
              <w:t xml:space="preserve"> </w:t>
            </w:r>
            <w:r>
              <w:rPr>
                <w:b/>
                <w:i/>
              </w:rPr>
              <w:t xml:space="preserve">a </w:t>
            </w:r>
            <w:r>
              <w:rPr>
                <w:b/>
                <w:i/>
              </w:rPr>
              <w:t>trap for our ocean" (Attrezzi da pesca perduti: una trappola per il nostro oceano), Commissione europea.</w:t>
            </w:r>
          </w:p>
        </w:tc>
      </w:tr>
    </w:tbl>
    <w:p w:rsidR="00D56ECC" w:rsidRPr="00B11CA6" w:rsidRDefault="00C20DB2" w:rsidP="00D56ECC">
      <w:r>
        <w:rPr>
          <w:rStyle w:val="HideTWBExt"/>
        </w:rPr>
        <w:t>&lt;/Amend&gt;</w:t>
      </w:r>
    </w:p>
    <w:p w:rsidR="00D56ECC" w:rsidRPr="00B11CA6" w:rsidRDefault="00C20DB2" w:rsidP="00D56ECC">
      <w:pPr>
        <w:pStyle w:val="AMNumberTabs0"/>
        <w:keepNext/>
      </w:pPr>
      <w:r>
        <w:rPr>
          <w:rStyle w:val="HideTWBExt"/>
          <w:b w:val="0"/>
        </w:rPr>
        <w:t>&lt;Amend&gt;</w:t>
      </w:r>
      <w:r>
        <w:t>Emendamento</w:t>
      </w:r>
      <w:r>
        <w:tab/>
      </w:r>
      <w:r>
        <w:tab/>
      </w:r>
      <w:r>
        <w:rPr>
          <w:rStyle w:val="HideTWBExt"/>
          <w:b w:val="0"/>
        </w:rPr>
        <w:t>&lt;NumAm&gt;</w:t>
      </w:r>
      <w:r>
        <w:t>4</w:t>
      </w:r>
      <w:r>
        <w:rPr>
          <w:rStyle w:val="HideTWBExt"/>
          <w:b w:val="0"/>
        </w:rPr>
        <w:t>&lt;/NumAm&gt;</w:t>
      </w:r>
    </w:p>
    <w:p w:rsidR="00D56ECC" w:rsidRPr="00B11CA6" w:rsidRDefault="00C20DB2" w:rsidP="00D56ECC">
      <w:pPr>
        <w:pStyle w:val="NormalBold12b"/>
        <w:keepNext/>
      </w:pPr>
      <w:r>
        <w:rPr>
          <w:rStyle w:val="HideTWBExt"/>
          <w:b w:val="0"/>
        </w:rPr>
        <w:t>&lt;DocAmend&gt;</w:t>
      </w:r>
      <w:r>
        <w:t>Proposta di direttiva</w:t>
      </w:r>
      <w:r>
        <w:rPr>
          <w:rStyle w:val="HideTWBExt"/>
          <w:b w:val="0"/>
        </w:rPr>
        <w:t>&lt;/DocAmend&gt;</w:t>
      </w:r>
    </w:p>
    <w:p w:rsidR="00D56ECC" w:rsidRPr="00B11CA6" w:rsidRDefault="00C20DB2" w:rsidP="00D56ECC">
      <w:pPr>
        <w:pStyle w:val="NormalBold"/>
      </w:pPr>
      <w:r>
        <w:rPr>
          <w:rStyle w:val="HideTWBExt"/>
          <w:b w:val="0"/>
        </w:rPr>
        <w:t>&lt;Article&gt;</w:t>
      </w:r>
      <w:r>
        <w:t>Considerando 4 bis (nuovo)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jc w:val="center"/>
        </w:trPr>
        <w:tc>
          <w:tcPr>
            <w:tcW w:w="9752" w:type="dxa"/>
            <w:gridSpan w:val="2"/>
          </w:tcPr>
          <w:p w:rsidR="00D56ECC" w:rsidRPr="00B11CA6" w:rsidRDefault="00D56ECC" w:rsidP="00586ACF">
            <w:pPr>
              <w:keepNext/>
            </w:pPr>
          </w:p>
        </w:tc>
      </w:tr>
      <w:tr w:rsidR="006B66BE" w:rsidTr="00586ACF">
        <w:trPr>
          <w:jc w:val="center"/>
        </w:trPr>
        <w:tc>
          <w:tcPr>
            <w:tcW w:w="4876" w:type="dxa"/>
            <w:hideMark/>
          </w:tcPr>
          <w:p w:rsidR="00D56ECC" w:rsidRPr="00B11CA6" w:rsidRDefault="00C20DB2" w:rsidP="00586ACF">
            <w:pPr>
              <w:pStyle w:val="ColumnHeading"/>
              <w:keepNext/>
            </w:pPr>
            <w:r>
              <w:t xml:space="preserve">Testo della </w:t>
            </w:r>
            <w:r>
              <w:t>Commissione</w:t>
            </w:r>
          </w:p>
        </w:tc>
        <w:tc>
          <w:tcPr>
            <w:tcW w:w="4876" w:type="dxa"/>
            <w:hideMark/>
          </w:tcPr>
          <w:p w:rsidR="00D56ECC" w:rsidRPr="00B11CA6" w:rsidRDefault="00C20DB2" w:rsidP="00586ACF">
            <w:pPr>
              <w:pStyle w:val="ColumnHeading"/>
              <w:keepNext/>
            </w:pPr>
            <w:r>
              <w:t>Emendamento</w:t>
            </w:r>
          </w:p>
        </w:tc>
      </w:tr>
      <w:tr w:rsidR="006B66BE" w:rsidTr="00586ACF">
        <w:trPr>
          <w:jc w:val="center"/>
        </w:trPr>
        <w:tc>
          <w:tcPr>
            <w:tcW w:w="4876" w:type="dxa"/>
          </w:tcPr>
          <w:p w:rsidR="00D56ECC" w:rsidRPr="00B11CA6" w:rsidRDefault="00D56ECC" w:rsidP="00586ACF">
            <w:pPr>
              <w:pStyle w:val="Normal6"/>
            </w:pPr>
          </w:p>
        </w:tc>
        <w:tc>
          <w:tcPr>
            <w:tcW w:w="4876" w:type="dxa"/>
            <w:hideMark/>
          </w:tcPr>
          <w:p w:rsidR="00D56ECC" w:rsidRPr="00B11CA6" w:rsidRDefault="00C20DB2" w:rsidP="00586ACF">
            <w:pPr>
              <w:pStyle w:val="Normal6"/>
              <w:rPr>
                <w:szCs w:val="24"/>
              </w:rPr>
            </w:pPr>
            <w:r>
              <w:rPr>
                <w:b/>
                <w:i/>
              </w:rPr>
              <w:t>(4 bis)</w:t>
            </w:r>
            <w:r>
              <w:rPr>
                <w:b/>
                <w:i/>
              </w:rPr>
              <w:tab/>
              <w:t>L'età media della flotta peschereccia dell'UE è pari a 31,5 anni; il rinnovo della flotta dovrebbe essere sostenuto attraverso il FEAMP (regolamento UE 2021/1139) contribuendo al rispetto di norme ambientali sempre più str</w:t>
            </w:r>
            <w:r>
              <w:rPr>
                <w:b/>
                <w:i/>
              </w:rPr>
              <w:t>ingenti, soprattutto in relazione allo sviluppo di una pesca costiera su piccola scala sostenibile.</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5</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Considerando 5 bis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 xml:space="preserve">Testo della </w:t>
            </w:r>
            <w:r>
              <w:t>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D56ECC" w:rsidP="00586ACF">
            <w:pPr>
              <w:pStyle w:val="Normal6a"/>
            </w:pPr>
          </w:p>
        </w:tc>
        <w:tc>
          <w:tcPr>
            <w:tcW w:w="4876" w:type="dxa"/>
          </w:tcPr>
          <w:p w:rsidR="00D56ECC" w:rsidRPr="00B11CA6" w:rsidRDefault="00C20DB2" w:rsidP="00586ACF">
            <w:pPr>
              <w:pStyle w:val="Normal6a"/>
            </w:pPr>
            <w:r>
              <w:rPr>
                <w:b/>
                <w:i/>
              </w:rPr>
              <w:t>(5 bis)</w:t>
            </w:r>
            <w:r>
              <w:tab/>
            </w:r>
            <w:r>
              <w:rPr>
                <w:b/>
                <w:i/>
              </w:rPr>
              <w:t>Il regolamento (CE) n. 1224/2009 impone agli Stati membri di trasmettere alla Commissione informazioni sugli attrezzi perduti.</w:t>
            </w:r>
            <w:r>
              <w:t xml:space="preserve"> </w:t>
            </w:r>
            <w:r>
              <w:rPr>
                <w:b/>
                <w:i/>
              </w:rPr>
              <w:t>La Commissione dovrebbe utilizzare le informazioni ricevute al momento di valutare l'attuazione</w:t>
            </w:r>
            <w:r>
              <w:rPr>
                <w:b/>
                <w:i/>
              </w:rPr>
              <w:t xml:space="preserve"> della presente direttiva e lo stato dell'Unione al riguardo.</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6</w:t>
      </w:r>
      <w:r>
        <w:rPr>
          <w:rStyle w:val="HideTWBExt"/>
        </w:rPr>
        <w:t>&lt;/NumAm&gt;</w:t>
      </w:r>
    </w:p>
    <w:p w:rsidR="00D56ECC" w:rsidRPr="00B11CA6" w:rsidRDefault="00C20DB2" w:rsidP="00D56ECC">
      <w:pPr>
        <w:pStyle w:val="NormalBold12b"/>
      </w:pPr>
      <w:r>
        <w:rPr>
          <w:rStyle w:val="HideTWBExt"/>
        </w:rPr>
        <w:lastRenderedPageBreak/>
        <w:t>&lt;DocAmend&gt;</w:t>
      </w:r>
      <w:r>
        <w:t>Proposta di direttiva</w:t>
      </w:r>
      <w:r>
        <w:rPr>
          <w:rStyle w:val="HideTWBExt"/>
        </w:rPr>
        <w:t>&lt;/DocAmend&gt;</w:t>
      </w:r>
    </w:p>
    <w:p w:rsidR="00D56ECC" w:rsidRPr="00B11CA6" w:rsidRDefault="00C20DB2" w:rsidP="00D56ECC">
      <w:pPr>
        <w:pStyle w:val="NormalBold"/>
      </w:pPr>
      <w:r>
        <w:rPr>
          <w:rStyle w:val="HideTWBExt"/>
        </w:rPr>
        <w:t>&lt;Article&gt;</w:t>
      </w:r>
      <w:r>
        <w:t>Considerando 7 bis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D56ECC" w:rsidP="00586ACF">
            <w:pPr>
              <w:pStyle w:val="Normal6a"/>
            </w:pPr>
          </w:p>
        </w:tc>
        <w:tc>
          <w:tcPr>
            <w:tcW w:w="4876" w:type="dxa"/>
          </w:tcPr>
          <w:p w:rsidR="00D56ECC" w:rsidRPr="00B11CA6" w:rsidRDefault="00C20DB2" w:rsidP="00586ACF">
            <w:pPr>
              <w:pStyle w:val="Normal6a"/>
            </w:pPr>
            <w:r>
              <w:rPr>
                <w:b/>
                <w:i/>
              </w:rPr>
              <w:t>(7 bis)</w:t>
            </w:r>
            <w:r>
              <w:tab/>
            </w:r>
            <w:r>
              <w:rPr>
                <w:b/>
                <w:i/>
              </w:rPr>
              <w:t xml:space="preserve">Il </w:t>
            </w:r>
            <w:r>
              <w:rPr>
                <w:b/>
                <w:i/>
              </w:rPr>
              <w:t>regolamento (CE) n. 1224/2009 considera una violazione grave lo smaltimento illegale in mare di attrezzi da pesca o di altri attrezzi da un peschereccio, a condizione che siano soddisfatti criteri specifici. Per tali violazioni, il regolamento (CE) n. 1224</w:t>
            </w:r>
            <w:r>
              <w:rPr>
                <w:b/>
                <w:i/>
              </w:rPr>
              <w:t>/2009 impone agli Stati membri di prevedere sanzioni amministrative o penali adeguate che siano effettive, proporzionate e dissuasive.</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7</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Considerando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(8)</w:t>
            </w:r>
            <w:r>
              <w:tab/>
              <w:t>Le sanzioni amministrative introdotte nel recepimento della direttiva 2005/35/CE non dovrebbero pregiudicare la direttiva (UE) 2023/xxxx. Gli Stati membri dovrebbero definire la portata del contrasto am</w:t>
            </w:r>
            <w:r>
              <w:t xml:space="preserve">ministrativo e penale per quanto riguarda </w:t>
            </w:r>
            <w:r>
              <w:rPr>
                <w:b/>
                <w:i/>
              </w:rPr>
              <w:t>i</w:t>
            </w:r>
            <w:r>
              <w:t xml:space="preserve"> reati</w:t>
            </w:r>
            <w:r>
              <w:rPr>
                <w:b/>
                <w:i/>
              </w:rPr>
              <w:t xml:space="preserve"> di inquinamento provocato dalle navi</w:t>
            </w:r>
            <w:r>
              <w:t xml:space="preserve"> secondo il loro diritto nazionale. Nell'applicare la legislazione nazionale che recepisce la direttiva 2005/35/CE, gli Stati membri dovrebbero garantire che l'irrogazion</w:t>
            </w:r>
            <w:r>
              <w:t>e delle sanzioni penali e delle sanzioni amministrative rispetti i principi della Carta dei diritti fondamentali dell'Unione europea, compreso il principio del ne bis in idem.</w:t>
            </w:r>
          </w:p>
        </w:tc>
        <w:tc>
          <w:tcPr>
            <w:tcW w:w="4876" w:type="dxa"/>
          </w:tcPr>
          <w:p w:rsidR="00D56ECC" w:rsidRPr="00B11CA6" w:rsidRDefault="00C20DB2" w:rsidP="00586ACF">
            <w:pPr>
              <w:pStyle w:val="Normal6a"/>
            </w:pPr>
            <w:r>
              <w:t>(8)</w:t>
            </w:r>
            <w:r>
              <w:tab/>
              <w:t>Le sanzioni amministrative introdotte nel recepimento della direttiva 2005/3</w:t>
            </w:r>
            <w:r>
              <w:t>5/CE non dovrebbero pregiudicare la direttiva (UE) 2023/xxxx</w:t>
            </w:r>
            <w:r>
              <w:rPr>
                <w:b/>
                <w:i/>
              </w:rPr>
              <w:t>, al fine di armonizzare e sanzionare proporzionalmente i reati di inquinamento provocato dalle navi</w:t>
            </w:r>
            <w:r>
              <w:t>. Gli Stati membri dovrebbero definire la portata del contrasto amministrativo e penale per quan</w:t>
            </w:r>
            <w:r>
              <w:t xml:space="preserve">to riguarda </w:t>
            </w:r>
            <w:r>
              <w:rPr>
                <w:b/>
                <w:i/>
              </w:rPr>
              <w:t>tali</w:t>
            </w:r>
            <w:r>
              <w:t xml:space="preserve"> reati secondo il loro diritto nazionale. Nell'applicare la legislazione nazionale che recepisce la direttiva 2005/35/CE, gli Stati membri dovrebbero garantire che l'irrogazione delle sanzioni penali e delle sanzioni amministrative rispetti</w:t>
            </w:r>
            <w:r>
              <w:t xml:space="preserve"> i principi della Carta dei diritti fondamentali dell'Unione europea, compreso il principio del ne bis in idem.</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8</w:t>
      </w:r>
      <w:r>
        <w:rPr>
          <w:rStyle w:val="HideTWBExt"/>
        </w:rPr>
        <w:t>&lt;/NumAm&gt;</w:t>
      </w:r>
    </w:p>
    <w:p w:rsidR="00D56ECC" w:rsidRPr="00B11CA6" w:rsidRDefault="00C20DB2" w:rsidP="00D56ECC">
      <w:pPr>
        <w:pStyle w:val="NormalBold12b"/>
      </w:pPr>
      <w:r>
        <w:rPr>
          <w:rStyle w:val="HideTWBExt"/>
        </w:rPr>
        <w:lastRenderedPageBreak/>
        <w:t>&lt;DocAmend&gt;</w:t>
      </w:r>
      <w:r>
        <w:t>Proposta di direttiva</w:t>
      </w:r>
      <w:r>
        <w:rPr>
          <w:rStyle w:val="HideTWBExt"/>
        </w:rPr>
        <w:t>&lt;/DocAmend&gt;</w:t>
      </w:r>
    </w:p>
    <w:p w:rsidR="00D56ECC" w:rsidRPr="00B11CA6" w:rsidRDefault="00C20DB2" w:rsidP="00D56ECC">
      <w:pPr>
        <w:pStyle w:val="NormalBold"/>
      </w:pPr>
      <w:r>
        <w:rPr>
          <w:rStyle w:val="HideTWBExt"/>
        </w:rPr>
        <w:t>&lt;Article&gt;</w:t>
      </w:r>
      <w:r>
        <w:t>Considerando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 xml:space="preserve">Testo della </w:t>
            </w:r>
            <w:r>
              <w:t>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(9)</w:t>
            </w:r>
            <w:r>
              <w:tab/>
              <w:t xml:space="preserve">Le sanzioni previste dalla direttiva 2005/35/CE dovrebbero essere rafforzate garantendo un'applicazione coerente delle sanzioni amministrative in tutta l'Unione. Al fine di potenziare l'effetto deterrente delle sanzioni </w:t>
            </w:r>
            <w:r>
              <w:t>comminate per i reati di inquinamento provocato dalle navi, queste dovrebbero almeno assumere la forma di ammende imposte alla società della nave</w:t>
            </w:r>
            <w:r>
              <w:rPr>
                <w:b/>
                <w:i/>
              </w:rPr>
              <w:t>, a meno</w:t>
            </w:r>
            <w:r>
              <w:t xml:space="preserve"> che</w:t>
            </w:r>
            <w:r>
              <w:rPr>
                <w:b/>
                <w:i/>
              </w:rPr>
              <w:t xml:space="preserve"> la società non possa dimostrare che il comandante della nave o</w:t>
            </w:r>
            <w:r>
              <w:t xml:space="preserve"> uno o più membri dell'equipaggio</w:t>
            </w:r>
            <w:r>
              <w:rPr>
                <w:b/>
                <w:i/>
              </w:rPr>
              <w:t>, n</w:t>
            </w:r>
            <w:r>
              <w:rPr>
                <w:b/>
                <w:i/>
              </w:rPr>
              <w:t>el caso in cui questi ultimi non agiscano sotto la responsabilità del comandante stesso, sono</w:t>
            </w:r>
            <w:r>
              <w:t xml:space="preserve"> responsabili dello scarico. In questo contesto per società della nave si intende l'armatore della nave o qualsiasi altra organizzazione o persona, quali il gestor</w:t>
            </w:r>
            <w:r>
              <w:t>e oppure il noleggiatore a scafo nudo, che ha assunto dall'armatore la responsabilità dell'esercizio della nave, in linea con il codice internazionale di gestione della sicurezza delle navi e della prevenzione dell'inquinamento ("codice ISM")</w:t>
            </w:r>
            <w:r>
              <w:rPr>
                <w:vertAlign w:val="superscript"/>
              </w:rPr>
              <w:t>24</w:t>
            </w:r>
            <w:r>
              <w:t>, attuato ne</w:t>
            </w:r>
            <w:r>
              <w:t>l diritto dell'Unione in virtù del regolamento (CE) n. 336/2006 del Parlamento europeo e del Consiglio</w:t>
            </w:r>
            <w:r>
              <w:rPr>
                <w:vertAlign w:val="superscript"/>
              </w:rPr>
              <w:t>25</w:t>
            </w:r>
            <w:r>
              <w:t>. La direttiva 2005/35/CE dovrebbe riconoscere che la gestione della nave potrebbe essere delegata dal proprietario registrato a un soggetto diverso, il</w:t>
            </w:r>
            <w:r>
              <w:t xml:space="preserve"> quale dovrebbe quindi essere ritenuto in primo luogo responsabile del mancato adempimento degli obblighi previsti dal codice ISM di garantire che siano evitati danni all'ambiente o che le operazioni di bordo siano assegnate a personale qualificato.</w:t>
            </w:r>
          </w:p>
        </w:tc>
        <w:tc>
          <w:tcPr>
            <w:tcW w:w="4876" w:type="dxa"/>
          </w:tcPr>
          <w:p w:rsidR="00D56ECC" w:rsidRPr="00B11CA6" w:rsidRDefault="00C20DB2" w:rsidP="00586ACF">
            <w:pPr>
              <w:pStyle w:val="Normal6a"/>
            </w:pPr>
            <w:r>
              <w:t>(9)</w:t>
            </w:r>
            <w:r>
              <w:tab/>
              <w:t>Le</w:t>
            </w:r>
            <w:r>
              <w:t xml:space="preserve"> sanzioni previste dalla direttiva 2005/35/CE dovrebbero essere rafforzate garantendo un'applicazione coerente delle sanzioni amministrative in tutta l'Unione. Al fine di potenziare l'effetto deterrente delle sanzioni comminate per i reati di inquinamento </w:t>
            </w:r>
            <w:r>
              <w:t xml:space="preserve">provocato dalle navi, queste dovrebbero almeno assumere la forma di ammende imposte </w:t>
            </w:r>
            <w:r>
              <w:rPr>
                <w:b/>
                <w:i/>
              </w:rPr>
              <w:t>sia</w:t>
            </w:r>
            <w:r>
              <w:t xml:space="preserve"> alla società della nave che </w:t>
            </w:r>
            <w:r>
              <w:rPr>
                <w:b/>
                <w:i/>
              </w:rPr>
              <w:t>a</w:t>
            </w:r>
            <w:r>
              <w:t xml:space="preserve"> uno o più membri dell'equipaggio responsabili dello scarico. In questo contesto per società della nave si intende l'armatore della nave o </w:t>
            </w:r>
            <w:r>
              <w:t>qualsiasi altra organizzazione o persona, quali il gestore oppure il noleggiatore a scafo nudo, che ha assunto dall'armatore la responsabilità dell'esercizio della nave, in linea con il codice internazionale di gestione della sicurezza delle navi e della p</w:t>
            </w:r>
            <w:r>
              <w:t>revenzione dell'inquinamento ("codice ISM")</w:t>
            </w:r>
            <w:r>
              <w:rPr>
                <w:vertAlign w:val="superscript"/>
              </w:rPr>
              <w:t>24</w:t>
            </w:r>
            <w:r>
              <w:t>, attuato nel diritto dell'Unione in virtù del regolamento (CE) n. 336/2006 del Parlamento europeo e del Consiglio</w:t>
            </w:r>
            <w:r>
              <w:rPr>
                <w:vertAlign w:val="superscript"/>
              </w:rPr>
              <w:t>25</w:t>
            </w:r>
            <w:r>
              <w:t>. La direttiva 2005/35/CE dovrebbe riconoscere che la gestione della nave potrebbe essere deleg</w:t>
            </w:r>
            <w:r>
              <w:t>ata dal proprietario registrato a un soggetto diverso, il quale dovrebbe quindi essere ritenuto in primo luogo responsabile del mancato adempimento degli obblighi previsti dal codice ISM di garantire che siano evitati danni all'ambiente o che le operazioni</w:t>
            </w:r>
            <w:r>
              <w:t xml:space="preserve"> di bordo siano assegnate a personale qualificato.</w:t>
            </w:r>
          </w:p>
        </w:tc>
      </w:tr>
      <w:tr w:rsidR="006B66BE" w:rsidTr="00586ACF">
        <w:trPr>
          <w:jc w:val="center"/>
        </w:trPr>
        <w:tc>
          <w:tcPr>
            <w:tcW w:w="4876" w:type="dxa"/>
          </w:tcPr>
          <w:p w:rsidR="00D56ECC" w:rsidRPr="00B11CA6" w:rsidRDefault="00C20DB2" w:rsidP="00586ACF">
            <w:pPr>
              <w:pStyle w:val="Normal6a"/>
            </w:pPr>
            <w:r>
              <w:rPr>
                <w:b/>
                <w:i/>
              </w:rPr>
              <w:t>_________________</w:t>
            </w:r>
          </w:p>
        </w:tc>
        <w:tc>
          <w:tcPr>
            <w:tcW w:w="4876" w:type="dxa"/>
          </w:tcPr>
          <w:p w:rsidR="00D56ECC" w:rsidRPr="00B11CA6" w:rsidRDefault="00C20DB2" w:rsidP="00586ACF">
            <w:pPr>
              <w:pStyle w:val="Normal6a"/>
            </w:pPr>
            <w:r>
              <w:rPr>
                <w:b/>
                <w:i/>
              </w:rPr>
              <w:t>_________________</w:t>
            </w:r>
          </w:p>
        </w:tc>
      </w:tr>
      <w:tr w:rsidR="006B66BE" w:rsidTr="00586ACF">
        <w:trPr>
          <w:jc w:val="center"/>
        </w:trPr>
        <w:tc>
          <w:tcPr>
            <w:tcW w:w="4876" w:type="dxa"/>
          </w:tcPr>
          <w:p w:rsidR="00D56ECC" w:rsidRPr="00B11CA6" w:rsidRDefault="00C20DB2" w:rsidP="00586ACF">
            <w:pPr>
              <w:pStyle w:val="Normal6a"/>
            </w:pPr>
            <w:r>
              <w:rPr>
                <w:vertAlign w:val="superscript"/>
              </w:rPr>
              <w:t>24</w:t>
            </w:r>
            <w:r>
              <w:t xml:space="preserve"> Codice internazionale di gestione della sicurezza delle navi e della prevenzione dell'inquinamento adottato dall'Organizzazione marittima </w:t>
            </w:r>
            <w:r>
              <w:lastRenderedPageBreak/>
              <w:t>internazionale (IMO) con r</w:t>
            </w:r>
            <w:r>
              <w:t>isoluzione dell'Assemblea A.741 (18) del 4 novembre 1993 e successive modifiche.</w:t>
            </w:r>
          </w:p>
        </w:tc>
        <w:tc>
          <w:tcPr>
            <w:tcW w:w="4876" w:type="dxa"/>
          </w:tcPr>
          <w:p w:rsidR="00D56ECC" w:rsidRPr="00B11CA6" w:rsidRDefault="00C20DB2" w:rsidP="00586ACF">
            <w:pPr>
              <w:pStyle w:val="Normal6a"/>
            </w:pPr>
            <w:r>
              <w:rPr>
                <w:vertAlign w:val="superscript"/>
              </w:rPr>
              <w:lastRenderedPageBreak/>
              <w:t>24</w:t>
            </w:r>
            <w:r>
              <w:t xml:space="preserve"> Codice internazionale di gestione della sicurezza delle navi e della prevenzione dell'inquinamento adottato dall'Organizzazione marittima </w:t>
            </w:r>
            <w:r>
              <w:lastRenderedPageBreak/>
              <w:t>internazionale (IMO) con risoluzio</w:t>
            </w:r>
            <w:r>
              <w:t>ne dell'Assemblea A.741 (18) del 4 novembre 1993 e successive modifiche.</w:t>
            </w:r>
          </w:p>
        </w:tc>
      </w:tr>
      <w:tr w:rsidR="006B66BE" w:rsidTr="00586ACF">
        <w:trPr>
          <w:jc w:val="center"/>
        </w:trPr>
        <w:tc>
          <w:tcPr>
            <w:tcW w:w="4876" w:type="dxa"/>
          </w:tcPr>
          <w:p w:rsidR="00D56ECC" w:rsidRPr="00B11CA6" w:rsidRDefault="00C20DB2" w:rsidP="00586ACF">
            <w:pPr>
              <w:pStyle w:val="Normal6a"/>
            </w:pPr>
            <w:r>
              <w:rPr>
                <w:vertAlign w:val="superscript"/>
              </w:rPr>
              <w:lastRenderedPageBreak/>
              <w:t>25</w:t>
            </w:r>
            <w:r>
              <w:t xml:space="preserve"> Regolamento (CE) n. 336/2006 del Parlamento europeo e del Consiglio, del 15 febbraio 2006, sull'attuazione nella Comunità del codice internazionale di gestione della sicurezza e c</w:t>
            </w:r>
            <w:r>
              <w:t>he abroga il regolamento (CE) n. 3051/95 del Consiglio (GU L 64 del 4.3.2006, pag.1).</w:t>
            </w:r>
          </w:p>
        </w:tc>
        <w:tc>
          <w:tcPr>
            <w:tcW w:w="4876" w:type="dxa"/>
          </w:tcPr>
          <w:p w:rsidR="00D56ECC" w:rsidRPr="00B11CA6" w:rsidRDefault="00C20DB2" w:rsidP="00586ACF">
            <w:pPr>
              <w:pStyle w:val="Normal6a"/>
            </w:pPr>
            <w:r>
              <w:rPr>
                <w:vertAlign w:val="superscript"/>
              </w:rPr>
              <w:t>25</w:t>
            </w:r>
            <w:r>
              <w:t xml:space="preserve"> Regolamento (CE) n. 336/2006 del Parlamento europeo e del Consiglio, del 15 febbraio 2006, sull'attuazione nella Comunità del codice internazionale di gestione della s</w:t>
            </w:r>
            <w:r>
              <w:t>icurezza e che abroga il regolamento (CE) n. 3051/95 del Consiglio (GU L 64 del 4.3.2006, pag.1).</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9</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Considerando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(10)</w:t>
            </w:r>
            <w:r>
              <w:tab/>
              <w:t>Le autorità amministrative e giudiziarie nazionali dovrebbero tenere conto di tutte le circostanze pertinenti nel determinare il livello delle sanzioni da imporre a chi inquina. Tenendo conto della diversa natura delle sostanze inquinanti</w:t>
            </w:r>
            <w:r>
              <w:t xml:space="preserve"> contemplate dalla direttiva 2005/35/CE e dell'importanza di un'applicazione coerente delle sanzioni in tutta l'Unione alla luce della natura transfrontaliera del comportamento oggetto della regolamentazione, è opportuno promuovere un ulteriore ravviciname</w:t>
            </w:r>
            <w:r>
              <w:t>nto e una maggiore efficacia dei livelli delle sanzioni attraverso la definizione di criteri concreti per l'applicazione delle sanzioni per gli scarichi di diverse sostanze inquinanti. È opportuno attribuire alla Commissione competenze di esecuzione al fin</w:t>
            </w:r>
            <w:r>
              <w:t>e di garantire condizioni uniformi per l'applicazione delle sanzioni. È altresì opportuno che tali competenze siano esercitate conformemente al regolamento (UE) n. 182/2011 del Parlamento europeo e del Consiglio</w:t>
            </w:r>
            <w:r>
              <w:rPr>
                <w:vertAlign w:val="superscript"/>
              </w:rPr>
              <w:t>26</w:t>
            </w:r>
            <w:r>
              <w:t>. Per l'adozione di tali atti di esecuzione</w:t>
            </w:r>
            <w:r>
              <w:t xml:space="preserve"> è opportuno far ricorso alla procedura d'esame.</w:t>
            </w:r>
          </w:p>
        </w:tc>
        <w:tc>
          <w:tcPr>
            <w:tcW w:w="4876" w:type="dxa"/>
          </w:tcPr>
          <w:p w:rsidR="00D56ECC" w:rsidRPr="00B11CA6" w:rsidRDefault="00C20DB2" w:rsidP="00586ACF">
            <w:pPr>
              <w:pStyle w:val="Normal6a"/>
            </w:pPr>
            <w:r>
              <w:t>(10)</w:t>
            </w:r>
            <w:r>
              <w:tab/>
              <w:t xml:space="preserve">Le autorità amministrative e giudiziarie nazionali dovrebbero tenere conto di tutte le circostanze pertinenti nel determinare il livello delle sanzioni da imporre a chi inquina. </w:t>
            </w:r>
            <w:r>
              <w:rPr>
                <w:b/>
                <w:i/>
              </w:rPr>
              <w:t>Le autorità nazionali do</w:t>
            </w:r>
            <w:r>
              <w:rPr>
                <w:b/>
                <w:i/>
              </w:rPr>
              <w:t>vrebbero istituire un sistema globale e proporzionale per sanzionare i reati di inquinamento provocato dalle navi, che tenga conto delle dimensioni della nave, della natura e della quantità di rifiuti nonché della frequenza delle violazioni, promuovendo ne</w:t>
            </w:r>
            <w:r>
              <w:rPr>
                <w:b/>
                <w:i/>
              </w:rPr>
              <w:t>l contempo la responsabilità ambientale e scoraggiando l'inquinamento illegale.</w:t>
            </w:r>
            <w:r>
              <w:t xml:space="preserve"> Tenendo conto della diversa natura delle sostanze inquinanti contemplate dalla direttiva 2005/35/CE e dell'importanza di un'applicazione coerente delle sanzioni in tutta l'Unio</w:t>
            </w:r>
            <w:r>
              <w:t>ne alla luce della natura transfrontaliera del comportamento oggetto della regolamentazione, è opportuno promuovere un ulteriore ravvicinamento e una maggiore efficacia dei livelli delle sanzioni attraverso la definizione di criteri concreti per l'applicaz</w:t>
            </w:r>
            <w:r>
              <w:t xml:space="preserve">ione delle sanzioni per gli scarichi di diverse sostanze inquinanti. </w:t>
            </w:r>
            <w:r>
              <w:rPr>
                <w:b/>
                <w:i/>
              </w:rPr>
              <w:t xml:space="preserve">Al fine di garantire condizioni di parità e un ampio sostegno in tutti gli Stati membri per le azioni amministrative </w:t>
            </w:r>
            <w:r>
              <w:rPr>
                <w:b/>
                <w:i/>
              </w:rPr>
              <w:lastRenderedPageBreak/>
              <w:t>e giudiziarie da intraprendere, è importante garantire un'applicazione</w:t>
            </w:r>
            <w:r>
              <w:rPr>
                <w:b/>
                <w:i/>
              </w:rPr>
              <w:t xml:space="preserve"> quanto più uniforme possibile delle sanzioni.</w:t>
            </w:r>
            <w:r>
              <w:t xml:space="preserve"> È opportuno attribuire alla Commissione competenze di esecuzione al fine di garantire</w:t>
            </w:r>
            <w:r>
              <w:rPr>
                <w:b/>
                <w:i/>
              </w:rPr>
              <w:t xml:space="preserve"> tali</w:t>
            </w:r>
            <w:r>
              <w:t xml:space="preserve"> condizioni uniformi per l'applicazione delle sanzioni. È altresì opportuno che tali competenze siano esercitate confor</w:t>
            </w:r>
            <w:r>
              <w:t>memente al regolamento (UE) n. 182/2011 del Parlamento europeo e del Consiglio</w:t>
            </w:r>
            <w:r>
              <w:rPr>
                <w:vertAlign w:val="superscript"/>
              </w:rPr>
              <w:t>26</w:t>
            </w:r>
            <w:r>
              <w:t>. Per l'adozione di tali atti di esecuzione è opportuno far ricorso alla procedura d'esame.</w:t>
            </w:r>
          </w:p>
        </w:tc>
      </w:tr>
      <w:tr w:rsidR="006B66BE" w:rsidTr="00586ACF">
        <w:trPr>
          <w:jc w:val="center"/>
        </w:trPr>
        <w:tc>
          <w:tcPr>
            <w:tcW w:w="4876" w:type="dxa"/>
          </w:tcPr>
          <w:p w:rsidR="00D56ECC" w:rsidRPr="00B11CA6" w:rsidRDefault="00C20DB2" w:rsidP="00586ACF">
            <w:pPr>
              <w:pStyle w:val="Normal6a"/>
            </w:pPr>
            <w:r>
              <w:rPr>
                <w:b/>
                <w:i/>
              </w:rPr>
              <w:lastRenderedPageBreak/>
              <w:t>_________________</w:t>
            </w:r>
          </w:p>
        </w:tc>
        <w:tc>
          <w:tcPr>
            <w:tcW w:w="4876" w:type="dxa"/>
          </w:tcPr>
          <w:p w:rsidR="00D56ECC" w:rsidRPr="00B11CA6" w:rsidRDefault="00C20DB2" w:rsidP="00586ACF">
            <w:pPr>
              <w:pStyle w:val="Normal6a"/>
            </w:pPr>
            <w:r>
              <w:rPr>
                <w:b/>
                <w:i/>
              </w:rPr>
              <w:t>_________________</w:t>
            </w:r>
          </w:p>
        </w:tc>
      </w:tr>
      <w:tr w:rsidR="006B66BE" w:rsidTr="00586ACF">
        <w:trPr>
          <w:jc w:val="center"/>
        </w:trPr>
        <w:tc>
          <w:tcPr>
            <w:tcW w:w="4876" w:type="dxa"/>
          </w:tcPr>
          <w:p w:rsidR="00D56ECC" w:rsidRPr="00B11CA6" w:rsidRDefault="00C20DB2" w:rsidP="00586ACF">
            <w:pPr>
              <w:pStyle w:val="Normal6a"/>
            </w:pPr>
            <w:r>
              <w:rPr>
                <w:vertAlign w:val="superscript"/>
              </w:rPr>
              <w:t>26</w:t>
            </w:r>
            <w:r>
              <w:t xml:space="preserve"> Regolamento (UE) n. 182/2011 del Parlamento europeo e del Consiglio, del 16 febbraio 2011, che stabilisce le regole e i principi generali relativi alle modalità di controllo da parte degli Stati membri dell'esercizio delle competenze di esecuzione attribu</w:t>
            </w:r>
            <w:r>
              <w:t>ite alla Commissione (GU L 55 del 28.2.2011, pag. 13).</w:t>
            </w:r>
          </w:p>
        </w:tc>
        <w:tc>
          <w:tcPr>
            <w:tcW w:w="4876" w:type="dxa"/>
          </w:tcPr>
          <w:p w:rsidR="00D56ECC" w:rsidRPr="00B11CA6" w:rsidRDefault="00C20DB2" w:rsidP="00586ACF">
            <w:pPr>
              <w:pStyle w:val="Normal6a"/>
            </w:pPr>
            <w:r>
              <w:rPr>
                <w:vertAlign w:val="superscript"/>
              </w:rPr>
              <w:t>26</w:t>
            </w:r>
            <w:r>
              <w:t xml:space="preserve"> Regolamento (UE) n. 182/2011 del Parlamento europeo e del Consiglio, del 16 febbraio 2011, che stabilisce le regole e i principi generali relativi alle modalità di controllo da parte degli Stati mem</w:t>
            </w:r>
            <w:r>
              <w:t>bri dell'esercizio delle competenze di esecuzione attribuite alla Commissione (GU L 55 del 28.2.2011, pag. 13).</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10</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Considerando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w:t>
            </w:r>
            <w:r>
              <w:t>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(12)</w:t>
            </w:r>
            <w:r>
              <w:tab/>
              <w:t xml:space="preserve">Le misure di accompagnamento per la cooperazione e gli obblighi di comunicazione degli Stati membri non sono stati finora sufficienti a consentire un'analisi completa volta a verificare se i responsabili dell'inquinamento siano </w:t>
            </w:r>
            <w:r>
              <w:t>sottoposti a sanzioni effettive, dissuasive e proporzionate e se la Commissione disponga di dati adeguati per monitorare l'attuazione della direttiva 2005/35/CE. Al fine di garantire un'applicazione efficace e coerente della direttiva 2005/35/CE, è opportu</w:t>
            </w:r>
            <w:r>
              <w:t xml:space="preserve">no agevolare lo scambio di informazioni e di esperienze attraverso il rafforzamento della cooperazione, garantendo al contempo che alla </w:t>
            </w:r>
            <w:r>
              <w:lastRenderedPageBreak/>
              <w:t>Commissione siano messi a disposizione dati adeguati per consentire un monitoraggio appropriato dell'attuazione di detta</w:t>
            </w:r>
            <w:r>
              <w:t xml:space="preserve"> direttiva.</w:t>
            </w:r>
          </w:p>
        </w:tc>
        <w:tc>
          <w:tcPr>
            <w:tcW w:w="4876" w:type="dxa"/>
          </w:tcPr>
          <w:p w:rsidR="00D56ECC" w:rsidRPr="00B11CA6" w:rsidRDefault="00C20DB2" w:rsidP="00586ACF">
            <w:pPr>
              <w:pStyle w:val="Normal6a"/>
            </w:pPr>
            <w:r>
              <w:lastRenderedPageBreak/>
              <w:t>(12)</w:t>
            </w:r>
            <w:r>
              <w:tab/>
              <w:t xml:space="preserve">Le misure di accompagnamento per la cooperazione e gli obblighi di comunicazione degli Stati membri non sono stati finora sufficienti a consentire un'analisi completa volta a verificare se i responsabili dell'inquinamento siano sottoposti </w:t>
            </w:r>
            <w:r>
              <w:t>a sanzioni effettive, dissuasive e proporzionate e se la Commissione disponga di dati adeguati per monitorare l'attuazione della direttiva 2005/35/CE. Al fine di garantire un'applicazione efficace e coerente della direttiva 2005/35/CE, è opportuno agevolar</w:t>
            </w:r>
            <w:r>
              <w:t xml:space="preserve">e lo scambio di informazioni e di esperienze attraverso il rafforzamento della cooperazione, garantendo al contempo che alla </w:t>
            </w:r>
            <w:r>
              <w:lastRenderedPageBreak/>
              <w:t>Commissione siano messi a disposizione dati adeguati per consentire un monitoraggio appropriato dell'attuazione di detta direttiva.</w:t>
            </w:r>
            <w:r>
              <w:t xml:space="preserve"> </w:t>
            </w:r>
            <w:r>
              <w:rPr>
                <w:b/>
                <w:i/>
              </w:rPr>
              <w:t>I diritti dei membri dell'equipaggio che segnalano eventuali reati da essi riscontrati dovrebbero essere tutelati diligentemente. In tale contesto, gli Stati membri dovrebbero inoltre condividere informazioni sulle migliori pratiche e sulle azioni intrapr</w:t>
            </w:r>
            <w:r>
              <w:rPr>
                <w:b/>
                <w:i/>
              </w:rPr>
              <w:t>ese per prevenire i rifiuti marini, compresi i rifiuti della pesca, sulle modalità per ridurre i rifiuti marini più comuni e il loro impatto sull'ambiente grazie a una progettazione maggiormente ecocompatibile, nonché sugli interventi efficaci per recupera</w:t>
            </w:r>
            <w:r>
              <w:rPr>
                <w:b/>
                <w:i/>
              </w:rPr>
              <w:t xml:space="preserve">re i rifiuti marini già in mare. </w:t>
            </w:r>
          </w:p>
        </w:tc>
      </w:tr>
    </w:tbl>
    <w:p w:rsidR="00D56ECC" w:rsidRPr="00B11CA6" w:rsidRDefault="00C20DB2" w:rsidP="00D56ECC">
      <w:r>
        <w:rPr>
          <w:rStyle w:val="HideTWBExt"/>
        </w:rPr>
        <w:lastRenderedPageBreak/>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11</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Considerando 12 bis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D56ECC" w:rsidP="00586ACF">
            <w:pPr>
              <w:pStyle w:val="Normal6a"/>
            </w:pPr>
          </w:p>
        </w:tc>
        <w:tc>
          <w:tcPr>
            <w:tcW w:w="4876" w:type="dxa"/>
          </w:tcPr>
          <w:p w:rsidR="00D56ECC" w:rsidRPr="00B11CA6" w:rsidRDefault="00C20DB2" w:rsidP="00586ACF">
            <w:pPr>
              <w:pStyle w:val="Normal6a"/>
            </w:pPr>
            <w:r>
              <w:rPr>
                <w:b/>
                <w:i/>
              </w:rPr>
              <w:t>(12 bis)</w:t>
            </w:r>
            <w:r>
              <w:tab/>
            </w:r>
            <w:r>
              <w:rPr>
                <w:b/>
                <w:i/>
              </w:rPr>
              <w:t xml:space="preserve">Il regolamento (UE) 2021/1139 del </w:t>
            </w:r>
            <w:r>
              <w:rPr>
                <w:b/>
                <w:i/>
              </w:rPr>
              <w:t>Parlamento europeo e del Consiglio prevede che gli Stati membri possano sostenere azioni volte a migliorare la progettazione ecocompatibile degli attrezzi da pesca nonché azioni di sostegno per la prevenzione e il recupero dei rifiuti marini.</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w:t>
      </w:r>
      <w:r>
        <w:rPr>
          <w:rStyle w:val="HideTWBExt"/>
        </w:rPr>
        <w:t>end&gt;</w:t>
      </w:r>
      <w:r>
        <w:t>Emendamento</w:t>
      </w:r>
      <w:r>
        <w:tab/>
      </w:r>
      <w:r>
        <w:tab/>
      </w:r>
      <w:r>
        <w:rPr>
          <w:rStyle w:val="HideTWBExt"/>
        </w:rPr>
        <w:t>&lt;NumAm&gt;</w:t>
      </w:r>
      <w:r>
        <w:t>12</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Considerando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(13)</w:t>
            </w:r>
            <w:r>
              <w:tab/>
              <w:t xml:space="preserve">Il servizio satellitare esistente "CleanSeaNet", che notifica alle autorità degli Stati membri i </w:t>
            </w:r>
            <w:r>
              <w:t xml:space="preserve">potenziali scarichi illegali, dovrebbe essere ulteriormente </w:t>
            </w:r>
            <w:r>
              <w:lastRenderedPageBreak/>
              <w:t>potenziato per includere informazioni sulle sostanze inquinanti aggiuntive che rientrano nell'ambito di applicazione della direttiva 2005/35/CE. Le informazioni relative agli scarichi potenziali o</w:t>
            </w:r>
            <w:r>
              <w:t xml:space="preserve"> effettivi segnalati dagli Stati membri in conformità della direttiva 2005/35/CE e di altre banche dati dell'Unione sulla sicurezza marittima, come il sistema dell'Unione per lo scambio di dati marittimi istituito dalla direttiva 2002/59/CE del Parlamento </w:t>
            </w:r>
            <w:r>
              <w:t>europeo e del Consiglio</w:t>
            </w:r>
            <w:r>
              <w:rPr>
                <w:vertAlign w:val="superscript"/>
              </w:rPr>
              <w:t>27</w:t>
            </w:r>
            <w:r>
              <w:t xml:space="preserve"> ("SafeSeaNet") e la banca dati sulle ispezioni istituita dalla direttiva 2009/16/CE del Parlamento europeo e del Consiglio</w:t>
            </w:r>
            <w:r>
              <w:rPr>
                <w:vertAlign w:val="superscript"/>
              </w:rPr>
              <w:t>28</w:t>
            </w:r>
            <w:r>
              <w:t xml:space="preserve"> ("THETIS"), dovrebbero essere integrate e divulgate in un formato elettronico di facile utilizzo alle aut</w:t>
            </w:r>
            <w:r>
              <w:t>orità nazionali coinvolte nella catena di applicazione, al fine di agevolare la loro risposta tempestiva. Tali informazioni, se relative a uno scarico effettivo o potenziale di residui dei sistemi di depurazione dei gas di scarico da una nave, dovrebbero i</w:t>
            </w:r>
            <w:r>
              <w:t>noltre essere divulgate automaticamente al modulo dedicato di THETIS istituito dalla decisione di esecuzione 2015/253 della Commissione ("THETIS-EU"), così da assistere gli Stati membri in relazione alle misure di applicazione prese conformemente alle disp</w:t>
            </w:r>
            <w:r>
              <w:t>osizioni della direttiva (UE) 2016/802. Al fine di garantire un monitoraggio efficace dell'attuazione della direttiva da parte di tutti gli Stati membri, è opportuno che ciascuno Stato membro garantisca un tasso di verifica del 10 % all'anno delle segnalaz</w:t>
            </w:r>
            <w:r>
              <w:t>ioni inviate tramite CleanSeaNet entro i primi tre anni dal recepimento della direttiva. L'accesso a tali informazioni dovrebbe essere consentito alle autorità di altri Stati membri che hanno un interesse al riguardo in quanto Stati del successivo porto di</w:t>
            </w:r>
            <w:r>
              <w:t xml:space="preserve"> approdo, Stati costieri interessati dal potenziale scarico o Stati di bandiera della nave, al fine di agevolare una cooperazione transfrontaliera efficace e tempestiva, ridurre al minimo l'onere amministrativo delle attività di </w:t>
            </w:r>
            <w:r>
              <w:lastRenderedPageBreak/>
              <w:t>applicazione e in ultima an</w:t>
            </w:r>
            <w:r>
              <w:t>alisi sanzionare efficacemente i responsabili per le violazioni della direttiva 2005/35/CE.</w:t>
            </w:r>
          </w:p>
        </w:tc>
        <w:tc>
          <w:tcPr>
            <w:tcW w:w="4876" w:type="dxa"/>
          </w:tcPr>
          <w:p w:rsidR="00D56ECC" w:rsidRPr="00B11CA6" w:rsidRDefault="00C20DB2" w:rsidP="00586ACF">
            <w:pPr>
              <w:pStyle w:val="Normal6a"/>
            </w:pPr>
            <w:r>
              <w:lastRenderedPageBreak/>
              <w:t>(13)</w:t>
            </w:r>
            <w:r>
              <w:tab/>
              <w:t xml:space="preserve">Il servizio satellitare esistente "CleanSeaNet", che notifica alle autorità degli Stati membri i potenziali scarichi illegali, dovrebbe essere ulteriormente </w:t>
            </w:r>
            <w:r>
              <w:lastRenderedPageBreak/>
              <w:t>po</w:t>
            </w:r>
            <w:r>
              <w:t>tenziato per includere informazioni sulle sostanze inquinanti aggiuntive che rientrano nell'ambito di applicazione della direttiva 2005/35/CE. Le informazioni relative agli scarichi potenziali o effettivi segnalati dagli Stati membri in conformità della di</w:t>
            </w:r>
            <w:r>
              <w:t>rettiva 2005/35/CE e di altre banche dati dell'Unione sulla sicurezza marittima, come il sistema dell'Unione per lo scambio di dati marittimi istituito dalla direttiva 2002/59/CE del Parlamento europeo e del Consiglio</w:t>
            </w:r>
            <w:r>
              <w:rPr>
                <w:vertAlign w:val="superscript"/>
              </w:rPr>
              <w:t>27</w:t>
            </w:r>
            <w:r>
              <w:t xml:space="preserve"> ("SafeSeaNet") e la banca dati sulle</w:t>
            </w:r>
            <w:r>
              <w:t xml:space="preserve"> ispezioni istituita dalla direttiva 2009/16/CE del Parlamento europeo e del Consiglio</w:t>
            </w:r>
            <w:r>
              <w:rPr>
                <w:vertAlign w:val="superscript"/>
              </w:rPr>
              <w:t>28</w:t>
            </w:r>
            <w:r>
              <w:t xml:space="preserve"> ("THETIS"), dovrebbero essere integrate e divulgate in un formato elettronico di facile utilizzo alle autorità nazionali coinvolte nella catena di applicazione, al fin</w:t>
            </w:r>
            <w:r>
              <w:t xml:space="preserve">e di agevolare la loro risposta tempestiva. Tali informazioni, se relative a uno scarico effettivo o potenziale di residui dei sistemi di depurazione dei gas di scarico da una nave, dovrebbero inoltre essere divulgate automaticamente al modulo dedicato di </w:t>
            </w:r>
            <w:r>
              <w:t>THETIS istituito dalla decisione di esecuzione 2015/253 della Commissione ("THETIS-EU"), così da assistere gli Stati membri in relazione alle misure di applicazione prese conformemente alle disposizioni della direttiva (UE) 2016/802. Al fine di garantire u</w:t>
            </w:r>
            <w:r>
              <w:t>n monitoraggio efficace dell'attuazione della direttiva da parte di tutti gli Stati membri, è opportuno che ciascuno Stato membro garantisca un tasso di verifica del 10 % all'anno delle segnalazioni inviate tramite CleanSeaNet entro i primi tre anni dal re</w:t>
            </w:r>
            <w:r>
              <w:t xml:space="preserve">cepimento della direttiva. L'accesso a tali informazioni dovrebbe essere consentito alle autorità di altri Stati membri che hanno un interesse al riguardo in quanto Stati del successivo porto di approdo, Stati costieri interessati dal potenziale scarico o </w:t>
            </w:r>
            <w:r>
              <w:t xml:space="preserve">Stati di bandiera della nave, al fine di agevolare una cooperazione transfrontaliera efficace e tempestiva, ridurre al minimo l'onere amministrativo delle attività di </w:t>
            </w:r>
            <w:r>
              <w:lastRenderedPageBreak/>
              <w:t xml:space="preserve">applicazione e in ultima analisi sanzionare efficacemente </w:t>
            </w:r>
            <w:r>
              <w:rPr>
                <w:b/>
                <w:bCs/>
                <w:i/>
                <w:iCs/>
              </w:rPr>
              <w:t>e proporzionalmente</w:t>
            </w:r>
            <w:r>
              <w:t> i responsab</w:t>
            </w:r>
            <w:r>
              <w:t>ili per le violazioni della direttiva 2005/35/CE.</w:t>
            </w:r>
          </w:p>
        </w:tc>
      </w:tr>
      <w:tr w:rsidR="006B66BE" w:rsidTr="00586ACF">
        <w:trPr>
          <w:jc w:val="center"/>
        </w:trPr>
        <w:tc>
          <w:tcPr>
            <w:tcW w:w="4876" w:type="dxa"/>
          </w:tcPr>
          <w:p w:rsidR="00D56ECC" w:rsidRPr="00B11CA6" w:rsidRDefault="00C20DB2" w:rsidP="00586ACF">
            <w:pPr>
              <w:pStyle w:val="Normal6a"/>
            </w:pPr>
            <w:r>
              <w:rPr>
                <w:b/>
                <w:i/>
              </w:rPr>
              <w:lastRenderedPageBreak/>
              <w:t>_________________</w:t>
            </w:r>
          </w:p>
        </w:tc>
        <w:tc>
          <w:tcPr>
            <w:tcW w:w="4876" w:type="dxa"/>
          </w:tcPr>
          <w:p w:rsidR="00D56ECC" w:rsidRPr="00B11CA6" w:rsidRDefault="00C20DB2" w:rsidP="00586ACF">
            <w:pPr>
              <w:pStyle w:val="Normal6a"/>
            </w:pPr>
            <w:r>
              <w:rPr>
                <w:b/>
                <w:i/>
              </w:rPr>
              <w:t>_________________</w:t>
            </w:r>
          </w:p>
        </w:tc>
      </w:tr>
      <w:tr w:rsidR="006B66BE" w:rsidTr="00586ACF">
        <w:trPr>
          <w:jc w:val="center"/>
        </w:trPr>
        <w:tc>
          <w:tcPr>
            <w:tcW w:w="4876" w:type="dxa"/>
          </w:tcPr>
          <w:p w:rsidR="00D56ECC" w:rsidRPr="00B11CA6" w:rsidRDefault="00C20DB2" w:rsidP="00586ACF">
            <w:pPr>
              <w:pStyle w:val="Normal6a"/>
            </w:pPr>
            <w:r>
              <w:rPr>
                <w:vertAlign w:val="superscript"/>
              </w:rPr>
              <w:t>27</w:t>
            </w:r>
            <w:r>
              <w:t xml:space="preserve"> Direttiva 2002/59/CE del Parlamento europeo e del Consiglio, del 27 giugno 2002, relativa all'istituzione di un sistema comunitario di monitoraggio del traffico navale e d'informazione e che abroga la direttiva 93/75/CEE del Consiglio (GU L 208 del 5.8.20</w:t>
            </w:r>
            <w:r>
              <w:t>02, pag. 10).</w:t>
            </w:r>
          </w:p>
        </w:tc>
        <w:tc>
          <w:tcPr>
            <w:tcW w:w="4876" w:type="dxa"/>
          </w:tcPr>
          <w:p w:rsidR="00D56ECC" w:rsidRPr="00B11CA6" w:rsidRDefault="00C20DB2" w:rsidP="00586ACF">
            <w:pPr>
              <w:pStyle w:val="Normal6a"/>
            </w:pPr>
            <w:r>
              <w:rPr>
                <w:vertAlign w:val="superscript"/>
              </w:rPr>
              <w:t>27</w:t>
            </w:r>
            <w:r>
              <w:t xml:space="preserve"> Direttiva 2002/59/CE del Parlamento europeo e del Consiglio, del 27 giugno 2002, relativa all'istituzione di un sistema comunitario di monitoraggio del traffico navale e d'informazione e che abroga la direttiva 93/75/CEE del Consiglio (GU </w:t>
            </w:r>
            <w:r>
              <w:t>L 208 del 5.8.2002, pag. 10).</w:t>
            </w:r>
          </w:p>
        </w:tc>
      </w:tr>
      <w:tr w:rsidR="006B66BE" w:rsidTr="00586ACF">
        <w:trPr>
          <w:jc w:val="center"/>
        </w:trPr>
        <w:tc>
          <w:tcPr>
            <w:tcW w:w="4876" w:type="dxa"/>
          </w:tcPr>
          <w:p w:rsidR="00D56ECC" w:rsidRPr="00B11CA6" w:rsidRDefault="00C20DB2" w:rsidP="00586ACF">
            <w:pPr>
              <w:pStyle w:val="Normal6a"/>
            </w:pPr>
            <w:r>
              <w:rPr>
                <w:vertAlign w:val="superscript"/>
              </w:rPr>
              <w:t>28</w:t>
            </w:r>
            <w:r>
              <w:t xml:space="preserve"> Direttiva 2009/16/CE del Parlamento europeo e del Consiglio, del 23 aprile 2009, relativa al controllo da parte dello Stato di approdo (rifusione) (GU L 131 del 28.5.2009, pag. 57).</w:t>
            </w:r>
          </w:p>
        </w:tc>
        <w:tc>
          <w:tcPr>
            <w:tcW w:w="4876" w:type="dxa"/>
          </w:tcPr>
          <w:p w:rsidR="00D56ECC" w:rsidRPr="00B11CA6" w:rsidRDefault="00C20DB2" w:rsidP="00586ACF">
            <w:pPr>
              <w:pStyle w:val="Normal6a"/>
            </w:pPr>
            <w:r>
              <w:rPr>
                <w:vertAlign w:val="superscript"/>
              </w:rPr>
              <w:t>28</w:t>
            </w:r>
            <w:r>
              <w:t xml:space="preserve"> Direttiva 2009/16/CE del Parlamento e</w:t>
            </w:r>
            <w:r>
              <w:t>uropeo e del Consiglio, del 23 aprile 2009, relativa al controllo da parte dello Stato di approdo (rifusione) (GU L 131 del 28.5.2009, pag. 57).</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13</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Considerando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(14)</w:t>
            </w:r>
            <w:r>
              <w:tab/>
              <w:t xml:space="preserve">Il sottogruppo in materia di rifiuti delle navi, che è stato istituito nell'ambito del Forum europeo per il trasporto marittimo sostenibile e che ha riunito una molteplicità di esperti </w:t>
            </w:r>
            <w:r>
              <w:t>nel campo dell'inquinamento provocato dalle navi e della gestione dei rifiuti delle navi, ha sospeso i lavori nel dicembre 2017 in ragione dell'avvio dei negoziati interistituzionali sulla direttiva (UE) 2019/883. Poiché tale sottogruppo temporaneo ha forn</w:t>
            </w:r>
            <w:r>
              <w:t>ito preziosi orientamenti e competenze alla Commissione, è opportuno creare un gruppo di esperti analogo con il compito di scambiare esperienze sull'applicazione della presente direttiva, al fine di assistere gli Stati membri nello sviluppo della loro capa</w:t>
            </w:r>
            <w:r>
              <w:t xml:space="preserve">cità di individuare e verificare gli incidenti di inquinamento e garantire l'efficace applicazione della direttiva </w:t>
            </w:r>
            <w:r>
              <w:lastRenderedPageBreak/>
              <w:t>2005/35/CE.</w:t>
            </w:r>
          </w:p>
        </w:tc>
        <w:tc>
          <w:tcPr>
            <w:tcW w:w="4876" w:type="dxa"/>
          </w:tcPr>
          <w:p w:rsidR="00D56ECC" w:rsidRPr="00B11CA6" w:rsidRDefault="00C20DB2" w:rsidP="00586ACF">
            <w:pPr>
              <w:pStyle w:val="Normal6a"/>
            </w:pPr>
            <w:r>
              <w:lastRenderedPageBreak/>
              <w:t>(14)</w:t>
            </w:r>
            <w:r>
              <w:tab/>
              <w:t>Il sottogruppo in materia di rifiuti delle navi, che è stato istituito nell'ambito del Forum europeo per il trasporto maritt</w:t>
            </w:r>
            <w:r>
              <w:t>imo sostenibile e che ha riunito una molteplicità di esperti nel campo dell'inquinamento provocato dalle navi e della gestione dei rifiuti delle navi, ha sospeso i lavori nel dicembre 2017 in ragione dell'avvio dei negoziati interistituzionali sulla dirett</w:t>
            </w:r>
            <w:r>
              <w:t>iva (UE) 2019/883. Poiché tale sottogruppo temporaneo ha fornito preziosi orientamenti e competenze alla Commissione, è opportuno creare un gruppo di esperti analogo con il compito di scambiare esperienze sull'applicazione della presente direttiva, al fine</w:t>
            </w:r>
            <w:r>
              <w:t xml:space="preserve"> di assistere gli Stati membri nello sviluppo della loro capacità di individuare e verificare gli incidenti di inquinamento e garantire l'efficace applicazione della direttiva </w:t>
            </w:r>
            <w:r>
              <w:lastRenderedPageBreak/>
              <w:t xml:space="preserve">2005/35/CE. </w:t>
            </w:r>
            <w:r>
              <w:rPr>
                <w:b/>
                <w:i/>
              </w:rPr>
              <w:t>È inoltre importante includere in questi sottogruppi tutti i portato</w:t>
            </w:r>
            <w:r>
              <w:rPr>
                <w:b/>
                <w:i/>
              </w:rPr>
              <w:t>ri di interessi, compreso il settore della pesca.</w:t>
            </w:r>
          </w:p>
        </w:tc>
      </w:tr>
    </w:tbl>
    <w:p w:rsidR="00D56ECC" w:rsidRPr="00B11CA6" w:rsidRDefault="00C20DB2" w:rsidP="00D56ECC">
      <w:r>
        <w:rPr>
          <w:rStyle w:val="HideTWBExt"/>
        </w:rPr>
        <w:lastRenderedPageBreak/>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14</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Considerando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(15)</w:t>
            </w:r>
            <w:r>
              <w:tab/>
              <w:t xml:space="preserve">L'Agenzia europea per la sicurezza </w:t>
            </w:r>
            <w:r>
              <w:t>marittima ("EMSA"), istituita dal regolamento (UE) xxxx/xxxx</w:t>
            </w:r>
            <w:r>
              <w:rPr>
                <w:vertAlign w:val="superscript"/>
              </w:rPr>
              <w:t>29</w:t>
            </w:r>
            <w:r>
              <w:t>, dovrebbe fornire alla Commissione il sostegno necessario per garantire l'attuazione della presente direttiva.</w:t>
            </w:r>
          </w:p>
        </w:tc>
        <w:tc>
          <w:tcPr>
            <w:tcW w:w="4876" w:type="dxa"/>
          </w:tcPr>
          <w:p w:rsidR="00D56ECC" w:rsidRPr="00B11CA6" w:rsidRDefault="00C20DB2" w:rsidP="00586ACF">
            <w:pPr>
              <w:pStyle w:val="Normal6a"/>
            </w:pPr>
            <w:r>
              <w:t>(15)</w:t>
            </w:r>
            <w:r>
              <w:tab/>
              <w:t>L'Agenzia europea per la sicurezza marittima ("EMSA"), istituita dal regolame</w:t>
            </w:r>
            <w:r>
              <w:t>nto (UE) xxxx/xxxx</w:t>
            </w:r>
            <w:r>
              <w:rPr>
                <w:vertAlign w:val="superscript"/>
              </w:rPr>
              <w:t>29</w:t>
            </w:r>
            <w:r>
              <w:t xml:space="preserve">, dovrebbe fornire alla Commissione il sostegno necessario per garantire l'attuazione della presente direttiva. </w:t>
            </w:r>
            <w:r>
              <w:rPr>
                <w:b/>
                <w:i/>
              </w:rPr>
              <w:t>La Commissione dovrebbe inoltre utilizzare i dati raccolti dall'EFCA, se del caso, in particolare per quanto riguarda gli at</w:t>
            </w:r>
            <w:r>
              <w:rPr>
                <w:b/>
                <w:i/>
              </w:rPr>
              <w:t>trezzi da pesca perduti.</w:t>
            </w:r>
          </w:p>
        </w:tc>
      </w:tr>
      <w:tr w:rsidR="006B66BE" w:rsidTr="00586ACF">
        <w:trPr>
          <w:jc w:val="center"/>
        </w:trPr>
        <w:tc>
          <w:tcPr>
            <w:tcW w:w="4876" w:type="dxa"/>
          </w:tcPr>
          <w:p w:rsidR="00D56ECC" w:rsidRPr="00B11CA6" w:rsidRDefault="00C20DB2" w:rsidP="00586ACF">
            <w:pPr>
              <w:pStyle w:val="Normal6a"/>
            </w:pPr>
            <w:r>
              <w:rPr>
                <w:b/>
                <w:i/>
              </w:rPr>
              <w:t>_________________</w:t>
            </w:r>
          </w:p>
        </w:tc>
        <w:tc>
          <w:tcPr>
            <w:tcW w:w="4876" w:type="dxa"/>
          </w:tcPr>
          <w:p w:rsidR="00D56ECC" w:rsidRPr="00B11CA6" w:rsidRDefault="00C20DB2" w:rsidP="00586ACF">
            <w:pPr>
              <w:pStyle w:val="Normal6a"/>
            </w:pPr>
            <w:r>
              <w:rPr>
                <w:b/>
                <w:i/>
              </w:rPr>
              <w:t>_________________</w:t>
            </w:r>
          </w:p>
        </w:tc>
      </w:tr>
      <w:tr w:rsidR="006B66BE" w:rsidTr="00586ACF">
        <w:trPr>
          <w:jc w:val="center"/>
        </w:trPr>
        <w:tc>
          <w:tcPr>
            <w:tcW w:w="4876" w:type="dxa"/>
          </w:tcPr>
          <w:p w:rsidR="00D56ECC" w:rsidRPr="00B11CA6" w:rsidRDefault="00C20DB2" w:rsidP="00586ACF">
            <w:pPr>
              <w:pStyle w:val="Normal6a"/>
            </w:pPr>
            <w:r>
              <w:rPr>
                <w:vertAlign w:val="superscript"/>
              </w:rPr>
              <w:t xml:space="preserve">29 </w:t>
            </w:r>
            <w:r>
              <w:t>GU L xxxx.</w:t>
            </w:r>
          </w:p>
        </w:tc>
        <w:tc>
          <w:tcPr>
            <w:tcW w:w="4876" w:type="dxa"/>
          </w:tcPr>
          <w:p w:rsidR="00D56ECC" w:rsidRPr="00B11CA6" w:rsidRDefault="00C20DB2" w:rsidP="00586ACF">
            <w:pPr>
              <w:pStyle w:val="Normal6a"/>
            </w:pPr>
            <w:r>
              <w:rPr>
                <w:vertAlign w:val="superscript"/>
              </w:rPr>
              <w:t xml:space="preserve">29 </w:t>
            </w:r>
            <w:r>
              <w:t>GU L xxxx.</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15</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Considerando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(18)</w:t>
            </w:r>
            <w:r>
              <w:tab/>
              <w:t xml:space="preserve">Per sensibilizzare maggiormente il pubblico circa gli scarichi inquinanti delle navi </w:t>
            </w:r>
            <w:r>
              <w:rPr>
                <w:b/>
                <w:i/>
              </w:rPr>
              <w:t>e</w:t>
            </w:r>
            <w:r>
              <w:t xml:space="preserve"> migliorare la protezione dell'ambiente, è opportuno che le informazioni fornite dagli Stati membri sull'applicazione della direttiva 2005/35/CE siano rese disponibi</w:t>
            </w:r>
            <w:r>
              <w:t>li al pubblico attraverso una panoramica a livello dell'Unione e includano le informazioni elencate nell'allegato II di detta direttiva. La direttiva 2003/4/CE del Parlamento europeo e del Consiglio</w:t>
            </w:r>
            <w:r>
              <w:rPr>
                <w:vertAlign w:val="superscript"/>
              </w:rPr>
              <w:t>30</w:t>
            </w:r>
            <w:r>
              <w:t xml:space="preserve"> mira a garantire il diritto di accesso </w:t>
            </w:r>
            <w:r>
              <w:lastRenderedPageBreak/>
              <w:t>all'informazione</w:t>
            </w:r>
            <w:r>
              <w:t xml:space="preserve"> ambientale negli Stati membri in linea con la Convenzione sull'accesso alle informazioni, la partecipazione del pubblico ai processi decisionali e l'accesso alla giustizia in materia ambientale (convenzione di Aarhus), di cui l'Unione è parte contraente. </w:t>
            </w:r>
            <w:r>
              <w:t>La Commissione dovrebbe proteggere la riservatezza delle informazioni ricevute dagli Stati membri, fatte salve le disposizioni della direttiva 2003/4/CE.</w:t>
            </w:r>
          </w:p>
        </w:tc>
        <w:tc>
          <w:tcPr>
            <w:tcW w:w="4876" w:type="dxa"/>
          </w:tcPr>
          <w:p w:rsidR="00D56ECC" w:rsidRPr="00B11CA6" w:rsidRDefault="00C20DB2" w:rsidP="00586ACF">
            <w:pPr>
              <w:pStyle w:val="Normal6a"/>
            </w:pPr>
            <w:r>
              <w:lastRenderedPageBreak/>
              <w:t>(18)</w:t>
            </w:r>
            <w:r>
              <w:tab/>
              <w:t>Per sensibilizzare maggiormente il pubblico circa gli scarichi inquinanti delle navi</w:t>
            </w:r>
            <w:r>
              <w:rPr>
                <w:b/>
                <w:i/>
              </w:rPr>
              <w:t>,</w:t>
            </w:r>
            <w:r>
              <w:t xml:space="preserve"> migliorare </w:t>
            </w:r>
            <w:r>
              <w:t>la protezione dell'ambiente</w:t>
            </w:r>
            <w:r>
              <w:rPr>
                <w:b/>
                <w:bCs/>
                <w:i/>
                <w:iCs/>
              </w:rPr>
              <w:t>, contribuire al conseguimento dell'obiettivo di ripristino della natura e rispettare gli impegni assunti nell'ambito del Green Deal europeo</w:t>
            </w:r>
            <w:r>
              <w:t>, è opportuno che le informazioni fornite dagli Stati membri sull'applicazione della dire</w:t>
            </w:r>
            <w:r>
              <w:t xml:space="preserve">ttiva 2005/35/CE siano rese disponibili al pubblico attraverso una panoramica a livello dell'Unione e includano le informazioni elencate </w:t>
            </w:r>
            <w:r>
              <w:lastRenderedPageBreak/>
              <w:t xml:space="preserve">nell'allegato II di detta direttiva. </w:t>
            </w:r>
            <w:r>
              <w:rPr>
                <w:b/>
                <w:i/>
              </w:rPr>
              <w:t>A tal fine è necessario compilare statistiche sul numero e sull'ubicazione degli s</w:t>
            </w:r>
            <w:r>
              <w:rPr>
                <w:b/>
                <w:i/>
              </w:rPr>
              <w:t xml:space="preserve">versamenti rilevati dal sistema CleanSeaNet ed elaborare una relazione annuale contenente i dati pervenuti, il numero di sversamenti verificati e confermati nonché il numero di sanzioni amministrative e penali irrogate. </w:t>
            </w:r>
            <w:r>
              <w:t>La direttiva 2003/4/CE del Parlament</w:t>
            </w:r>
            <w:r>
              <w:t>o europeo e del Consiglio</w:t>
            </w:r>
            <w:r>
              <w:rPr>
                <w:vertAlign w:val="superscript"/>
              </w:rPr>
              <w:t>30</w:t>
            </w:r>
            <w:r>
              <w:t xml:space="preserve"> mira a garantire il diritto di accesso all'informazione ambientale negli Stati membri in linea con la Convenzione sull'accesso alle informazioni, la partecipazione del pubblico ai processi decisionali e l'accesso alla giustizia </w:t>
            </w:r>
            <w:r>
              <w:t>in materia ambientale (convenzione di Aarhus), di cui l'Unione è parte contraente. La Commissione dovrebbe proteggere la riservatezza delle informazioni ricevute dagli Stati membri, fatte salve le disposizioni della direttiva 2003/4/CE.</w:t>
            </w:r>
          </w:p>
        </w:tc>
      </w:tr>
      <w:tr w:rsidR="006B66BE" w:rsidTr="00586ACF">
        <w:trPr>
          <w:jc w:val="center"/>
        </w:trPr>
        <w:tc>
          <w:tcPr>
            <w:tcW w:w="4876" w:type="dxa"/>
          </w:tcPr>
          <w:p w:rsidR="00D56ECC" w:rsidRPr="00B11CA6" w:rsidRDefault="00C20DB2" w:rsidP="00586ACF">
            <w:pPr>
              <w:pStyle w:val="Normal6a"/>
            </w:pPr>
            <w:r>
              <w:rPr>
                <w:b/>
                <w:i/>
              </w:rPr>
              <w:lastRenderedPageBreak/>
              <w:t>_________________</w:t>
            </w:r>
          </w:p>
        </w:tc>
        <w:tc>
          <w:tcPr>
            <w:tcW w:w="4876" w:type="dxa"/>
          </w:tcPr>
          <w:p w:rsidR="00D56ECC" w:rsidRPr="00B11CA6" w:rsidRDefault="00C20DB2" w:rsidP="00586ACF">
            <w:pPr>
              <w:pStyle w:val="Normal6a"/>
            </w:pPr>
            <w:r>
              <w:rPr>
                <w:b/>
                <w:i/>
              </w:rPr>
              <w:t>_________________</w:t>
            </w:r>
          </w:p>
        </w:tc>
      </w:tr>
      <w:tr w:rsidR="006B66BE" w:rsidTr="00586ACF">
        <w:trPr>
          <w:jc w:val="center"/>
        </w:trPr>
        <w:tc>
          <w:tcPr>
            <w:tcW w:w="4876" w:type="dxa"/>
          </w:tcPr>
          <w:p w:rsidR="00D56ECC" w:rsidRPr="00B11CA6" w:rsidRDefault="00C20DB2" w:rsidP="00586ACF">
            <w:pPr>
              <w:pStyle w:val="Normal6a"/>
            </w:pPr>
            <w:r>
              <w:rPr>
                <w:vertAlign w:val="superscript"/>
              </w:rPr>
              <w:t>30</w:t>
            </w:r>
            <w:r>
              <w:t xml:space="preserve"> Direttiva 2003/4/CE del Parlamento europeo e del Consiglio, del 28 gennaio 2003, sull'accesso del pubblico all'informazione ambientale e che abroga la direttiva 90/313/CEE del Consiglio (GU L 41 del 14.2.2003, pag. 26).</w:t>
            </w:r>
          </w:p>
        </w:tc>
        <w:tc>
          <w:tcPr>
            <w:tcW w:w="4876" w:type="dxa"/>
          </w:tcPr>
          <w:p w:rsidR="00D56ECC" w:rsidRPr="00B11CA6" w:rsidRDefault="00C20DB2" w:rsidP="00586ACF">
            <w:pPr>
              <w:pStyle w:val="Normal6a"/>
            </w:pPr>
            <w:r>
              <w:rPr>
                <w:vertAlign w:val="superscript"/>
              </w:rPr>
              <w:t>30</w:t>
            </w:r>
            <w:r>
              <w:t xml:space="preserve"> Direttiva 2</w:t>
            </w:r>
            <w:r>
              <w:t>003/4/CE del Parlamento europeo e del Consiglio, del 28 gennaio 2003, sull'accesso del pubblico all'informazione ambientale e che abroga la direttiva 90/313/CEE del Consiglio (GU L 41 del 14.2.2003, pag. 26).</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16</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Considerando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(21)</w:t>
            </w:r>
            <w:r>
              <w:tab/>
              <w:t>In seno all'IMO sono in corso discussioni su nuove questioni ambientali relative al trasporto marittimo internazionale che sono causa</w:t>
            </w:r>
            <w:r>
              <w:t xml:space="preserve"> di inquinamento sia idrico che atmosferico. Tra queste figurano gli inquinanti idrici dei rifiuti marini, come i container e i pellet di plastica dispersi, il rumore sottomarino e </w:t>
            </w:r>
            <w:r>
              <w:lastRenderedPageBreak/>
              <w:t>gli inquinanti atmosferici come il particolato carbonioso. Tali discussioni</w:t>
            </w:r>
            <w:r>
              <w:t xml:space="preserve"> potrebbero sfociare nell'elaborazione di nuove norme nell'ambito della convenzione Marpol 73/78. Inoltre la direttiva 2008/56/CE del Parlamento europeo e del Consiglio</w:t>
            </w:r>
            <w:r>
              <w:rPr>
                <w:vertAlign w:val="superscript"/>
              </w:rPr>
              <w:t>34</w:t>
            </w:r>
            <w:r>
              <w:t xml:space="preserve"> richiede agli Stati membri di conseguire un buono stato ecologico dell'ambiente marin</w:t>
            </w:r>
            <w:r>
              <w:t>o, il quale comprende come descrittori qualitativi, tra l'altro, i rifiuti marini e il rumore sottomarino delle navi. A tal proposito la direttiva (UE) 2023/xxxx</w:t>
            </w:r>
            <w:r>
              <w:rPr>
                <w:vertAlign w:val="superscript"/>
              </w:rPr>
              <w:t>35</w:t>
            </w:r>
            <w:r>
              <w:t xml:space="preserve"> stabilisce i valori limite per il biossido di azoto (NO2) derivante dalle emissioni di ossid</w:t>
            </w:r>
            <w:r>
              <w:t>i di azoto (NOx). Le attività di trasporto marittimo contribuiscono a livelli più elevati di NO2 nelle aree costiere e portuali. In questo contesto un futuro riesame della direttiva 2005/35/CE dovrebbe tenere conto dei nuovi sviluppi e la Commissione dovre</w:t>
            </w:r>
            <w:r>
              <w:t>bbe esaminare la possibilità di modificare l'ambito di applicazione della direttiva, se del caso, alla luce di eventuali nuove norme internazionali nel quadro della convenzione Marpol 73/78. Detto futuro riesame dovrebbe valutare la possibilità di modifica</w:t>
            </w:r>
            <w:r>
              <w:t>re l'ambito di applicazione della direttiva 2005/35/CE, se del caso, al fine di integrare le emissioni di SOx e NOx, come disciplinato nell'allegato VI della convenzione Marpol, sulla base dell'esperienza acquisita nell'attuazione della direttiva (UE) 2016</w:t>
            </w:r>
            <w:r>
              <w:t>/802 e dello sviluppo e della maturità del monitoraggio e del rilevamento delle emissioni di SOx e NOx delle navi, in modo da garantire un regime di applicazione coerente, efficiente ed efficace, nonché l'imposizione di sanzioni dissuasive, in linea con il</w:t>
            </w:r>
            <w:r>
              <w:t xml:space="preserve"> piano d'azione per l'inquinamento zero e in particolare con la sua iniziativa faro 5 Rispettare insieme l'obiettivo "inquinamento zero".</w:t>
            </w:r>
          </w:p>
        </w:tc>
        <w:tc>
          <w:tcPr>
            <w:tcW w:w="4876" w:type="dxa"/>
          </w:tcPr>
          <w:p w:rsidR="00D56ECC" w:rsidRPr="00B11CA6" w:rsidRDefault="00C20DB2" w:rsidP="00586ACF">
            <w:pPr>
              <w:pStyle w:val="Normal6a"/>
            </w:pPr>
            <w:r>
              <w:lastRenderedPageBreak/>
              <w:t>(21)</w:t>
            </w:r>
            <w:r>
              <w:tab/>
              <w:t>In seno all'IMO sono in corso discussioni su nuove questioni ambientali relative al trasporto marittimo internazi</w:t>
            </w:r>
            <w:r>
              <w:t xml:space="preserve">onale che sono causa di inquinamento sia idrico che atmosferico. Tra queste figurano gli inquinanti idrici dei rifiuti marini, come i container e i pellet di plastica dispersi, il rumore sottomarino e </w:t>
            </w:r>
            <w:r>
              <w:lastRenderedPageBreak/>
              <w:t>gli inquinanti atmosferici come il particolato carbonio</w:t>
            </w:r>
            <w:r>
              <w:t xml:space="preserve">so. Tali discussioni potrebbero sfociare nell'elaborazione di nuove norme nell'ambito della convenzione Marpol 73/78. </w:t>
            </w:r>
            <w:r>
              <w:rPr>
                <w:b/>
                <w:bCs/>
                <w:i/>
                <w:iCs/>
              </w:rPr>
              <w:t>Un futuro riesame della convenzione Marpol 73/79 dovrebbe includere anche l'azzeramento dell'inquinamento da (micro)plastiche e PFAS.</w:t>
            </w:r>
            <w:r>
              <w:t xml:space="preserve"> Inol</w:t>
            </w:r>
            <w:r>
              <w:t>tre la direttiva 2008/56/CE del Parlamento europeo e del Consiglio</w:t>
            </w:r>
            <w:r>
              <w:rPr>
                <w:vertAlign w:val="superscript"/>
              </w:rPr>
              <w:t>34</w:t>
            </w:r>
            <w:r>
              <w:t xml:space="preserve"> richiede agli Stati membri di conseguire un buono stato ecologico dell'ambiente marino, il quale comprende come descrittori qualitativi, tra l'altro, i rifiuti marini e il rumore sottomar</w:t>
            </w:r>
            <w:r>
              <w:t>ino delle navi. A tal proposito la direttiva (UE) 2023/xxxx</w:t>
            </w:r>
            <w:r>
              <w:rPr>
                <w:vertAlign w:val="superscript"/>
              </w:rPr>
              <w:t>35</w:t>
            </w:r>
            <w:r>
              <w:t xml:space="preserve"> stabilisce i valori limite per il biossido di azoto (NO2) derivante dalle emissioni di ossidi di azoto (NOx). Le attività di trasporto marittimo contribuiscono a livelli più elevati di NO2 nelle</w:t>
            </w:r>
            <w:r>
              <w:t xml:space="preserve"> aree costiere e portuali. In questo contesto un futuro riesame della direttiva 2005/35/CE dovrebbe tenere conto dei nuovi sviluppi e la Commissione dovrebbe esaminare la possibilità di modificare l'ambito di applicazione della direttiva, se del caso, alla</w:t>
            </w:r>
            <w:r>
              <w:t xml:space="preserve"> luce di eventuali nuove norme internazionali nel quadro della convenzione Marpol 73/78. Detto futuro riesame dovrebbe valutare la possibilità di modificare l'ambito di applicazione della direttiva 2005/35/CE, se del caso, al fine di integrare le emissioni</w:t>
            </w:r>
            <w:r>
              <w:t xml:space="preserve"> di SOx e NOx, come disciplinato nell'allegato VI della convenzione Marpol, sulla base dell'esperienza acquisita nell'attuazione della direttiva (UE) 2016/802 e dello sviluppo e della maturità del monitoraggio e del rilevamento delle emissioni di </w:t>
            </w:r>
            <w:r>
              <w:rPr>
                <w:b/>
                <w:bCs/>
                <w:i/>
                <w:iCs/>
              </w:rPr>
              <w:t>CO2,</w:t>
            </w:r>
            <w:r>
              <w:t xml:space="preserve"> SOx </w:t>
            </w:r>
            <w:r>
              <w:t xml:space="preserve">e NOx delle navi, in modo da garantire un regime di applicazione coerente, efficiente ed efficace, nonché l'imposizione di sanzioni dissuasive, in linea con il piano d'azione per l'inquinamento zero e in particolare con la sua iniziativa faro 5 Rispettare </w:t>
            </w:r>
            <w:r>
              <w:t xml:space="preserve">insieme </w:t>
            </w:r>
            <w:r>
              <w:lastRenderedPageBreak/>
              <w:t>l'obiettivo "inquinamento zero".</w:t>
            </w:r>
          </w:p>
        </w:tc>
      </w:tr>
      <w:tr w:rsidR="006B66BE" w:rsidTr="00586ACF">
        <w:trPr>
          <w:jc w:val="center"/>
        </w:trPr>
        <w:tc>
          <w:tcPr>
            <w:tcW w:w="4876" w:type="dxa"/>
          </w:tcPr>
          <w:p w:rsidR="00D56ECC" w:rsidRPr="00B11CA6" w:rsidRDefault="00C20DB2" w:rsidP="00586ACF">
            <w:pPr>
              <w:pStyle w:val="Normal6a"/>
            </w:pPr>
            <w:r>
              <w:rPr>
                <w:b/>
                <w:i/>
              </w:rPr>
              <w:lastRenderedPageBreak/>
              <w:t>_________________</w:t>
            </w:r>
          </w:p>
        </w:tc>
        <w:tc>
          <w:tcPr>
            <w:tcW w:w="4876" w:type="dxa"/>
          </w:tcPr>
          <w:p w:rsidR="00D56ECC" w:rsidRPr="00B11CA6" w:rsidRDefault="00C20DB2" w:rsidP="00586ACF">
            <w:pPr>
              <w:pStyle w:val="Normal6a"/>
            </w:pPr>
            <w:r>
              <w:rPr>
                <w:b/>
                <w:i/>
              </w:rPr>
              <w:t>_________________</w:t>
            </w:r>
          </w:p>
        </w:tc>
      </w:tr>
      <w:tr w:rsidR="006B66BE" w:rsidTr="00586ACF">
        <w:trPr>
          <w:jc w:val="center"/>
        </w:trPr>
        <w:tc>
          <w:tcPr>
            <w:tcW w:w="4876" w:type="dxa"/>
          </w:tcPr>
          <w:p w:rsidR="00D56ECC" w:rsidRPr="00B11CA6" w:rsidRDefault="00C20DB2" w:rsidP="00586ACF">
            <w:pPr>
              <w:pStyle w:val="Normal6a"/>
            </w:pPr>
            <w:r>
              <w:rPr>
                <w:vertAlign w:val="superscript"/>
              </w:rPr>
              <w:t xml:space="preserve">34 </w:t>
            </w:r>
            <w:r>
              <w:t xml:space="preserve">Direttiva 2008/56/CE del Parlamento europeo e del Consiglio, del 17 giugno 2008, che istituisce un quadro per l'azione comunitaria nel campo della politica per l'ambiente </w:t>
            </w:r>
            <w:r>
              <w:t>marino (direttiva quadro sulla strategia per l'ambiente marino) (GU L 164 del 25.6.2008, pag. 19).</w:t>
            </w:r>
          </w:p>
        </w:tc>
        <w:tc>
          <w:tcPr>
            <w:tcW w:w="4876" w:type="dxa"/>
          </w:tcPr>
          <w:p w:rsidR="00D56ECC" w:rsidRPr="00B11CA6" w:rsidRDefault="00C20DB2" w:rsidP="00586ACF">
            <w:pPr>
              <w:pStyle w:val="Normal6a"/>
            </w:pPr>
            <w:r>
              <w:rPr>
                <w:vertAlign w:val="superscript"/>
              </w:rPr>
              <w:t xml:space="preserve">34 </w:t>
            </w:r>
            <w:r>
              <w:t xml:space="preserve">Direttiva 2008/56/CE del Parlamento europeo e del Consiglio, del 17 giugno 2008, che istituisce un quadro per l'azione comunitaria nel campo della </w:t>
            </w:r>
            <w:r>
              <w:t>politica per l'ambiente marino (direttiva quadro sulla strategia per l'ambiente marino) (GU L 164 del 25.6.2008, pag. 19).</w:t>
            </w:r>
          </w:p>
        </w:tc>
      </w:tr>
      <w:tr w:rsidR="006B66BE" w:rsidTr="00586ACF">
        <w:trPr>
          <w:jc w:val="center"/>
        </w:trPr>
        <w:tc>
          <w:tcPr>
            <w:tcW w:w="4876" w:type="dxa"/>
          </w:tcPr>
          <w:p w:rsidR="00D56ECC" w:rsidRPr="00B11CA6" w:rsidRDefault="00C20DB2" w:rsidP="00586ACF">
            <w:pPr>
              <w:pStyle w:val="Normal6a"/>
            </w:pPr>
            <w:r>
              <w:rPr>
                <w:vertAlign w:val="superscript"/>
              </w:rPr>
              <w:t xml:space="preserve">35 </w:t>
            </w:r>
            <w:r>
              <w:t>GU L xxxx.</w:t>
            </w:r>
          </w:p>
        </w:tc>
        <w:tc>
          <w:tcPr>
            <w:tcW w:w="4876" w:type="dxa"/>
          </w:tcPr>
          <w:p w:rsidR="00D56ECC" w:rsidRPr="00B11CA6" w:rsidRDefault="00C20DB2" w:rsidP="00586ACF">
            <w:pPr>
              <w:pStyle w:val="Normal6a"/>
            </w:pPr>
            <w:r>
              <w:rPr>
                <w:vertAlign w:val="superscript"/>
              </w:rPr>
              <w:t xml:space="preserve">35 </w:t>
            </w:r>
            <w:r>
              <w:t>GU L xxxx.</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17</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w:t>
      </w:r>
      <w:r>
        <w:t>colo 1 – punto 2</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1 – paragrafo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1.</w:t>
            </w:r>
            <w:r>
              <w:tab/>
              <w:t xml:space="preserve">Scopo della presente direttiva è quello di recepire nel diritto dell'Unione le norme </w:t>
            </w:r>
            <w:r>
              <w:t>internazionali in materia di inquinamento provocato dalle navi e di garantire che i responsabili di scarichi illegali di sostanze inquinanti siano soggetti a sanzioni amministrative dissuasive, effettive e proporzionate, al fine di aumentare la sicurezza m</w:t>
            </w:r>
            <w:r>
              <w:t>arittima e migliorare la protezione dell'ambiente marino dall'inquinamento provocato dalle navi.</w:t>
            </w:r>
          </w:p>
        </w:tc>
        <w:tc>
          <w:tcPr>
            <w:tcW w:w="4876" w:type="dxa"/>
          </w:tcPr>
          <w:p w:rsidR="00D56ECC" w:rsidRPr="00B11CA6" w:rsidRDefault="00C20DB2" w:rsidP="00586ACF">
            <w:pPr>
              <w:pStyle w:val="Normal6a"/>
            </w:pPr>
            <w:r>
              <w:t>1.</w:t>
            </w:r>
            <w:r>
              <w:tab/>
              <w:t>Scopo della presente direttiva è quello di recepire nel diritto dell'Unione le norme internazionali in materia di inquinamento provocato dalle navi e di gar</w:t>
            </w:r>
            <w:r>
              <w:t>antire che i responsabili di scarichi illegali di sostanze inquinanti siano soggetti a sanzioni amministrative dissuasive, effettive e proporzionate, al fine di aumentare la sicurezza marittima</w:t>
            </w:r>
            <w:r>
              <w:rPr>
                <w:b/>
                <w:i/>
              </w:rPr>
              <w:t>, contribuire al conseguimento dell'obiettivo di ripristino del</w:t>
            </w:r>
            <w:r>
              <w:rPr>
                <w:b/>
                <w:i/>
              </w:rPr>
              <w:t>la natura, rispettare gli impegni assunti nell'ambito del Green Deal europeo</w:t>
            </w:r>
            <w:r>
              <w:t xml:space="preserve"> e migliorare la protezione dell'ambiente marino dall'inquinamento provocato dalle navi.</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18</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Articolo 1 – punto 3</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2 – comma 1 – punto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lastRenderedPageBreak/>
              <w:t>2.</w:t>
            </w:r>
            <w:r>
              <w:tab/>
              <w:t>"sostanze inquinanti": le sostanze disciplinate dagli allegati I (idrocarburi)</w:t>
            </w:r>
            <w:r>
              <w:t>, II (sostanze liquide nocive trasportate alla rinfusa), III (sostanze nocive trasportate per mare in colli), IV (acque reflue delle navi), V (rifiuti solidi delle navi) della convenzione Marpol 73/78 e i residui dei sistemi di depurazione dei gas di scari</w:t>
            </w:r>
            <w:r>
              <w:t>co;</w:t>
            </w:r>
          </w:p>
        </w:tc>
        <w:tc>
          <w:tcPr>
            <w:tcW w:w="4876" w:type="dxa"/>
          </w:tcPr>
          <w:p w:rsidR="00D56ECC" w:rsidRPr="00B11CA6" w:rsidRDefault="00C20DB2" w:rsidP="00586ACF">
            <w:pPr>
              <w:pStyle w:val="Normal6a"/>
            </w:pPr>
            <w:r>
              <w:t>2.</w:t>
            </w:r>
            <w:r>
              <w:tab/>
              <w:t>"sostanze inquinanti": le sostanze disciplinate dagli allegati I (idrocarburi), II (sostanze liquide nocive trasportate alla rinfusa), III (sostanze nocive trasportate per mare in colli), IV (acque reflue delle navi), V (rifiuti solidi delle navi) d</w:t>
            </w:r>
            <w:r>
              <w:t>ella convenzione Marpol 73/78 e i residui dei sistemi di depurazione dei gas di scarico</w:t>
            </w:r>
            <w:r>
              <w:rPr>
                <w:b/>
                <w:i/>
              </w:rPr>
              <w:t>, nella sua versione aggiornata</w:t>
            </w:r>
            <w:r>
              <w:t>;</w:t>
            </w:r>
          </w:p>
        </w:tc>
      </w:tr>
    </w:tbl>
    <w:p w:rsidR="00D56ECC" w:rsidRPr="00B11CA6" w:rsidRDefault="00C20DB2" w:rsidP="00D56ECC">
      <w:r>
        <w:rPr>
          <w:rStyle w:val="HideTWBExt"/>
        </w:rPr>
        <w:t>&lt;/Amend&gt;</w:t>
      </w:r>
    </w:p>
    <w:p w:rsidR="00D56ECC" w:rsidRPr="00B11CA6" w:rsidRDefault="00C20DB2" w:rsidP="00D56ECC">
      <w:pPr>
        <w:pStyle w:val="AMNumberTabs0"/>
        <w:keepNext/>
      </w:pPr>
      <w:r>
        <w:rPr>
          <w:rStyle w:val="HideTWBExt"/>
          <w:b w:val="0"/>
        </w:rPr>
        <w:t>&lt;Amend&gt;</w:t>
      </w:r>
      <w:r>
        <w:t>Emendamento</w:t>
      </w:r>
      <w:r>
        <w:tab/>
      </w:r>
      <w:r>
        <w:tab/>
      </w:r>
      <w:r>
        <w:rPr>
          <w:rStyle w:val="HideTWBExt"/>
          <w:b w:val="0"/>
        </w:rPr>
        <w:t>&lt;NumAm&gt;</w:t>
      </w:r>
      <w:r>
        <w:t>19</w:t>
      </w:r>
      <w:r>
        <w:rPr>
          <w:rStyle w:val="HideTWBExt"/>
          <w:b w:val="0"/>
        </w:rPr>
        <w:t>&lt;/NumAm&gt;</w:t>
      </w:r>
    </w:p>
    <w:p w:rsidR="00D56ECC" w:rsidRPr="00B11CA6" w:rsidRDefault="00C20DB2" w:rsidP="00D56ECC">
      <w:pPr>
        <w:pStyle w:val="NormalBold12b"/>
        <w:keepNext/>
      </w:pPr>
      <w:r>
        <w:rPr>
          <w:rStyle w:val="HideTWBExt"/>
          <w:b w:val="0"/>
        </w:rPr>
        <w:t>&lt;DocAmend&gt;</w:t>
      </w:r>
      <w:r>
        <w:t>Proposta di direttiva</w:t>
      </w:r>
      <w:r>
        <w:rPr>
          <w:rStyle w:val="HideTWBExt"/>
          <w:b w:val="0"/>
        </w:rPr>
        <w:t>&lt;/DocAmend&gt;</w:t>
      </w:r>
    </w:p>
    <w:p w:rsidR="00D56ECC" w:rsidRPr="00B11CA6" w:rsidRDefault="00C20DB2" w:rsidP="00D56ECC">
      <w:pPr>
        <w:pStyle w:val="NormalBold"/>
      </w:pPr>
      <w:r>
        <w:rPr>
          <w:rStyle w:val="HideTWBExt"/>
          <w:b w:val="0"/>
        </w:rPr>
        <w:t>&lt;Article&gt;</w:t>
      </w:r>
      <w:r>
        <w:t>Articolo 1 – punto 3</w:t>
      </w:r>
      <w:r>
        <w:rPr>
          <w:rStyle w:val="HideTWBExt"/>
          <w:b w:val="0"/>
        </w:rPr>
        <w:t>&lt;/Article&gt;</w:t>
      </w:r>
    </w:p>
    <w:p w:rsidR="00D56ECC" w:rsidRPr="00B11CA6" w:rsidRDefault="00C20DB2" w:rsidP="00D56ECC">
      <w:pPr>
        <w:keepNext/>
      </w:pPr>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2 – comma 1 – punto 6 bis (nuovo)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jc w:val="center"/>
        </w:trPr>
        <w:tc>
          <w:tcPr>
            <w:tcW w:w="9752" w:type="dxa"/>
            <w:gridSpan w:val="2"/>
          </w:tcPr>
          <w:p w:rsidR="00D56ECC" w:rsidRPr="00B11CA6" w:rsidRDefault="00D56ECC" w:rsidP="00586ACF">
            <w:pPr>
              <w:keepNext/>
            </w:pPr>
          </w:p>
        </w:tc>
      </w:tr>
      <w:tr w:rsidR="006B66BE" w:rsidTr="00586ACF">
        <w:trPr>
          <w:jc w:val="center"/>
        </w:trPr>
        <w:tc>
          <w:tcPr>
            <w:tcW w:w="4876" w:type="dxa"/>
            <w:hideMark/>
          </w:tcPr>
          <w:p w:rsidR="00D56ECC" w:rsidRPr="00B11CA6" w:rsidRDefault="00C20DB2" w:rsidP="00586ACF">
            <w:pPr>
              <w:pStyle w:val="ColumnHeading"/>
              <w:keepNext/>
            </w:pPr>
            <w:r>
              <w:t>Testo della Commissione</w:t>
            </w:r>
          </w:p>
        </w:tc>
        <w:tc>
          <w:tcPr>
            <w:tcW w:w="4876" w:type="dxa"/>
            <w:hideMark/>
          </w:tcPr>
          <w:p w:rsidR="00D56ECC" w:rsidRPr="00B11CA6" w:rsidRDefault="00C20DB2" w:rsidP="00586ACF">
            <w:pPr>
              <w:pStyle w:val="ColumnHeading"/>
              <w:keepNext/>
            </w:pPr>
            <w:r>
              <w:t>Emendamento</w:t>
            </w:r>
          </w:p>
        </w:tc>
      </w:tr>
      <w:tr w:rsidR="006B66BE" w:rsidTr="00586ACF">
        <w:trPr>
          <w:jc w:val="center"/>
        </w:trPr>
        <w:tc>
          <w:tcPr>
            <w:tcW w:w="4876" w:type="dxa"/>
          </w:tcPr>
          <w:p w:rsidR="00D56ECC" w:rsidRPr="00B11CA6" w:rsidRDefault="00D56ECC" w:rsidP="00586ACF">
            <w:pPr>
              <w:pStyle w:val="Normal6"/>
            </w:pPr>
          </w:p>
        </w:tc>
        <w:tc>
          <w:tcPr>
            <w:tcW w:w="4876" w:type="dxa"/>
            <w:hideMark/>
          </w:tcPr>
          <w:p w:rsidR="00D56ECC" w:rsidRPr="00B11CA6" w:rsidRDefault="00C20DB2" w:rsidP="00586ACF">
            <w:pPr>
              <w:pStyle w:val="Normal6"/>
              <w:rPr>
                <w:szCs w:val="24"/>
              </w:rPr>
            </w:pPr>
            <w:r>
              <w:rPr>
                <w:b/>
                <w:i/>
              </w:rPr>
              <w:t>6 bis.</w:t>
            </w:r>
            <w:r>
              <w:rPr>
                <w:b/>
                <w:i/>
              </w:rPr>
              <w:tab/>
              <w:t xml:space="preserve">"danno": un danno materiale accidentale che compromette il valore, l'utilità o il normale </w:t>
            </w:r>
            <w:r>
              <w:rPr>
                <w:b/>
                <w:i/>
              </w:rPr>
              <w:t>funzionamento della nave o del suo equipaggiamento, a esclusione della normale usura.</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20</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Articolo 1 – punto 4</w:t>
      </w:r>
      <w:r>
        <w:rPr>
          <w:rStyle w:val="HideTWBExt"/>
        </w:rPr>
        <w:t>&lt;/Article&gt;</w:t>
      </w:r>
    </w:p>
    <w:p w:rsidR="00D56ECC" w:rsidRPr="00B11CA6" w:rsidRDefault="00C20DB2" w:rsidP="00D56ECC">
      <w:r>
        <w:rPr>
          <w:rStyle w:val="HideTWBExt"/>
        </w:rPr>
        <w:t>&lt;DocAmend2&gt;</w:t>
      </w:r>
      <w:r>
        <w:t>Direttiva 2005/35/CE</w:t>
      </w:r>
      <w:r>
        <w:rPr>
          <w:rStyle w:val="HideTWBExt"/>
        </w:rPr>
        <w:t>&lt;/DocAme</w:t>
      </w:r>
      <w:r>
        <w:rPr>
          <w:rStyle w:val="HideTWBExt"/>
        </w:rPr>
        <w:t>nd2&gt;</w:t>
      </w:r>
    </w:p>
    <w:p w:rsidR="00D56ECC" w:rsidRPr="00B11CA6" w:rsidRDefault="00C20DB2" w:rsidP="00D56ECC">
      <w:r>
        <w:rPr>
          <w:rStyle w:val="HideTWBExt"/>
        </w:rPr>
        <w:t>&lt;Article2&gt;</w:t>
      </w:r>
      <w:r>
        <w:t>Articolo 4 – paragrafo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2.</w:t>
            </w:r>
            <w:r>
              <w:tab/>
              <w:t xml:space="preserve">Ciascuno Stato membro adotta le misure necessarie a far sì che le persone fisiche o giuridiche che abbiano commesso una violazione ai sensi del paragrafo 1 siano </w:t>
            </w:r>
            <w:r>
              <w:t>ritenute responsabili.";</w:t>
            </w:r>
          </w:p>
        </w:tc>
        <w:tc>
          <w:tcPr>
            <w:tcW w:w="4876" w:type="dxa"/>
          </w:tcPr>
          <w:p w:rsidR="00D56ECC" w:rsidRPr="00B11CA6" w:rsidRDefault="00C20DB2" w:rsidP="00586ACF">
            <w:pPr>
              <w:pStyle w:val="Normal6a"/>
            </w:pPr>
            <w:r>
              <w:t>2.</w:t>
            </w:r>
            <w:r>
              <w:tab/>
              <w:t xml:space="preserve">Ciascuno Stato membro adotta </w:t>
            </w:r>
            <w:r>
              <w:rPr>
                <w:b/>
                <w:i/>
              </w:rPr>
              <w:t>tutte</w:t>
            </w:r>
            <w:r>
              <w:t xml:space="preserve"> le misure necessarie a far sì che le persone fisiche o giuridiche che abbiano commesso una violazione ai sensi del paragrafo 1 siano ritenute responsabili.";</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w:t>
      </w:r>
      <w:r>
        <w:rPr>
          <w:rStyle w:val="HideTWBExt"/>
        </w:rPr>
        <w:t>m&gt;</w:t>
      </w:r>
      <w:r>
        <w:t>21</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Articolo 1 – punto 5</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lastRenderedPageBreak/>
        <w:t>&lt;Article2&gt;</w:t>
      </w:r>
      <w:r>
        <w:t>Articolo 5 – paragrafo 1 – parte introduttiva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1.</w:t>
            </w:r>
            <w:r>
              <w:tab/>
            </w:r>
            <w:r>
              <w:t>Lo scarico di sostanze inquinanti regolamentate dagli allegati I, II e VI della convenzione Marpol 73/78 nelle aree di cui all'articolo 3, paragrafo 1, lettere c), d) ed e), non è considerato una violazione da parte della società, del comandante o dell'equ</w:t>
            </w:r>
            <w:r>
              <w:t xml:space="preserve">ipaggio se sono soddisfatte </w:t>
            </w:r>
            <w:r>
              <w:rPr>
                <w:b/>
                <w:i/>
              </w:rPr>
              <w:t>entrambe</w:t>
            </w:r>
            <w:r>
              <w:t xml:space="preserve"> le condizioni seguenti:</w:t>
            </w:r>
          </w:p>
        </w:tc>
        <w:tc>
          <w:tcPr>
            <w:tcW w:w="4876" w:type="dxa"/>
          </w:tcPr>
          <w:p w:rsidR="00D56ECC" w:rsidRPr="00B11CA6" w:rsidRDefault="00C20DB2" w:rsidP="00586ACF">
            <w:pPr>
              <w:pStyle w:val="Normal6a"/>
            </w:pPr>
            <w:r>
              <w:t>1.</w:t>
            </w:r>
            <w:r>
              <w:tab/>
              <w:t xml:space="preserve">Lo scarico di sostanze inquinanti regolamentate dagli allegati I, II e VI della convenzione Marpol 73/78 nelle aree di cui all'articolo 3, paragrafo 1, lettere c), d) ed e), non è considerato </w:t>
            </w:r>
            <w:r>
              <w:t xml:space="preserve">una violazione da parte della società, del comandante o dell'equipaggio se </w:t>
            </w:r>
            <w:r>
              <w:rPr>
                <w:b/>
                <w:i/>
              </w:rPr>
              <w:t>si tratta della conseguenza diretta di una causa di forza maggiore.</w:t>
            </w:r>
            <w:r>
              <w:t xml:space="preserve"> </w:t>
            </w:r>
            <w:r>
              <w:rPr>
                <w:b/>
                <w:i/>
              </w:rPr>
              <w:t>Detto scarico è giustificato soltanto se vengono fornite prove inconfutabili</w:t>
            </w:r>
            <w:r>
              <w:t xml:space="preserve"> </w:t>
            </w:r>
            <w:r>
              <w:rPr>
                <w:b/>
                <w:i/>
              </w:rPr>
              <w:t>o se</w:t>
            </w:r>
            <w:r>
              <w:t xml:space="preserve"> sono soddisfatte </w:t>
            </w:r>
            <w:r>
              <w:rPr>
                <w:b/>
                <w:i/>
              </w:rPr>
              <w:t>tutte</w:t>
            </w:r>
            <w:r>
              <w:t xml:space="preserve"> le condi</w:t>
            </w:r>
            <w:r>
              <w:t>zioni seguenti:</w:t>
            </w:r>
          </w:p>
        </w:tc>
      </w:tr>
    </w:tbl>
    <w:p w:rsidR="00D56ECC" w:rsidRPr="00B11CA6" w:rsidRDefault="00C20DB2" w:rsidP="00D56ECC">
      <w:pPr>
        <w:pStyle w:val="AmJustTitle"/>
      </w:pPr>
      <w:r>
        <w:rPr>
          <w:rStyle w:val="HideTWBExt"/>
        </w:rPr>
        <w:t>&lt;TitreJust&gt;</w:t>
      </w:r>
      <w:r>
        <w:t>Motivazione</w:t>
      </w:r>
      <w:r>
        <w:rPr>
          <w:rStyle w:val="HideTWBExt"/>
        </w:rPr>
        <w:t>&lt;/TitreJust&gt;</w:t>
      </w:r>
    </w:p>
    <w:p w:rsidR="00D56ECC" w:rsidRPr="00B11CA6" w:rsidRDefault="00C20DB2" w:rsidP="00D56ECC">
      <w:pPr>
        <w:pStyle w:val="AmJustText"/>
      </w:pPr>
      <w:r>
        <w:t xml:space="preserve">Ad esempio possono verificarsi incidenti di navigazione imprevisti, collisioni con altre navi o incidenti che coinvolgono ostacoli sottomarini, come container o detriti sommersi, e che provocano danni </w:t>
      </w:r>
      <w:r>
        <w:t>all'equipaggiamento della nave, comportando scarichi inquinanti accidentali. In questi casi, la società della nave, il comandante o l'equipaggio possono essere esentati dalla responsabilità se sono in grado di dimostrare di avere adottato tutte le precauzi</w:t>
      </w:r>
      <w:r>
        <w:t>oni ragionevoli per prevenire o ridurre al minimo lo scarico al momento dell'incidente.</w:t>
      </w:r>
    </w:p>
    <w:p w:rsidR="00D56ECC" w:rsidRPr="00B11CA6" w:rsidRDefault="00C20DB2" w:rsidP="00D56ECC">
      <w:pPr>
        <w:pStyle w:val="AmJustText"/>
      </w:pPr>
      <w:r>
        <w:t>Inoltre possono verificarsi condizioni climatiche estreme e impreviste, situazioni in cui sono necessarie risposte alle crisi o interventi di emergenza, ecc.</w:t>
      </w:r>
    </w:p>
    <w:p w:rsidR="00D56ECC" w:rsidRPr="00B11CA6" w:rsidRDefault="00C20DB2" w:rsidP="00D56ECC">
      <w:r>
        <w:rPr>
          <w:rStyle w:val="HideTWBExt"/>
        </w:rPr>
        <w:t>&lt;/Amend&gt;</w:t>
      </w:r>
    </w:p>
    <w:p w:rsidR="00D56ECC" w:rsidRPr="00B11CA6" w:rsidRDefault="00C20DB2" w:rsidP="00D56ECC">
      <w:pPr>
        <w:pStyle w:val="AmNumberTabs"/>
      </w:pPr>
      <w:r>
        <w:rPr>
          <w:rStyle w:val="HideTWBExt"/>
        </w:rPr>
        <w:t>&lt;</w:t>
      </w:r>
      <w:r>
        <w:rPr>
          <w:rStyle w:val="HideTWBExt"/>
        </w:rPr>
        <w:t>Amend&gt;</w:t>
      </w:r>
      <w:r>
        <w:t>Emendamento</w:t>
      </w:r>
      <w:r>
        <w:tab/>
      </w:r>
      <w:r>
        <w:tab/>
      </w:r>
      <w:r>
        <w:rPr>
          <w:rStyle w:val="HideTWBExt"/>
        </w:rPr>
        <w:t>&lt;NumAm&gt;</w:t>
      </w:r>
      <w:r>
        <w:t>22</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Articolo 1 – punto 5</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5 – paragrafo 1 – lettera b bis (nuova)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w:t>
            </w:r>
            <w:r>
              <w:t>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D56ECC" w:rsidP="00586ACF">
            <w:pPr>
              <w:pStyle w:val="Normal6a"/>
            </w:pPr>
          </w:p>
        </w:tc>
        <w:tc>
          <w:tcPr>
            <w:tcW w:w="4876" w:type="dxa"/>
          </w:tcPr>
          <w:p w:rsidR="00D56ECC" w:rsidRPr="00B11CA6" w:rsidRDefault="00C20DB2" w:rsidP="00586ACF">
            <w:pPr>
              <w:pStyle w:val="Normal6a"/>
            </w:pPr>
            <w:r>
              <w:rPr>
                <w:b/>
                <w:i/>
              </w:rPr>
              <w:t>b bis)</w:t>
            </w:r>
            <w:r>
              <w:tab/>
            </w:r>
            <w:r>
              <w:rPr>
                <w:b/>
                <w:i/>
              </w:rPr>
              <w:t>lo scarico è stato segnalato alle autorità non appena si è verificato.</w:t>
            </w:r>
          </w:p>
        </w:tc>
      </w:tr>
    </w:tbl>
    <w:p w:rsidR="00D56ECC" w:rsidRPr="00B11CA6" w:rsidRDefault="00C20DB2" w:rsidP="00D56ECC">
      <w:r>
        <w:rPr>
          <w:rStyle w:val="HideTWBExt"/>
        </w:rPr>
        <w:t>&lt;/Amend&gt;</w:t>
      </w:r>
    </w:p>
    <w:p w:rsidR="00D56ECC" w:rsidRPr="00B11CA6" w:rsidRDefault="00C20DB2" w:rsidP="00D56ECC">
      <w:pPr>
        <w:pStyle w:val="AMNumberTabs0"/>
        <w:keepNext/>
      </w:pPr>
      <w:r>
        <w:rPr>
          <w:rStyle w:val="HideTWBExt"/>
          <w:b w:val="0"/>
        </w:rPr>
        <w:t>&lt;Amend&gt;</w:t>
      </w:r>
      <w:r>
        <w:t>Emendamento</w:t>
      </w:r>
      <w:r>
        <w:tab/>
      </w:r>
      <w:r>
        <w:tab/>
      </w:r>
      <w:r>
        <w:rPr>
          <w:rStyle w:val="HideTWBExt"/>
          <w:b w:val="0"/>
        </w:rPr>
        <w:t>&lt;NumAm&gt;</w:t>
      </w:r>
      <w:r>
        <w:t>23</w:t>
      </w:r>
      <w:r>
        <w:rPr>
          <w:rStyle w:val="HideTWBExt"/>
          <w:b w:val="0"/>
        </w:rPr>
        <w:t>&lt;/NumAm&gt;</w:t>
      </w:r>
    </w:p>
    <w:p w:rsidR="00D56ECC" w:rsidRPr="00B11CA6" w:rsidRDefault="00C20DB2" w:rsidP="00D56ECC">
      <w:pPr>
        <w:pStyle w:val="NormalBold12b"/>
        <w:keepNext/>
      </w:pPr>
      <w:r>
        <w:rPr>
          <w:rStyle w:val="HideTWBExt"/>
          <w:b w:val="0"/>
        </w:rPr>
        <w:t>&lt;DocAmend&gt;</w:t>
      </w:r>
      <w:r>
        <w:t>Proposta di direttiva</w:t>
      </w:r>
      <w:r>
        <w:rPr>
          <w:rStyle w:val="HideTWBExt"/>
          <w:b w:val="0"/>
        </w:rPr>
        <w:t>&lt;/DocAmend&gt;</w:t>
      </w:r>
    </w:p>
    <w:p w:rsidR="00D56ECC" w:rsidRPr="00B11CA6" w:rsidRDefault="00C20DB2" w:rsidP="00D56ECC">
      <w:pPr>
        <w:pStyle w:val="NormalBold"/>
      </w:pPr>
      <w:r>
        <w:rPr>
          <w:rStyle w:val="HideTWBExt"/>
          <w:b w:val="0"/>
        </w:rPr>
        <w:t>&lt;Article&gt;</w:t>
      </w:r>
      <w:r>
        <w:t>Articolo 1 – punto 5</w:t>
      </w:r>
      <w:r>
        <w:rPr>
          <w:rStyle w:val="HideTWBExt"/>
          <w:b w:val="0"/>
        </w:rPr>
        <w:t>&lt;/Article&gt;</w:t>
      </w:r>
    </w:p>
    <w:p w:rsidR="00D56ECC" w:rsidRPr="00B11CA6" w:rsidRDefault="00C20DB2" w:rsidP="00D56ECC">
      <w:pPr>
        <w:keepNext/>
      </w:pPr>
      <w:r>
        <w:rPr>
          <w:rStyle w:val="HideTWBExt"/>
        </w:rPr>
        <w:lastRenderedPageBreak/>
        <w:t>&lt;DocAmend2&gt;</w:t>
      </w:r>
      <w:r>
        <w:t xml:space="preserve">Direttiva </w:t>
      </w:r>
      <w:r>
        <w:t>2005/35/CE</w:t>
      </w:r>
      <w:r>
        <w:rPr>
          <w:rStyle w:val="HideTWBExt"/>
        </w:rPr>
        <w:t>&lt;/DocAmend2&gt;</w:t>
      </w:r>
    </w:p>
    <w:p w:rsidR="00D56ECC" w:rsidRPr="00B11CA6" w:rsidRDefault="00C20DB2" w:rsidP="00D56ECC">
      <w:r>
        <w:rPr>
          <w:rStyle w:val="HideTWBExt"/>
        </w:rPr>
        <w:t>&lt;Article2&gt;</w:t>
      </w:r>
      <w:r>
        <w:t>Articolo 5 – paragrafo 1 – lettera b ter (nuova)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jc w:val="center"/>
        </w:trPr>
        <w:tc>
          <w:tcPr>
            <w:tcW w:w="9752" w:type="dxa"/>
            <w:gridSpan w:val="2"/>
          </w:tcPr>
          <w:p w:rsidR="00D56ECC" w:rsidRPr="00B11CA6" w:rsidRDefault="00D56ECC" w:rsidP="00586ACF">
            <w:pPr>
              <w:keepNext/>
            </w:pPr>
          </w:p>
        </w:tc>
      </w:tr>
      <w:tr w:rsidR="006B66BE" w:rsidTr="00586ACF">
        <w:trPr>
          <w:jc w:val="center"/>
        </w:trPr>
        <w:tc>
          <w:tcPr>
            <w:tcW w:w="4876" w:type="dxa"/>
            <w:hideMark/>
          </w:tcPr>
          <w:p w:rsidR="00D56ECC" w:rsidRPr="00B11CA6" w:rsidRDefault="00C20DB2" w:rsidP="00586ACF">
            <w:pPr>
              <w:pStyle w:val="ColumnHeading"/>
              <w:keepNext/>
            </w:pPr>
            <w:r>
              <w:t>Testo della Commissione</w:t>
            </w:r>
          </w:p>
        </w:tc>
        <w:tc>
          <w:tcPr>
            <w:tcW w:w="4876" w:type="dxa"/>
            <w:hideMark/>
          </w:tcPr>
          <w:p w:rsidR="00D56ECC" w:rsidRPr="00B11CA6" w:rsidRDefault="00C20DB2" w:rsidP="00586ACF">
            <w:pPr>
              <w:pStyle w:val="ColumnHeading"/>
              <w:keepNext/>
            </w:pPr>
            <w:r>
              <w:t>Emendamento</w:t>
            </w:r>
          </w:p>
        </w:tc>
      </w:tr>
      <w:tr w:rsidR="006B66BE" w:rsidTr="00586ACF">
        <w:trPr>
          <w:jc w:val="center"/>
        </w:trPr>
        <w:tc>
          <w:tcPr>
            <w:tcW w:w="4876" w:type="dxa"/>
          </w:tcPr>
          <w:p w:rsidR="00D56ECC" w:rsidRPr="00B11CA6" w:rsidRDefault="00D56ECC" w:rsidP="00586ACF">
            <w:pPr>
              <w:pStyle w:val="Normal6"/>
            </w:pPr>
          </w:p>
        </w:tc>
        <w:tc>
          <w:tcPr>
            <w:tcW w:w="4876" w:type="dxa"/>
            <w:hideMark/>
          </w:tcPr>
          <w:p w:rsidR="00D56ECC" w:rsidRPr="00B11CA6" w:rsidRDefault="00C20DB2" w:rsidP="00586ACF">
            <w:pPr>
              <w:pStyle w:val="Normal6"/>
              <w:rPr>
                <w:szCs w:val="24"/>
              </w:rPr>
            </w:pPr>
            <w:r>
              <w:rPr>
                <w:b/>
                <w:i/>
              </w:rPr>
              <w:t>b ter)</w:t>
            </w:r>
            <w:r>
              <w:rPr>
                <w:b/>
                <w:i/>
              </w:rPr>
              <w:tab/>
              <w:t xml:space="preserve">la società, il comandante o l'equipaggio forniscono, su richiesta delle autorità pertinenti, prove documentali o </w:t>
            </w:r>
            <w:r>
              <w:rPr>
                <w:b/>
                <w:i/>
              </w:rPr>
              <w:t>registri che illustrino nel dettaglio le precauzioni adottate per prevenire o ridurre al minimo lo scarico.</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24</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Articolo 1 – punto 5</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5 – paragrafo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2.</w:t>
            </w:r>
            <w:r>
              <w:tab/>
              <w:t>Il paragrafo 1 non si applica se la società, il comandante o l'equipaggio responsabili dell'avaria hanno agito con l'intenzione di prov</w:t>
            </w:r>
            <w:r>
              <w:t>ocarla o incautamente e con la consapevolezza che l'avaria sarebbe probabilmente avvenuta.";</w:t>
            </w:r>
          </w:p>
        </w:tc>
        <w:tc>
          <w:tcPr>
            <w:tcW w:w="4876" w:type="dxa"/>
          </w:tcPr>
          <w:p w:rsidR="00D56ECC" w:rsidRPr="00B11CA6" w:rsidRDefault="00C20DB2" w:rsidP="00586ACF">
            <w:pPr>
              <w:pStyle w:val="Normal6a"/>
            </w:pPr>
            <w:r>
              <w:t>2.</w:t>
            </w:r>
            <w:r>
              <w:tab/>
              <w:t xml:space="preserve">Il paragrafo 1 non si applica se la società, il comandante o l'equipaggio responsabili dell'avaria hanno agito con l'intenzione di provocarla </w:t>
            </w:r>
            <w:r>
              <w:rPr>
                <w:b/>
                <w:i/>
              </w:rPr>
              <w:t>per negligenza</w:t>
            </w:r>
            <w:r>
              <w:t xml:space="preserve"> o i</w:t>
            </w:r>
            <w:r>
              <w:t xml:space="preserve">ncautamente e con la consapevolezza che l'avaria sarebbe probabilmente avvenuta. </w:t>
            </w:r>
            <w:r>
              <w:rPr>
                <w:b/>
                <w:i/>
              </w:rPr>
              <w:t>Ciò include agire contro le norme di sicurezza e le migliori prassi, e soprattutto ignorare gli avvertimenti, quando è dimostrato che i rischi sono stati assunti con piena con</w:t>
            </w:r>
            <w:r>
              <w:rPr>
                <w:b/>
                <w:i/>
              </w:rPr>
              <w:t>sapevolezza del pericolo.</w:t>
            </w:r>
            <w:r>
              <w:t>";</w:t>
            </w:r>
          </w:p>
        </w:tc>
      </w:tr>
    </w:tbl>
    <w:p w:rsidR="00D56ECC" w:rsidRPr="00B11CA6" w:rsidRDefault="00C20DB2" w:rsidP="00D56ECC">
      <w:r>
        <w:rPr>
          <w:rStyle w:val="HideTWBExt"/>
        </w:rPr>
        <w:t>&lt;/Amend&gt;</w:t>
      </w:r>
    </w:p>
    <w:p w:rsidR="00D56ECC" w:rsidRPr="00B11CA6" w:rsidRDefault="00C20DB2" w:rsidP="00D56ECC">
      <w:pPr>
        <w:pStyle w:val="AMNumberTabs0"/>
        <w:keepNext/>
      </w:pPr>
      <w:r>
        <w:rPr>
          <w:rStyle w:val="HideTWBExt"/>
          <w:b w:val="0"/>
        </w:rPr>
        <w:t>&lt;Amend&gt;</w:t>
      </w:r>
      <w:r>
        <w:t>Emendamento</w:t>
      </w:r>
      <w:r>
        <w:tab/>
      </w:r>
      <w:r>
        <w:tab/>
      </w:r>
      <w:r>
        <w:rPr>
          <w:rStyle w:val="HideTWBExt"/>
          <w:b w:val="0"/>
        </w:rPr>
        <w:t>&lt;NumAm&gt;</w:t>
      </w:r>
      <w:r>
        <w:t>25</w:t>
      </w:r>
      <w:r>
        <w:rPr>
          <w:rStyle w:val="HideTWBExt"/>
          <w:b w:val="0"/>
        </w:rPr>
        <w:t>&lt;/NumAm&gt;</w:t>
      </w:r>
    </w:p>
    <w:p w:rsidR="00D56ECC" w:rsidRPr="00B11CA6" w:rsidRDefault="00C20DB2" w:rsidP="00D56ECC">
      <w:pPr>
        <w:pStyle w:val="NormalBold12b"/>
        <w:keepNext/>
      </w:pPr>
      <w:r>
        <w:rPr>
          <w:rStyle w:val="HideTWBExt"/>
          <w:b w:val="0"/>
        </w:rPr>
        <w:t>&lt;DocAmend&gt;</w:t>
      </w:r>
      <w:r>
        <w:t>Proposta di direttiva</w:t>
      </w:r>
      <w:r>
        <w:rPr>
          <w:rStyle w:val="HideTWBExt"/>
          <w:b w:val="0"/>
        </w:rPr>
        <w:t>&lt;/DocAmend&gt;</w:t>
      </w:r>
    </w:p>
    <w:p w:rsidR="00D56ECC" w:rsidRPr="00B11CA6" w:rsidRDefault="00C20DB2" w:rsidP="00D56ECC">
      <w:pPr>
        <w:pStyle w:val="NormalBold"/>
      </w:pPr>
      <w:r>
        <w:rPr>
          <w:rStyle w:val="HideTWBExt"/>
          <w:b w:val="0"/>
        </w:rPr>
        <w:t>&lt;Article&gt;</w:t>
      </w:r>
      <w:r>
        <w:t>Articolo 1 – punto 9</w:t>
      </w:r>
      <w:r>
        <w:rPr>
          <w:rStyle w:val="HideTWBExt"/>
          <w:b w:val="0"/>
        </w:rPr>
        <w:t>&lt;/Article&gt;</w:t>
      </w:r>
    </w:p>
    <w:p w:rsidR="00D56ECC" w:rsidRPr="00B11CA6" w:rsidRDefault="00C20DB2" w:rsidP="00D56ECC">
      <w:pPr>
        <w:keepNext/>
      </w:pPr>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8 – paragrafo 3 bis (nuovo)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jc w:val="center"/>
        </w:trPr>
        <w:tc>
          <w:tcPr>
            <w:tcW w:w="9752" w:type="dxa"/>
            <w:gridSpan w:val="2"/>
          </w:tcPr>
          <w:p w:rsidR="00D56ECC" w:rsidRPr="00B11CA6" w:rsidRDefault="00D56ECC" w:rsidP="00586ACF">
            <w:pPr>
              <w:keepNext/>
            </w:pPr>
          </w:p>
        </w:tc>
      </w:tr>
      <w:tr w:rsidR="006B66BE" w:rsidTr="00586ACF">
        <w:trPr>
          <w:jc w:val="center"/>
        </w:trPr>
        <w:tc>
          <w:tcPr>
            <w:tcW w:w="4876" w:type="dxa"/>
            <w:hideMark/>
          </w:tcPr>
          <w:p w:rsidR="00D56ECC" w:rsidRPr="00B11CA6" w:rsidRDefault="00C20DB2" w:rsidP="00586ACF">
            <w:pPr>
              <w:pStyle w:val="ColumnHeading"/>
              <w:keepNext/>
            </w:pPr>
            <w:r>
              <w:t>Testo della Commissione</w:t>
            </w:r>
          </w:p>
        </w:tc>
        <w:tc>
          <w:tcPr>
            <w:tcW w:w="4876" w:type="dxa"/>
            <w:hideMark/>
          </w:tcPr>
          <w:p w:rsidR="00D56ECC" w:rsidRPr="00B11CA6" w:rsidRDefault="00C20DB2" w:rsidP="00586ACF">
            <w:pPr>
              <w:pStyle w:val="ColumnHeading"/>
              <w:keepNext/>
            </w:pPr>
            <w:r>
              <w:t>Emendamento</w:t>
            </w:r>
          </w:p>
        </w:tc>
      </w:tr>
      <w:tr w:rsidR="006B66BE" w:rsidTr="00586ACF">
        <w:trPr>
          <w:jc w:val="center"/>
        </w:trPr>
        <w:tc>
          <w:tcPr>
            <w:tcW w:w="4876" w:type="dxa"/>
          </w:tcPr>
          <w:p w:rsidR="00D56ECC" w:rsidRPr="00B11CA6" w:rsidRDefault="00D56ECC" w:rsidP="00586ACF">
            <w:pPr>
              <w:pStyle w:val="Normal6"/>
            </w:pPr>
          </w:p>
        </w:tc>
        <w:tc>
          <w:tcPr>
            <w:tcW w:w="4876" w:type="dxa"/>
            <w:hideMark/>
          </w:tcPr>
          <w:p w:rsidR="00D56ECC" w:rsidRPr="00B11CA6" w:rsidRDefault="00C20DB2" w:rsidP="00586ACF">
            <w:pPr>
              <w:pStyle w:val="Normal6"/>
              <w:rPr>
                <w:szCs w:val="24"/>
              </w:rPr>
            </w:pPr>
            <w:r>
              <w:rPr>
                <w:b/>
                <w:i/>
              </w:rPr>
              <w:t>3 bis.</w:t>
            </w:r>
            <w:r>
              <w:rPr>
                <w:b/>
                <w:i/>
              </w:rPr>
              <w:tab/>
              <w:t xml:space="preserve">Gli Stati membri sono invitati a includere programmi di istruzione e formazione nel sistema di sanzioni, assicurandosi che gli operatori della </w:t>
            </w:r>
            <w:r>
              <w:rPr>
                <w:b/>
                <w:i/>
              </w:rPr>
              <w:lastRenderedPageBreak/>
              <w:t>pesca, i comandanti e gli equipaggi siano a conoscenza</w:t>
            </w:r>
            <w:r>
              <w:rPr>
                <w:b/>
                <w:i/>
              </w:rPr>
              <w:t xml:space="preserve"> delle migliori prassi e dell'importanza della conformità.</w:t>
            </w:r>
          </w:p>
        </w:tc>
      </w:tr>
    </w:tbl>
    <w:p w:rsidR="00D56ECC" w:rsidRPr="00B11CA6" w:rsidRDefault="00C20DB2" w:rsidP="00D56ECC">
      <w:r>
        <w:rPr>
          <w:rStyle w:val="HideTWBExt"/>
        </w:rPr>
        <w:lastRenderedPageBreak/>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26</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Articolo 1 – punto 13</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 xml:space="preserve">Articolo 8 </w:t>
      </w:r>
      <w:r>
        <w:t>quinquies – paragrafo 1 – lettera a bis (nuova)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D56ECC" w:rsidP="00586ACF">
            <w:pPr>
              <w:pStyle w:val="Normal6a"/>
            </w:pPr>
          </w:p>
        </w:tc>
        <w:tc>
          <w:tcPr>
            <w:tcW w:w="4876" w:type="dxa"/>
          </w:tcPr>
          <w:p w:rsidR="00D56ECC" w:rsidRPr="00B11CA6" w:rsidRDefault="00C20DB2" w:rsidP="00586ACF">
            <w:pPr>
              <w:pStyle w:val="Normal6a"/>
            </w:pPr>
            <w:r>
              <w:rPr>
                <w:b/>
                <w:i/>
              </w:rPr>
              <w:t>a bis)</w:t>
            </w:r>
            <w:r>
              <w:tab/>
            </w:r>
            <w:r>
              <w:rPr>
                <w:b/>
                <w:i/>
              </w:rPr>
              <w:t>il contenuto e la quantità dei rifiuti scaricati, come fattori aggravanti;</w:t>
            </w:r>
          </w:p>
        </w:tc>
      </w:tr>
    </w:tbl>
    <w:p w:rsidR="00D56ECC" w:rsidRPr="00B11CA6" w:rsidRDefault="00C20DB2" w:rsidP="00D56ECC">
      <w:pPr>
        <w:pStyle w:val="AmJustTitle"/>
      </w:pPr>
      <w:r>
        <w:rPr>
          <w:rStyle w:val="HideTWBExt"/>
        </w:rPr>
        <w:t>&lt;TitreJust&gt;</w:t>
      </w:r>
      <w:r>
        <w:t>Motivazione</w:t>
      </w:r>
      <w:r>
        <w:rPr>
          <w:rStyle w:val="HideTWBExt"/>
        </w:rPr>
        <w:t>&lt;/TitreJust&gt;</w:t>
      </w:r>
    </w:p>
    <w:p w:rsidR="00D56ECC" w:rsidRPr="00B11CA6" w:rsidRDefault="00C20DB2" w:rsidP="00D56ECC">
      <w:pPr>
        <w:pStyle w:val="AmJustText"/>
      </w:pPr>
      <w:r>
        <w:t xml:space="preserve">Gli Stati membri sono incoraggiati a </w:t>
      </w:r>
      <w:r>
        <w:t>commisurare le sanzioni al contenuto specifico dei rifiuti scaricati e a operare una distinzione tra le diverse categorie di rifiuti, applicando le sanzioni più rigorose allo scarico illecito di materiali che comportano un maggiore rischio ambientale.</w:t>
      </w:r>
    </w:p>
    <w:p w:rsidR="00D56ECC" w:rsidRPr="00B11CA6" w:rsidRDefault="00C20DB2" w:rsidP="00D56ECC">
      <w:pPr>
        <w:pStyle w:val="AmJustText"/>
      </w:pPr>
      <w:r>
        <w:t xml:space="preserve">Gli </w:t>
      </w:r>
      <w:r>
        <w:t xml:space="preserve">Stati membri dovrebbero creare categorie di sanzioni basate sul volume o sulla quantità di rifiuti scaricati. Agli scarichi più limitati dovrebbero essere applicate sanzioni inferiori, mentre gli scarichi più ampi o più significativi dovrebbero comportare </w:t>
      </w:r>
      <w:r>
        <w:t>sanzioni più rigorose.</w:t>
      </w:r>
    </w:p>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27</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Articolo 1 – punto 13</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 xml:space="preserve">Articolo 8 quinquies – paragrafo 1 – lettera a </w:t>
      </w:r>
      <w:r>
        <w:t>ter (nuova)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D56ECC" w:rsidP="00586ACF">
            <w:pPr>
              <w:pStyle w:val="Normal6a"/>
            </w:pPr>
          </w:p>
        </w:tc>
        <w:tc>
          <w:tcPr>
            <w:tcW w:w="4876" w:type="dxa"/>
          </w:tcPr>
          <w:p w:rsidR="00D56ECC" w:rsidRPr="00B11CA6" w:rsidRDefault="00C20DB2" w:rsidP="00586ACF">
            <w:pPr>
              <w:pStyle w:val="Normal6a"/>
            </w:pPr>
            <w:r>
              <w:rPr>
                <w:b/>
                <w:i/>
              </w:rPr>
              <w:t>a ter)</w:t>
            </w:r>
            <w:r>
              <w:tab/>
            </w:r>
            <w:r>
              <w:rPr>
                <w:b/>
                <w:i/>
              </w:rPr>
              <w:t>la categoria di grandezza della nave;</w:t>
            </w:r>
          </w:p>
        </w:tc>
      </w:tr>
    </w:tbl>
    <w:p w:rsidR="00D56ECC" w:rsidRPr="00B11CA6" w:rsidRDefault="00C20DB2" w:rsidP="00D56ECC">
      <w:pPr>
        <w:pStyle w:val="AmJustTitle"/>
      </w:pPr>
      <w:r>
        <w:rPr>
          <w:rStyle w:val="HideTWBExt"/>
        </w:rPr>
        <w:t>&lt;TitreJust&gt;</w:t>
      </w:r>
      <w:r>
        <w:t>Motivazione</w:t>
      </w:r>
      <w:r>
        <w:rPr>
          <w:rStyle w:val="HideTWBExt"/>
        </w:rPr>
        <w:t>&lt;/TitreJust&gt;</w:t>
      </w:r>
    </w:p>
    <w:p w:rsidR="00D56ECC" w:rsidRPr="00B11CA6" w:rsidRDefault="00C20DB2" w:rsidP="00D56ECC">
      <w:pPr>
        <w:pStyle w:val="AmJustText"/>
      </w:pPr>
      <w:r>
        <w:t>Gli Stati membri sono incoraggiati a introdurre una struttura di sanzioni a più livelli, in virtù della quale le</w:t>
      </w:r>
      <w:r>
        <w:t xml:space="preserve"> multe o le sanzioni aumentano in base alle dimensioni della nave. Per reati analoghi, le navi più grandi potrebbero ricevere multe maggiori rispetto alle navi più piccole.</w:t>
      </w:r>
    </w:p>
    <w:p w:rsidR="00D56ECC" w:rsidRPr="00B11CA6" w:rsidRDefault="00C20DB2" w:rsidP="00D56ECC">
      <w:r>
        <w:rPr>
          <w:rStyle w:val="HideTWBExt"/>
        </w:rPr>
        <w:t>&lt;/Amend&gt;</w:t>
      </w:r>
    </w:p>
    <w:p w:rsidR="00D56ECC" w:rsidRPr="00B11CA6" w:rsidRDefault="00C20DB2" w:rsidP="00D56ECC">
      <w:pPr>
        <w:pStyle w:val="AmNumberTabs"/>
      </w:pPr>
      <w:r>
        <w:rPr>
          <w:rStyle w:val="HideTWBExt"/>
        </w:rPr>
        <w:lastRenderedPageBreak/>
        <w:t>&lt;Amend&gt;</w:t>
      </w:r>
      <w:r>
        <w:t>Emendamento</w:t>
      </w:r>
      <w:r>
        <w:tab/>
      </w:r>
      <w:r>
        <w:tab/>
      </w:r>
      <w:r>
        <w:rPr>
          <w:rStyle w:val="HideTWBExt"/>
        </w:rPr>
        <w:t>&lt;NumAm&gt;</w:t>
      </w:r>
      <w:r>
        <w:t>28</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w:t>
      </w:r>
      <w:r>
        <w:rPr>
          <w:rStyle w:val="HideTWBExt"/>
        </w:rPr>
        <w:t>Amend&gt;</w:t>
      </w:r>
    </w:p>
    <w:p w:rsidR="00D56ECC" w:rsidRPr="00B11CA6" w:rsidRDefault="00C20DB2" w:rsidP="00D56ECC">
      <w:pPr>
        <w:pStyle w:val="NormalBold"/>
      </w:pPr>
      <w:r>
        <w:rPr>
          <w:rStyle w:val="HideTWBExt"/>
        </w:rPr>
        <w:t>&lt;Article&gt;</w:t>
      </w:r>
      <w:r>
        <w:t>Articolo 1 – punto 13</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8 quinquies – paragrafo 1 – lettera c</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c)</w:t>
            </w:r>
            <w:r>
              <w:tab/>
              <w:t xml:space="preserve">i danni causati dallo scarico all'ambiente o alla </w:t>
            </w:r>
            <w:r>
              <w:t>salute umana;</w:t>
            </w:r>
          </w:p>
        </w:tc>
        <w:tc>
          <w:tcPr>
            <w:tcW w:w="4876" w:type="dxa"/>
          </w:tcPr>
          <w:p w:rsidR="00D56ECC" w:rsidRPr="00B11CA6" w:rsidRDefault="00C20DB2" w:rsidP="00586ACF">
            <w:pPr>
              <w:pStyle w:val="Normal6a"/>
            </w:pPr>
            <w:r>
              <w:t>c)</w:t>
            </w:r>
            <w:r>
              <w:tab/>
              <w:t>i danni causati dallo scarico all'ambiente o alla salute umana</w:t>
            </w:r>
            <w:r>
              <w:rPr>
                <w:b/>
                <w:i/>
              </w:rPr>
              <w:t>, la valutazione dell'impatto ambientale e il costo del risanamento ambientale</w:t>
            </w:r>
            <w:r>
              <w:t>;</w:t>
            </w:r>
          </w:p>
        </w:tc>
      </w:tr>
    </w:tbl>
    <w:p w:rsidR="00D56ECC" w:rsidRPr="00B11CA6" w:rsidRDefault="00C20DB2" w:rsidP="00D56ECC">
      <w:pPr>
        <w:pStyle w:val="AmJustTitle"/>
      </w:pPr>
      <w:r>
        <w:rPr>
          <w:rStyle w:val="HideTWBExt"/>
        </w:rPr>
        <w:t>&lt;TitreJust&gt;</w:t>
      </w:r>
      <w:r>
        <w:t>Motivazione</w:t>
      </w:r>
      <w:r>
        <w:rPr>
          <w:rStyle w:val="HideTWBExt"/>
        </w:rPr>
        <w:t>&lt;/TitreJust&gt;</w:t>
      </w:r>
    </w:p>
    <w:p w:rsidR="00D56ECC" w:rsidRPr="00B11CA6" w:rsidRDefault="00C20DB2" w:rsidP="00D56ECC">
      <w:pPr>
        <w:pStyle w:val="AmJustText"/>
      </w:pPr>
      <w:r>
        <w:t>Gli Stati membri sono incoraggiati a valutare l'impatto ambie</w:t>
      </w:r>
      <w:r>
        <w:t>ntale del reato, tenendo conto di fattori quali la sensibilità dell'ecosistema locale e i potenziali danni alla fauna selvatica e alle aree costiere, e ad adeguare le sanzioni in base alla gravità dell'impatto ambientale, con particolare attenzione alla mi</w:t>
      </w:r>
      <w:r>
        <w:t>tigazione e al ripristino degli ecosistemi colpiti.</w:t>
      </w:r>
    </w:p>
    <w:p w:rsidR="00D56ECC" w:rsidRPr="00B11CA6" w:rsidRDefault="00C20DB2" w:rsidP="00D56ECC">
      <w:pPr>
        <w:pStyle w:val="AmJustText"/>
      </w:pPr>
      <w:r>
        <w:t>Le sanzioni dovrebbero coprire le spese necessarie per rimediare al danno ambientale causato dallo scarico illecito, garantendo che chi inquina si assuma la responsabilità finanziaria degli sforzi di boni</w:t>
      </w:r>
      <w:r>
        <w:t>fica e risanamento.</w:t>
      </w:r>
    </w:p>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29</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Articolo 1 – punto 13</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 xml:space="preserve">Articolo 8 quinquies – paragrafo 1 – lettera f bis </w:t>
      </w:r>
      <w:r>
        <w:t>(nuova)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D56ECC" w:rsidP="00586ACF">
            <w:pPr>
              <w:pStyle w:val="Normal6a"/>
            </w:pPr>
          </w:p>
        </w:tc>
        <w:tc>
          <w:tcPr>
            <w:tcW w:w="4876" w:type="dxa"/>
          </w:tcPr>
          <w:p w:rsidR="00D56ECC" w:rsidRPr="00B11CA6" w:rsidRDefault="00C20DB2" w:rsidP="00586ACF">
            <w:pPr>
              <w:pStyle w:val="Normal6a"/>
            </w:pPr>
            <w:r>
              <w:rPr>
                <w:b/>
                <w:i/>
              </w:rPr>
              <w:t>f bis)</w:t>
            </w:r>
            <w:r>
              <w:tab/>
            </w:r>
            <w:r>
              <w:rPr>
                <w:b/>
                <w:i/>
              </w:rPr>
              <w:t>le misure adottate dalla persona o dalla società responsabile per informare le autorità competenti o i superiori, nel caso si tratti del dipendente di un'azienda;</w:t>
            </w:r>
          </w:p>
        </w:tc>
      </w:tr>
    </w:tbl>
    <w:p w:rsidR="00D56ECC" w:rsidRPr="00B11CA6" w:rsidRDefault="00C20DB2" w:rsidP="00D56ECC">
      <w:pPr>
        <w:pStyle w:val="AmJustTitle"/>
      </w:pPr>
      <w:r>
        <w:rPr>
          <w:rStyle w:val="HideTWBExt"/>
        </w:rPr>
        <w:t>&lt;TitreJust&gt;</w:t>
      </w:r>
      <w:r>
        <w:t>Motivazione</w:t>
      </w:r>
      <w:r>
        <w:rPr>
          <w:rStyle w:val="HideTWBExt"/>
        </w:rPr>
        <w:t>&lt;/TitreJust&gt;</w:t>
      </w:r>
    </w:p>
    <w:p w:rsidR="00D56ECC" w:rsidRPr="00B11CA6" w:rsidRDefault="00C20DB2" w:rsidP="00D56ECC">
      <w:pPr>
        <w:pStyle w:val="AmJustText"/>
      </w:pPr>
      <w:r>
        <w:t>Gli Stati membri potrebbero prendere in considerazione una riduzione delle sanzioni per le persone che informano della violazione le autorità o, nel caso dei dipendenti, i loro supervisori, come modalità per bilanciare la responsabilità e la c</w:t>
      </w:r>
      <w:r>
        <w:t>ooperazione, promuovendo al contempo la responsabilità ambientale. Ciò potrebbe incoraggiare l'onestà, l'allocazione efficiente delle risorse e la tempestività degli sforzi di riparazione, garantendo al contempo la correttezza e l'equità del trattamento de</w:t>
      </w:r>
      <w:r>
        <w:t>lle violazioni ambientali.</w:t>
      </w:r>
    </w:p>
    <w:p w:rsidR="00D56ECC" w:rsidRPr="00B11CA6" w:rsidRDefault="00C20DB2" w:rsidP="00D56ECC">
      <w:r>
        <w:rPr>
          <w:rStyle w:val="HideTWBExt"/>
        </w:rPr>
        <w:lastRenderedPageBreak/>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30</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Articolo 1 – punto 13</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8 quinquies – paragrafo 1 – lettera</w:t>
      </w:r>
      <w:r>
        <w:t xml:space="preserve"> h</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h)</w:t>
            </w:r>
            <w:r>
              <w:tab/>
            </w:r>
            <w:r>
              <w:rPr>
                <w:b/>
                <w:i/>
              </w:rPr>
              <w:t>qualsiasi precedente violazione commessa</w:t>
            </w:r>
            <w:r>
              <w:t xml:space="preserve"> dalla persona responsabile.</w:t>
            </w:r>
          </w:p>
        </w:tc>
        <w:tc>
          <w:tcPr>
            <w:tcW w:w="4876" w:type="dxa"/>
          </w:tcPr>
          <w:p w:rsidR="00D56ECC" w:rsidRPr="00B11CA6" w:rsidRDefault="00C20DB2" w:rsidP="00586ACF">
            <w:pPr>
              <w:pStyle w:val="Normal6a"/>
            </w:pPr>
            <w:r>
              <w:t>h)</w:t>
            </w:r>
            <w:r>
              <w:tab/>
            </w:r>
            <w:r>
              <w:rPr>
                <w:b/>
                <w:i/>
              </w:rPr>
              <w:t>la quantità e la portata delle precedenti violazioni commesse</w:t>
            </w:r>
            <w:r>
              <w:t xml:space="preserve"> dalla persona responsabile.</w:t>
            </w:r>
          </w:p>
        </w:tc>
      </w:tr>
    </w:tbl>
    <w:p w:rsidR="00D56ECC" w:rsidRPr="00B11CA6" w:rsidRDefault="00C20DB2" w:rsidP="00D56ECC">
      <w:pPr>
        <w:pStyle w:val="AmJustTitle"/>
      </w:pPr>
      <w:r>
        <w:rPr>
          <w:rStyle w:val="HideTWBExt"/>
        </w:rPr>
        <w:t>&lt;TitreJust&gt;</w:t>
      </w:r>
      <w:r>
        <w:t>Motivazione</w:t>
      </w:r>
      <w:r>
        <w:rPr>
          <w:rStyle w:val="HideTWBExt"/>
        </w:rPr>
        <w:t>&lt;/TitreJust&gt;</w:t>
      </w:r>
    </w:p>
    <w:p w:rsidR="00D56ECC" w:rsidRPr="00B11CA6" w:rsidRDefault="00C20DB2" w:rsidP="00D56ECC">
      <w:pPr>
        <w:pStyle w:val="AmJustText"/>
      </w:pPr>
      <w:r>
        <w:t>Gli Stati membri sono incoraggiati ad attuare un sistema che aumenti le sanzioni per i trasgressori recidivi. Ad esempio, per ogni successiva infrazione commessa dalla stessa nave, la sanzione potrebbe essere moltiplicata. È necessario definire soglie chia</w:t>
      </w:r>
      <w:r>
        <w:t>re legate al numero di reati ripetuti e specificare il moltiplicatore da applicare in ciascun caso. Gli Stati membri dovrebbero prendere in considerazione l'aumento esponenziale delle sanzioni per i trasgressori abituali al fine di creare un forte deterren</w:t>
      </w:r>
      <w:r>
        <w:t>te contro le violazioni persistenti.</w:t>
      </w:r>
    </w:p>
    <w:p w:rsidR="00D56ECC" w:rsidRPr="00B11CA6" w:rsidRDefault="00C20DB2" w:rsidP="00D56ECC">
      <w:r>
        <w:rPr>
          <w:rStyle w:val="HideTWBExt"/>
        </w:rPr>
        <w:t>&lt;/Amend&gt;</w:t>
      </w:r>
    </w:p>
    <w:p w:rsidR="00D56ECC" w:rsidRPr="00B11CA6" w:rsidRDefault="00C20DB2" w:rsidP="00D56ECC">
      <w:pPr>
        <w:pStyle w:val="AMNumberTabs0"/>
        <w:keepNext/>
      </w:pPr>
      <w:r>
        <w:rPr>
          <w:rStyle w:val="HideTWBExt"/>
          <w:b w:val="0"/>
        </w:rPr>
        <w:t>&lt;Amend&gt;</w:t>
      </w:r>
      <w:r>
        <w:t>Emendamento</w:t>
      </w:r>
      <w:r>
        <w:tab/>
      </w:r>
      <w:r>
        <w:tab/>
      </w:r>
      <w:r>
        <w:rPr>
          <w:rStyle w:val="HideTWBExt"/>
          <w:b w:val="0"/>
        </w:rPr>
        <w:t>&lt;NumAm&gt;</w:t>
      </w:r>
      <w:r>
        <w:t>31</w:t>
      </w:r>
      <w:r>
        <w:rPr>
          <w:rStyle w:val="HideTWBExt"/>
          <w:b w:val="0"/>
        </w:rPr>
        <w:t>&lt;/NumAm&gt;</w:t>
      </w:r>
    </w:p>
    <w:p w:rsidR="00D56ECC" w:rsidRPr="00B11CA6" w:rsidRDefault="00C20DB2" w:rsidP="00D56ECC">
      <w:pPr>
        <w:pStyle w:val="NormalBold12b"/>
        <w:keepNext/>
      </w:pPr>
      <w:r>
        <w:rPr>
          <w:rStyle w:val="HideTWBExt"/>
          <w:b w:val="0"/>
        </w:rPr>
        <w:t>&lt;DocAmend&gt;</w:t>
      </w:r>
      <w:r>
        <w:t>Proposta di direttiva</w:t>
      </w:r>
      <w:r>
        <w:rPr>
          <w:rStyle w:val="HideTWBExt"/>
          <w:b w:val="0"/>
        </w:rPr>
        <w:t>&lt;/DocAmend&gt;</w:t>
      </w:r>
    </w:p>
    <w:p w:rsidR="00D56ECC" w:rsidRPr="00B11CA6" w:rsidRDefault="00C20DB2" w:rsidP="00D56ECC">
      <w:pPr>
        <w:pStyle w:val="NormalBold"/>
      </w:pPr>
      <w:r>
        <w:rPr>
          <w:rStyle w:val="HideTWBExt"/>
          <w:b w:val="0"/>
        </w:rPr>
        <w:t>&lt;Article&gt;</w:t>
      </w:r>
      <w:r>
        <w:t>Articolo 1 – punto 13</w:t>
      </w:r>
      <w:r>
        <w:rPr>
          <w:rStyle w:val="HideTWBExt"/>
          <w:b w:val="0"/>
        </w:rPr>
        <w:t>&lt;/Article&gt;</w:t>
      </w:r>
    </w:p>
    <w:p w:rsidR="00D56ECC" w:rsidRPr="00B11CA6" w:rsidRDefault="00C20DB2" w:rsidP="00D56ECC">
      <w:pPr>
        <w:keepNext/>
      </w:pPr>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8 quinquies – paragrafo 1</w:t>
      </w:r>
      <w:r>
        <w:t xml:space="preserve"> – lettera h bis (nuova)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jc w:val="center"/>
        </w:trPr>
        <w:tc>
          <w:tcPr>
            <w:tcW w:w="9752" w:type="dxa"/>
            <w:gridSpan w:val="2"/>
          </w:tcPr>
          <w:p w:rsidR="00D56ECC" w:rsidRPr="00B11CA6" w:rsidRDefault="00D56ECC" w:rsidP="00586ACF">
            <w:pPr>
              <w:keepNext/>
            </w:pPr>
          </w:p>
        </w:tc>
      </w:tr>
      <w:tr w:rsidR="006B66BE" w:rsidTr="00586ACF">
        <w:trPr>
          <w:jc w:val="center"/>
        </w:trPr>
        <w:tc>
          <w:tcPr>
            <w:tcW w:w="4876" w:type="dxa"/>
            <w:hideMark/>
          </w:tcPr>
          <w:p w:rsidR="00D56ECC" w:rsidRPr="00B11CA6" w:rsidRDefault="00C20DB2" w:rsidP="00586ACF">
            <w:pPr>
              <w:pStyle w:val="ColumnHeading"/>
              <w:keepNext/>
            </w:pPr>
            <w:r>
              <w:t>Testo della Commissione</w:t>
            </w:r>
          </w:p>
        </w:tc>
        <w:tc>
          <w:tcPr>
            <w:tcW w:w="4876" w:type="dxa"/>
            <w:hideMark/>
          </w:tcPr>
          <w:p w:rsidR="00D56ECC" w:rsidRPr="00B11CA6" w:rsidRDefault="00C20DB2" w:rsidP="00586ACF">
            <w:pPr>
              <w:pStyle w:val="ColumnHeading"/>
              <w:keepNext/>
            </w:pPr>
            <w:r>
              <w:t>Emendamento</w:t>
            </w:r>
          </w:p>
        </w:tc>
      </w:tr>
      <w:tr w:rsidR="006B66BE" w:rsidTr="00586ACF">
        <w:trPr>
          <w:jc w:val="center"/>
        </w:trPr>
        <w:tc>
          <w:tcPr>
            <w:tcW w:w="4876" w:type="dxa"/>
          </w:tcPr>
          <w:p w:rsidR="00D56ECC" w:rsidRPr="00B11CA6" w:rsidRDefault="00D56ECC" w:rsidP="00586ACF">
            <w:pPr>
              <w:pStyle w:val="Normal6"/>
            </w:pPr>
          </w:p>
        </w:tc>
        <w:tc>
          <w:tcPr>
            <w:tcW w:w="4876" w:type="dxa"/>
            <w:hideMark/>
          </w:tcPr>
          <w:p w:rsidR="00D56ECC" w:rsidRPr="00B11CA6" w:rsidRDefault="00C20DB2" w:rsidP="00586ACF">
            <w:pPr>
              <w:pStyle w:val="Normal6"/>
              <w:rPr>
                <w:szCs w:val="24"/>
              </w:rPr>
            </w:pPr>
            <w:r>
              <w:rPr>
                <w:b/>
                <w:i/>
              </w:rPr>
              <w:t>h bis)</w:t>
            </w:r>
            <w:r>
              <w:rPr>
                <w:b/>
                <w:i/>
              </w:rPr>
              <w:tab/>
              <w:t>la portata dei danni causati dallo scarico alla vita marina, incluse le popolazioni ittiche, e il conseguente impatto sulle attività di pesca e sulle comunità costiere;</w:t>
            </w:r>
          </w:p>
        </w:tc>
      </w:tr>
    </w:tbl>
    <w:p w:rsidR="00D56ECC" w:rsidRPr="00B11CA6" w:rsidRDefault="00C20DB2" w:rsidP="00D56ECC">
      <w:r>
        <w:rPr>
          <w:rStyle w:val="HideTWBExt"/>
        </w:rPr>
        <w:t>&lt;/Amend&gt;</w:t>
      </w:r>
    </w:p>
    <w:p w:rsidR="00D56ECC" w:rsidRPr="00B11CA6" w:rsidRDefault="00C20DB2" w:rsidP="00D56ECC">
      <w:pPr>
        <w:pStyle w:val="AMNumberTabs0"/>
        <w:keepNext/>
      </w:pPr>
      <w:r>
        <w:rPr>
          <w:rStyle w:val="HideTWBExt"/>
          <w:b w:val="0"/>
        </w:rPr>
        <w:t>&lt;Amend&gt;</w:t>
      </w:r>
      <w:r>
        <w:t>Emendamento</w:t>
      </w:r>
      <w:r>
        <w:tab/>
      </w:r>
      <w:r>
        <w:tab/>
      </w:r>
      <w:r>
        <w:rPr>
          <w:rStyle w:val="HideTWBExt"/>
          <w:b w:val="0"/>
        </w:rPr>
        <w:t>&lt;NumAm&gt;</w:t>
      </w:r>
      <w:r>
        <w:t>32</w:t>
      </w:r>
      <w:r>
        <w:rPr>
          <w:rStyle w:val="HideTWBExt"/>
          <w:b w:val="0"/>
        </w:rPr>
        <w:t>&lt;/NumAm&gt;</w:t>
      </w:r>
    </w:p>
    <w:p w:rsidR="00D56ECC" w:rsidRPr="00B11CA6" w:rsidRDefault="00C20DB2" w:rsidP="00D56ECC">
      <w:pPr>
        <w:pStyle w:val="NormalBold12b"/>
        <w:keepNext/>
      </w:pPr>
      <w:r>
        <w:rPr>
          <w:rStyle w:val="HideTWBExt"/>
          <w:b w:val="0"/>
        </w:rPr>
        <w:t>&lt;DocAmend&gt;</w:t>
      </w:r>
      <w:r>
        <w:t>Proposta di direttiva</w:t>
      </w:r>
      <w:r>
        <w:rPr>
          <w:rStyle w:val="HideTWBExt"/>
          <w:b w:val="0"/>
        </w:rPr>
        <w:t>&lt;/DocAmend&gt;</w:t>
      </w:r>
    </w:p>
    <w:p w:rsidR="00D56ECC" w:rsidRPr="00B11CA6" w:rsidRDefault="00C20DB2" w:rsidP="00D56ECC">
      <w:pPr>
        <w:pStyle w:val="NormalBold"/>
      </w:pPr>
      <w:r>
        <w:rPr>
          <w:rStyle w:val="HideTWBExt"/>
          <w:b w:val="0"/>
        </w:rPr>
        <w:t>&lt;Article&gt;</w:t>
      </w:r>
      <w:r>
        <w:t>Articolo 1 – punto 13</w:t>
      </w:r>
      <w:r>
        <w:rPr>
          <w:rStyle w:val="HideTWBExt"/>
          <w:b w:val="0"/>
        </w:rPr>
        <w:t>&lt;/Article&gt;</w:t>
      </w:r>
    </w:p>
    <w:p w:rsidR="00D56ECC" w:rsidRPr="00B11CA6" w:rsidRDefault="00C20DB2" w:rsidP="00D56ECC">
      <w:pPr>
        <w:keepNext/>
      </w:pPr>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8 quinquies – paragrafo 1 – lettera h ter (nuova)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jc w:val="center"/>
        </w:trPr>
        <w:tc>
          <w:tcPr>
            <w:tcW w:w="9752" w:type="dxa"/>
            <w:gridSpan w:val="2"/>
          </w:tcPr>
          <w:p w:rsidR="00D56ECC" w:rsidRPr="00B11CA6" w:rsidRDefault="00D56ECC" w:rsidP="00586ACF">
            <w:pPr>
              <w:keepNext/>
            </w:pPr>
          </w:p>
        </w:tc>
      </w:tr>
      <w:tr w:rsidR="006B66BE" w:rsidTr="00586ACF">
        <w:trPr>
          <w:jc w:val="center"/>
        </w:trPr>
        <w:tc>
          <w:tcPr>
            <w:tcW w:w="4876" w:type="dxa"/>
            <w:hideMark/>
          </w:tcPr>
          <w:p w:rsidR="00D56ECC" w:rsidRPr="00B11CA6" w:rsidRDefault="00C20DB2" w:rsidP="00586ACF">
            <w:pPr>
              <w:pStyle w:val="ColumnHeading"/>
              <w:keepNext/>
            </w:pPr>
            <w:r>
              <w:t>Testo della Commissione</w:t>
            </w:r>
          </w:p>
        </w:tc>
        <w:tc>
          <w:tcPr>
            <w:tcW w:w="4876" w:type="dxa"/>
            <w:hideMark/>
          </w:tcPr>
          <w:p w:rsidR="00D56ECC" w:rsidRPr="00B11CA6" w:rsidRDefault="00C20DB2" w:rsidP="00586ACF">
            <w:pPr>
              <w:pStyle w:val="ColumnHeading"/>
              <w:keepNext/>
            </w:pPr>
            <w:r>
              <w:t>Emendamento</w:t>
            </w:r>
          </w:p>
        </w:tc>
      </w:tr>
      <w:tr w:rsidR="006B66BE" w:rsidTr="00586ACF">
        <w:trPr>
          <w:jc w:val="center"/>
        </w:trPr>
        <w:tc>
          <w:tcPr>
            <w:tcW w:w="4876" w:type="dxa"/>
          </w:tcPr>
          <w:p w:rsidR="00D56ECC" w:rsidRPr="00B11CA6" w:rsidRDefault="00D56ECC" w:rsidP="00586ACF">
            <w:pPr>
              <w:pStyle w:val="Normal6"/>
            </w:pPr>
          </w:p>
        </w:tc>
        <w:tc>
          <w:tcPr>
            <w:tcW w:w="4876" w:type="dxa"/>
            <w:hideMark/>
          </w:tcPr>
          <w:p w:rsidR="00D56ECC" w:rsidRPr="00B11CA6" w:rsidRDefault="00C20DB2" w:rsidP="00586ACF">
            <w:pPr>
              <w:pStyle w:val="Normal6"/>
              <w:rPr>
                <w:szCs w:val="24"/>
              </w:rPr>
            </w:pPr>
            <w:r>
              <w:rPr>
                <w:b/>
                <w:i/>
              </w:rPr>
              <w:t>h ter)</w:t>
            </w:r>
            <w:r>
              <w:rPr>
                <w:b/>
                <w:i/>
              </w:rPr>
              <w:tab/>
              <w:t>nelle zone interessate da attività di pesca significative, gli Stati membri sono invitati ad applicare meccanismi di monitoraggio potenziati e a prendere in considerazione sanzioni più severe e dissuasive per s</w:t>
            </w:r>
            <w:r>
              <w:rPr>
                <w:b/>
                <w:i/>
              </w:rPr>
              <w:t>coraggiare le violazioni.</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33</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Articolo 1 – punto 13</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 xml:space="preserve">Articolo 8 quinquies – paragrafo 1 bis </w:t>
      </w:r>
      <w:r>
        <w:t>(nuovo)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D56ECC" w:rsidP="00586ACF">
            <w:pPr>
              <w:pStyle w:val="Normal6a"/>
            </w:pPr>
          </w:p>
        </w:tc>
        <w:tc>
          <w:tcPr>
            <w:tcW w:w="4876" w:type="dxa"/>
          </w:tcPr>
          <w:p w:rsidR="00D56ECC" w:rsidRPr="00B11CA6" w:rsidRDefault="00C20DB2" w:rsidP="00586ACF">
            <w:pPr>
              <w:pStyle w:val="Normal6a"/>
            </w:pPr>
            <w:r>
              <w:rPr>
                <w:b/>
                <w:i/>
              </w:rPr>
              <w:t>1 bis.</w:t>
            </w:r>
            <w:r>
              <w:tab/>
            </w:r>
            <w:r>
              <w:rPr>
                <w:b/>
                <w:i/>
              </w:rPr>
              <w:t xml:space="preserve">Gli Stati membri tengono in considerazione gli obblighi derivanti da altri atti dell'Unione, come il regolamento (UE) n. 1224/2009 sul controllo della pesca, al momento di adempiere agli </w:t>
            </w:r>
            <w:r>
              <w:rPr>
                <w:b/>
                <w:i/>
              </w:rPr>
              <w:t>obblighi di cui al paragrafo 1.</w:t>
            </w:r>
          </w:p>
        </w:tc>
      </w:tr>
    </w:tbl>
    <w:p w:rsidR="00D56ECC" w:rsidRPr="00B11CA6" w:rsidRDefault="00C20DB2" w:rsidP="00D56ECC">
      <w:r>
        <w:rPr>
          <w:rStyle w:val="HideTWBExt"/>
        </w:rPr>
        <w:t>&lt;/Amend&gt;</w:t>
      </w:r>
    </w:p>
    <w:p w:rsidR="00D56ECC" w:rsidRPr="00B11CA6" w:rsidRDefault="00C20DB2" w:rsidP="00D56ECC">
      <w:pPr>
        <w:pStyle w:val="AMNumberTabs0"/>
        <w:keepNext/>
      </w:pPr>
      <w:r>
        <w:rPr>
          <w:rStyle w:val="HideTWBExt"/>
          <w:b w:val="0"/>
        </w:rPr>
        <w:t>&lt;Amend&gt;</w:t>
      </w:r>
      <w:r>
        <w:t>Emendamento</w:t>
      </w:r>
      <w:r>
        <w:tab/>
      </w:r>
      <w:r>
        <w:tab/>
      </w:r>
      <w:r>
        <w:rPr>
          <w:rStyle w:val="HideTWBExt"/>
          <w:b w:val="0"/>
        </w:rPr>
        <w:t>&lt;NumAm&gt;</w:t>
      </w:r>
      <w:r>
        <w:t>34</w:t>
      </w:r>
      <w:r>
        <w:rPr>
          <w:rStyle w:val="HideTWBExt"/>
          <w:b w:val="0"/>
        </w:rPr>
        <w:t>&lt;/NumAm&gt;</w:t>
      </w:r>
    </w:p>
    <w:p w:rsidR="00D56ECC" w:rsidRPr="00B11CA6" w:rsidRDefault="00C20DB2" w:rsidP="00D56ECC">
      <w:pPr>
        <w:pStyle w:val="NormalBold12b"/>
        <w:keepNext/>
      </w:pPr>
      <w:r>
        <w:rPr>
          <w:rStyle w:val="HideTWBExt"/>
          <w:b w:val="0"/>
        </w:rPr>
        <w:t>&lt;DocAmend&gt;</w:t>
      </w:r>
      <w:r>
        <w:t>Proposta di direttiva</w:t>
      </w:r>
      <w:r>
        <w:rPr>
          <w:rStyle w:val="HideTWBExt"/>
          <w:b w:val="0"/>
        </w:rPr>
        <w:t>&lt;/DocAmend&gt;</w:t>
      </w:r>
    </w:p>
    <w:p w:rsidR="00D56ECC" w:rsidRPr="00B11CA6" w:rsidRDefault="00C20DB2" w:rsidP="00D56ECC">
      <w:pPr>
        <w:pStyle w:val="NormalBold"/>
      </w:pPr>
      <w:r>
        <w:rPr>
          <w:rStyle w:val="HideTWBExt"/>
          <w:b w:val="0"/>
        </w:rPr>
        <w:t>&lt;Article&gt;</w:t>
      </w:r>
      <w:r>
        <w:t>Articolo 1 – punto 14</w:t>
      </w:r>
      <w:r>
        <w:rPr>
          <w:rStyle w:val="HideTWBExt"/>
          <w:b w:val="0"/>
        </w:rPr>
        <w:t>&lt;/Article&gt;</w:t>
      </w:r>
    </w:p>
    <w:p w:rsidR="00D56ECC" w:rsidRPr="00B11CA6" w:rsidRDefault="00C20DB2" w:rsidP="00D56ECC">
      <w:pPr>
        <w:keepNext/>
      </w:pPr>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 xml:space="preserve">Articolo 10 – paragrafo 1 – lettera d </w:t>
      </w:r>
      <w:r>
        <w:t>bis (nuova)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jc w:val="center"/>
        </w:trPr>
        <w:tc>
          <w:tcPr>
            <w:tcW w:w="9752" w:type="dxa"/>
            <w:gridSpan w:val="2"/>
          </w:tcPr>
          <w:p w:rsidR="00D56ECC" w:rsidRPr="00B11CA6" w:rsidRDefault="00D56ECC" w:rsidP="00586ACF">
            <w:pPr>
              <w:keepNext/>
            </w:pPr>
          </w:p>
        </w:tc>
      </w:tr>
      <w:tr w:rsidR="006B66BE" w:rsidTr="00586ACF">
        <w:trPr>
          <w:jc w:val="center"/>
        </w:trPr>
        <w:tc>
          <w:tcPr>
            <w:tcW w:w="4876" w:type="dxa"/>
            <w:hideMark/>
          </w:tcPr>
          <w:p w:rsidR="00D56ECC" w:rsidRPr="00B11CA6" w:rsidRDefault="00C20DB2" w:rsidP="00586ACF">
            <w:pPr>
              <w:pStyle w:val="ColumnHeading"/>
              <w:keepNext/>
            </w:pPr>
            <w:r>
              <w:t>Testo della Commissione</w:t>
            </w:r>
          </w:p>
        </w:tc>
        <w:tc>
          <w:tcPr>
            <w:tcW w:w="4876" w:type="dxa"/>
            <w:hideMark/>
          </w:tcPr>
          <w:p w:rsidR="00D56ECC" w:rsidRPr="00B11CA6" w:rsidRDefault="00C20DB2" w:rsidP="00586ACF">
            <w:pPr>
              <w:pStyle w:val="ColumnHeading"/>
              <w:keepNext/>
            </w:pPr>
            <w:r>
              <w:t>Emendamento</w:t>
            </w:r>
          </w:p>
        </w:tc>
      </w:tr>
      <w:tr w:rsidR="006B66BE" w:rsidTr="00586ACF">
        <w:trPr>
          <w:jc w:val="center"/>
        </w:trPr>
        <w:tc>
          <w:tcPr>
            <w:tcW w:w="4876" w:type="dxa"/>
          </w:tcPr>
          <w:p w:rsidR="00D56ECC" w:rsidRPr="00B11CA6" w:rsidRDefault="00D56ECC" w:rsidP="00586ACF">
            <w:pPr>
              <w:pStyle w:val="Normal6"/>
            </w:pPr>
          </w:p>
        </w:tc>
        <w:tc>
          <w:tcPr>
            <w:tcW w:w="4876" w:type="dxa"/>
            <w:hideMark/>
          </w:tcPr>
          <w:p w:rsidR="00D56ECC" w:rsidRPr="00B11CA6" w:rsidRDefault="00C20DB2" w:rsidP="00586ACF">
            <w:pPr>
              <w:pStyle w:val="Normal6"/>
              <w:rPr>
                <w:szCs w:val="24"/>
              </w:rPr>
            </w:pPr>
            <w:r>
              <w:rPr>
                <w:b/>
                <w:i/>
              </w:rPr>
              <w:t>d bis)</w:t>
            </w:r>
            <w:r>
              <w:rPr>
                <w:b/>
                <w:i/>
              </w:rPr>
              <w:tab/>
              <w:t>garantire che le informazioni pertinenti, in particolare quelle relative alle zone interessate da incidenti di inquinamento provocato dalle navi, siano diffuse alle comunità di pescatori</w:t>
            </w:r>
            <w:r>
              <w:rPr>
                <w:b/>
                <w:i/>
              </w:rPr>
              <w:t xml:space="preserve"> prontamente e in modo comprensibile dalle autorità nazionali o locali.</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35</w:t>
      </w:r>
      <w:r>
        <w:rPr>
          <w:rStyle w:val="HideTWBExt"/>
        </w:rPr>
        <w:t>&lt;/NumAm&gt;</w:t>
      </w:r>
    </w:p>
    <w:p w:rsidR="00D56ECC" w:rsidRPr="00B11CA6" w:rsidRDefault="00C20DB2" w:rsidP="00D56ECC">
      <w:pPr>
        <w:pStyle w:val="NormalBold12b"/>
      </w:pPr>
      <w:r>
        <w:rPr>
          <w:rStyle w:val="HideTWBExt"/>
        </w:rPr>
        <w:lastRenderedPageBreak/>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Articolo 1 – punto 14</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10 – paragrafo 1 bis (nuovo)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D56ECC" w:rsidP="00586ACF">
            <w:pPr>
              <w:pStyle w:val="Normal6a"/>
            </w:pPr>
          </w:p>
        </w:tc>
        <w:tc>
          <w:tcPr>
            <w:tcW w:w="4876" w:type="dxa"/>
          </w:tcPr>
          <w:p w:rsidR="00D56ECC" w:rsidRPr="00B11CA6" w:rsidRDefault="00C20DB2" w:rsidP="00586ACF">
            <w:pPr>
              <w:pStyle w:val="Normal6a"/>
            </w:pPr>
            <w:r>
              <w:rPr>
                <w:b/>
                <w:i/>
              </w:rPr>
              <w:t>1 bis.</w:t>
            </w:r>
            <w:r>
              <w:tab/>
            </w:r>
            <w:r>
              <w:rPr>
                <w:b/>
                <w:i/>
              </w:rPr>
              <w:t>Gli Stati membri e la Commissione cooperano condividendo informazioni sulle migliori pratiche, sulle azioni intraprese per prevenire la dispersione di</w:t>
            </w:r>
            <w:r>
              <w:rPr>
                <w:b/>
                <w:i/>
              </w:rPr>
              <w:t xml:space="preserve"> rifiuti marini, compresi i rifiuti della pesca, sulle modalità per ridurre i rifiuti marini più comuni e il loro impatto sull'ambiente grazie a una progettazione maggiormente ecocompatibile, nonché sugli interventi efficaci messi in campo per recuperare i</w:t>
            </w:r>
            <w:r>
              <w:rPr>
                <w:b/>
                <w:i/>
              </w:rPr>
              <w:t xml:space="preserve"> rifiuti marini già presenti in mare.</w:t>
            </w:r>
          </w:p>
        </w:tc>
      </w:tr>
    </w:tbl>
    <w:p w:rsidR="00D56ECC" w:rsidRPr="00B11CA6" w:rsidRDefault="00C20DB2" w:rsidP="00D56ECC">
      <w:r>
        <w:rPr>
          <w:rStyle w:val="HideTWBExt"/>
        </w:rPr>
        <w:t>&lt;/Amend&gt;</w:t>
      </w:r>
    </w:p>
    <w:p w:rsidR="00D56ECC" w:rsidRPr="00B11CA6" w:rsidRDefault="00C20DB2" w:rsidP="00D56ECC">
      <w:pPr>
        <w:pStyle w:val="AMNumberTabs0"/>
        <w:keepNext/>
      </w:pPr>
      <w:r>
        <w:rPr>
          <w:rStyle w:val="HideTWBExt"/>
          <w:b w:val="0"/>
        </w:rPr>
        <w:t>&lt;Amend&gt;</w:t>
      </w:r>
      <w:r>
        <w:t>Emendamento</w:t>
      </w:r>
      <w:r>
        <w:tab/>
      </w:r>
      <w:r>
        <w:tab/>
      </w:r>
      <w:r>
        <w:rPr>
          <w:rStyle w:val="HideTWBExt"/>
          <w:b w:val="0"/>
        </w:rPr>
        <w:t>&lt;NumAm&gt;</w:t>
      </w:r>
      <w:r>
        <w:t>36</w:t>
      </w:r>
      <w:r>
        <w:rPr>
          <w:rStyle w:val="HideTWBExt"/>
          <w:b w:val="0"/>
        </w:rPr>
        <w:t>&lt;/NumAm&gt;</w:t>
      </w:r>
    </w:p>
    <w:p w:rsidR="00D56ECC" w:rsidRPr="00B11CA6" w:rsidRDefault="00C20DB2" w:rsidP="00D56ECC">
      <w:pPr>
        <w:pStyle w:val="NormalBold12b"/>
        <w:keepNext/>
      </w:pPr>
      <w:r>
        <w:rPr>
          <w:rStyle w:val="HideTWBExt"/>
          <w:b w:val="0"/>
        </w:rPr>
        <w:t>&lt;DocAmend&gt;</w:t>
      </w:r>
      <w:r>
        <w:t>Proposta di direttiva</w:t>
      </w:r>
      <w:r>
        <w:rPr>
          <w:rStyle w:val="HideTWBExt"/>
          <w:b w:val="0"/>
        </w:rPr>
        <w:t>&lt;/DocAmend&gt;</w:t>
      </w:r>
    </w:p>
    <w:p w:rsidR="00D56ECC" w:rsidRPr="00B11CA6" w:rsidRDefault="00C20DB2" w:rsidP="00D56ECC">
      <w:pPr>
        <w:pStyle w:val="NormalBold"/>
      </w:pPr>
      <w:r>
        <w:rPr>
          <w:rStyle w:val="HideTWBExt"/>
          <w:b w:val="0"/>
        </w:rPr>
        <w:t>&lt;Article&gt;</w:t>
      </w:r>
      <w:r>
        <w:t>Articolo 1 – punto 14</w:t>
      </w:r>
      <w:r>
        <w:rPr>
          <w:rStyle w:val="HideTWBExt"/>
          <w:b w:val="0"/>
        </w:rPr>
        <w:t>&lt;/Article&gt;</w:t>
      </w:r>
    </w:p>
    <w:p w:rsidR="00D56ECC" w:rsidRPr="00B11CA6" w:rsidRDefault="00C20DB2" w:rsidP="00D56ECC">
      <w:pPr>
        <w:keepNext/>
      </w:pPr>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10 – paragrafo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jc w:val="center"/>
        </w:trPr>
        <w:tc>
          <w:tcPr>
            <w:tcW w:w="9752" w:type="dxa"/>
            <w:gridSpan w:val="2"/>
          </w:tcPr>
          <w:p w:rsidR="00D56ECC" w:rsidRPr="00B11CA6" w:rsidRDefault="00D56ECC" w:rsidP="00586ACF">
            <w:pPr>
              <w:keepNext/>
            </w:pPr>
          </w:p>
        </w:tc>
      </w:tr>
      <w:tr w:rsidR="006B66BE" w:rsidTr="00586ACF">
        <w:trPr>
          <w:jc w:val="center"/>
        </w:trPr>
        <w:tc>
          <w:tcPr>
            <w:tcW w:w="4876" w:type="dxa"/>
            <w:hideMark/>
          </w:tcPr>
          <w:p w:rsidR="00D56ECC" w:rsidRPr="00B11CA6" w:rsidRDefault="00C20DB2" w:rsidP="00586ACF">
            <w:pPr>
              <w:pStyle w:val="ColumnHeading"/>
              <w:keepNext/>
            </w:pPr>
            <w:r>
              <w:t>Testo della Commissione</w:t>
            </w:r>
          </w:p>
        </w:tc>
        <w:tc>
          <w:tcPr>
            <w:tcW w:w="4876" w:type="dxa"/>
            <w:hideMark/>
          </w:tcPr>
          <w:p w:rsidR="00D56ECC" w:rsidRPr="00B11CA6" w:rsidRDefault="00C20DB2" w:rsidP="00586ACF">
            <w:pPr>
              <w:pStyle w:val="ColumnHeading"/>
              <w:keepNext/>
            </w:pPr>
            <w:r>
              <w:t>Emendamento</w:t>
            </w:r>
          </w:p>
        </w:tc>
      </w:tr>
      <w:tr w:rsidR="006B66BE" w:rsidTr="00586ACF">
        <w:trPr>
          <w:jc w:val="center"/>
        </w:trPr>
        <w:tc>
          <w:tcPr>
            <w:tcW w:w="4876" w:type="dxa"/>
            <w:hideMark/>
          </w:tcPr>
          <w:p w:rsidR="00D56ECC" w:rsidRPr="00B11CA6" w:rsidRDefault="00C20DB2" w:rsidP="00586ACF">
            <w:pPr>
              <w:pStyle w:val="Normal6"/>
            </w:pPr>
            <w:r>
              <w:t>2.</w:t>
            </w:r>
            <w:r>
              <w:tab/>
              <w:t xml:space="preserve">La Commissione provvede all'organizzazione di uno scambio di esperienze tra le autorità nazionali e gli esperti degli Stati membri, compresi quelli del settore privato, della società civile e dei </w:t>
            </w:r>
            <w:r>
              <w:t>sindacati, in merito all'applicazione della presente direttiva in tutta l'Unione, al fine di stabilire prassi e orientamenti comuni sul controllo di tale applicazione.";</w:t>
            </w:r>
          </w:p>
        </w:tc>
        <w:tc>
          <w:tcPr>
            <w:tcW w:w="4876" w:type="dxa"/>
            <w:hideMark/>
          </w:tcPr>
          <w:p w:rsidR="00D56ECC" w:rsidRPr="00B11CA6" w:rsidRDefault="00C20DB2" w:rsidP="00586ACF">
            <w:pPr>
              <w:pStyle w:val="Normal6"/>
              <w:rPr>
                <w:szCs w:val="24"/>
              </w:rPr>
            </w:pPr>
            <w:r>
              <w:t>2.</w:t>
            </w:r>
            <w:r>
              <w:tab/>
              <w:t>La Commissione provvede all'organizzazione di uno scambio di esperienze tra le auto</w:t>
            </w:r>
            <w:r>
              <w:t xml:space="preserve">rità nazionali e gli esperti degli Stati membri, compresi quelli del settore privato, della società civile e dei sindacati, </w:t>
            </w:r>
            <w:r>
              <w:rPr>
                <w:b/>
                <w:i/>
              </w:rPr>
              <w:t xml:space="preserve">nonché i rappresentanti delle comunità e delle associazioni di pescatori, </w:t>
            </w:r>
            <w:r>
              <w:t>in merito all'applicazione della presente direttiva in tut</w:t>
            </w:r>
            <w:r>
              <w:t>ta l'Unione, al fine di stabilire prassi e orientamenti comuni sul controllo di tale applicazione.";</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37</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Articolo 1 – punto 15</w:t>
      </w:r>
      <w:r>
        <w:rPr>
          <w:rStyle w:val="HideTWBExt"/>
        </w:rPr>
        <w:t>&lt;/Article&gt;</w:t>
      </w:r>
    </w:p>
    <w:p w:rsidR="00D56ECC" w:rsidRPr="00B11CA6" w:rsidRDefault="00C20DB2" w:rsidP="00D56ECC">
      <w:r>
        <w:rPr>
          <w:rStyle w:val="HideTWBExt"/>
        </w:rPr>
        <w:t>&lt;DocAmend2&gt;</w:t>
      </w:r>
      <w:r>
        <w:t>Direttiva 20</w:t>
      </w:r>
      <w:r>
        <w:t>05/35/CE</w:t>
      </w:r>
      <w:r>
        <w:rPr>
          <w:rStyle w:val="HideTWBExt"/>
        </w:rPr>
        <w:t>&lt;/DocAmend2&gt;</w:t>
      </w:r>
    </w:p>
    <w:p w:rsidR="00D56ECC" w:rsidRPr="00B11CA6" w:rsidRDefault="00C20DB2" w:rsidP="00D56ECC">
      <w:r>
        <w:rPr>
          <w:rStyle w:val="HideTWBExt"/>
        </w:rPr>
        <w:lastRenderedPageBreak/>
        <w:t>&lt;Article2&gt;</w:t>
      </w:r>
      <w:r>
        <w:t>Articolo 10 bis – paragrafo 2 bis (nuovo)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D56ECC" w:rsidP="00586ACF">
            <w:pPr>
              <w:pStyle w:val="Normal6a"/>
            </w:pPr>
          </w:p>
        </w:tc>
        <w:tc>
          <w:tcPr>
            <w:tcW w:w="4876" w:type="dxa"/>
          </w:tcPr>
          <w:p w:rsidR="00D56ECC" w:rsidRPr="00B11CA6" w:rsidRDefault="00C20DB2" w:rsidP="00586ACF">
            <w:pPr>
              <w:pStyle w:val="Normal6a"/>
            </w:pPr>
            <w:r>
              <w:rPr>
                <w:b/>
                <w:i/>
              </w:rPr>
              <w:t>2 bis.</w:t>
            </w:r>
            <w:r>
              <w:tab/>
            </w:r>
            <w:r>
              <w:rPr>
                <w:b/>
                <w:i/>
              </w:rPr>
              <w:t xml:space="preserve">Inoltre gli Stati membri comunicano le misure adottate per prevenire la dispersione di rifiuti marini e per recuperarli, </w:t>
            </w:r>
            <w:r>
              <w:rPr>
                <w:b/>
                <w:i/>
              </w:rPr>
              <w:t>nonché le azioni intraprese per sostituire i materiali presenti negli attrezzi e nei prodotti utilizzati in mare, come i container e gli imballaggi in polistirene espanso, se del caso, tenendo in considerazione ulteriori obblighi di comunicazione sanciti d</w:t>
            </w:r>
            <w:r>
              <w:rPr>
                <w:b/>
                <w:i/>
              </w:rPr>
              <w:t>a altri atti dell'Unione.</w:t>
            </w:r>
          </w:p>
        </w:tc>
      </w:tr>
    </w:tbl>
    <w:p w:rsidR="00D56ECC" w:rsidRPr="00B11CA6" w:rsidRDefault="00C20DB2" w:rsidP="00D56ECC">
      <w:r>
        <w:rPr>
          <w:rStyle w:val="HideTWBExt"/>
        </w:rPr>
        <w:t>&lt;/Amend&gt;</w:t>
      </w:r>
    </w:p>
    <w:p w:rsidR="00D56ECC" w:rsidRPr="00B11CA6" w:rsidRDefault="00C20DB2" w:rsidP="00D56ECC">
      <w:pPr>
        <w:pStyle w:val="AMNumberTabs0"/>
        <w:keepNext/>
      </w:pPr>
      <w:r>
        <w:rPr>
          <w:rStyle w:val="HideTWBExt"/>
          <w:b w:val="0"/>
        </w:rPr>
        <w:t>&lt;Amend&gt;</w:t>
      </w:r>
      <w:r>
        <w:t>Emendamento</w:t>
      </w:r>
      <w:r>
        <w:tab/>
      </w:r>
      <w:r>
        <w:tab/>
      </w:r>
      <w:r>
        <w:rPr>
          <w:rStyle w:val="HideTWBExt"/>
          <w:b w:val="0"/>
        </w:rPr>
        <w:t>&lt;NumAm&gt;</w:t>
      </w:r>
      <w:r>
        <w:t>38</w:t>
      </w:r>
      <w:r>
        <w:rPr>
          <w:rStyle w:val="HideTWBExt"/>
          <w:b w:val="0"/>
        </w:rPr>
        <w:t>&lt;/NumAm&gt;</w:t>
      </w:r>
    </w:p>
    <w:p w:rsidR="00D56ECC" w:rsidRPr="00B11CA6" w:rsidRDefault="00C20DB2" w:rsidP="00D56ECC">
      <w:pPr>
        <w:pStyle w:val="NormalBold12b"/>
        <w:keepNext/>
      </w:pPr>
      <w:r>
        <w:rPr>
          <w:rStyle w:val="HideTWBExt"/>
          <w:b w:val="0"/>
        </w:rPr>
        <w:t>&lt;DocAmend&gt;</w:t>
      </w:r>
      <w:r>
        <w:t>Proposta di direttiva</w:t>
      </w:r>
      <w:r>
        <w:rPr>
          <w:rStyle w:val="HideTWBExt"/>
          <w:b w:val="0"/>
        </w:rPr>
        <w:t>&lt;/DocAmend&gt;</w:t>
      </w:r>
    </w:p>
    <w:p w:rsidR="00D56ECC" w:rsidRPr="00B11CA6" w:rsidRDefault="00C20DB2" w:rsidP="00D56ECC">
      <w:pPr>
        <w:pStyle w:val="NormalBold"/>
      </w:pPr>
      <w:r>
        <w:rPr>
          <w:rStyle w:val="HideTWBExt"/>
          <w:b w:val="0"/>
        </w:rPr>
        <w:t>&lt;Article&gt;</w:t>
      </w:r>
      <w:r>
        <w:t>Articolo 1 – punto 15</w:t>
      </w:r>
      <w:r>
        <w:rPr>
          <w:rStyle w:val="HideTWBExt"/>
          <w:b w:val="0"/>
        </w:rPr>
        <w:t>&lt;/Article&gt;</w:t>
      </w:r>
    </w:p>
    <w:p w:rsidR="00D56ECC" w:rsidRPr="00B11CA6" w:rsidRDefault="00C20DB2" w:rsidP="00D56ECC">
      <w:pPr>
        <w:keepNext/>
      </w:pPr>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10 ter – paragrafo 1 bis (nuovo)</w:t>
      </w:r>
      <w:r>
        <w:rPr>
          <w:rStyle w:val="HideTWBExt"/>
        </w:rPr>
        <w:t>&lt;/A</w:t>
      </w:r>
      <w:r>
        <w:rPr>
          <w:rStyle w:val="HideTWBExt"/>
        </w:rPr>
        <w:t>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jc w:val="center"/>
        </w:trPr>
        <w:tc>
          <w:tcPr>
            <w:tcW w:w="9752" w:type="dxa"/>
            <w:gridSpan w:val="2"/>
          </w:tcPr>
          <w:p w:rsidR="00D56ECC" w:rsidRPr="00B11CA6" w:rsidRDefault="00D56ECC" w:rsidP="00586ACF">
            <w:pPr>
              <w:keepNext/>
            </w:pPr>
          </w:p>
        </w:tc>
      </w:tr>
      <w:tr w:rsidR="006B66BE" w:rsidTr="00586ACF">
        <w:trPr>
          <w:jc w:val="center"/>
        </w:trPr>
        <w:tc>
          <w:tcPr>
            <w:tcW w:w="4876" w:type="dxa"/>
            <w:hideMark/>
          </w:tcPr>
          <w:p w:rsidR="00D56ECC" w:rsidRPr="00B11CA6" w:rsidRDefault="00C20DB2" w:rsidP="00586ACF">
            <w:pPr>
              <w:pStyle w:val="ColumnHeading"/>
              <w:keepNext/>
            </w:pPr>
            <w:r>
              <w:t>Testo della Commissione</w:t>
            </w:r>
          </w:p>
        </w:tc>
        <w:tc>
          <w:tcPr>
            <w:tcW w:w="4876" w:type="dxa"/>
            <w:hideMark/>
          </w:tcPr>
          <w:p w:rsidR="00D56ECC" w:rsidRPr="00B11CA6" w:rsidRDefault="00C20DB2" w:rsidP="00586ACF">
            <w:pPr>
              <w:pStyle w:val="ColumnHeading"/>
              <w:keepNext/>
            </w:pPr>
            <w:r>
              <w:t>Emendamento</w:t>
            </w:r>
          </w:p>
        </w:tc>
      </w:tr>
      <w:tr w:rsidR="006B66BE" w:rsidTr="00586ACF">
        <w:trPr>
          <w:jc w:val="center"/>
        </w:trPr>
        <w:tc>
          <w:tcPr>
            <w:tcW w:w="4876" w:type="dxa"/>
          </w:tcPr>
          <w:p w:rsidR="00D56ECC" w:rsidRPr="00B11CA6" w:rsidRDefault="00D56ECC" w:rsidP="00586ACF">
            <w:pPr>
              <w:pStyle w:val="Normal6"/>
            </w:pPr>
          </w:p>
        </w:tc>
        <w:tc>
          <w:tcPr>
            <w:tcW w:w="4876" w:type="dxa"/>
            <w:hideMark/>
          </w:tcPr>
          <w:p w:rsidR="00D56ECC" w:rsidRPr="00B11CA6" w:rsidRDefault="00C20DB2" w:rsidP="00586ACF">
            <w:pPr>
              <w:pStyle w:val="Normal6"/>
              <w:rPr>
                <w:szCs w:val="24"/>
              </w:rPr>
            </w:pPr>
            <w:r>
              <w:rPr>
                <w:b/>
                <w:i/>
              </w:rPr>
              <w:t>1 bis.</w:t>
            </w:r>
            <w:r>
              <w:tab/>
            </w:r>
            <w:r>
              <w:rPr>
                <w:b/>
                <w:i/>
              </w:rPr>
              <w:t xml:space="preserve">Questa formazione comprende inoltre moduli relativi all'impatto ambientale dell'inquinamento marino, incentrati specificamente sulle conseguenze per le popolazioni ittiche, le zone riproduttive e i </w:t>
            </w:r>
            <w:r>
              <w:rPr>
                <w:b/>
                <w:i/>
              </w:rPr>
              <w:t xml:space="preserve">regimi migratori. Esperti del settore della pesca sono invitati a contribuire e a partecipare a queste sessioni di formazione per condividere conoscenze dirette e approfondimenti in materia di effetti dell'inquinamento sulle attività di pesca e sulla vita </w:t>
            </w:r>
            <w:r>
              <w:rPr>
                <w:b/>
                <w:i/>
              </w:rPr>
              <w:t>marina. La Commissione e gli Stati membri si impegnano a diffondere le informazioni e gli approfondimenti principali emersi nel corso di queste sessioni di formazione alle comunità di pescatori, assicurandosi che queste ultime siano ben informate e attrezz</w:t>
            </w:r>
            <w:r>
              <w:rPr>
                <w:b/>
                <w:i/>
              </w:rPr>
              <w:t>ate per collaborare al conseguimento degli obiettivi sanciti dalla presente direttiva.</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lastRenderedPageBreak/>
        <w:t>&lt;Amend&gt;</w:t>
      </w:r>
      <w:r>
        <w:t>Emendamento</w:t>
      </w:r>
      <w:r>
        <w:tab/>
      </w:r>
      <w:r>
        <w:tab/>
      </w:r>
      <w:r>
        <w:rPr>
          <w:rStyle w:val="HideTWBExt"/>
        </w:rPr>
        <w:t>&lt;NumAm&gt;</w:t>
      </w:r>
      <w:r>
        <w:t>39</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Articolo 1 – punto 15</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10 quater – paragrafo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1.</w:t>
            </w:r>
            <w:r>
              <w:tab/>
              <w:t>Sulla base delle informazioni comunicate dagli Stati membri a norma dell'articolo 10 bis, la Commissione rende disponibile al pubblico una panorami</w:t>
            </w:r>
            <w:r>
              <w:t>ca a livello dell'Unione regolarmente aggiornata sull'attuazione e sull'applicazione della presente direttiva. La panoramica comprende le informazioni elencate nell'allegato II della presente direttiva.</w:t>
            </w:r>
          </w:p>
        </w:tc>
        <w:tc>
          <w:tcPr>
            <w:tcW w:w="4876" w:type="dxa"/>
          </w:tcPr>
          <w:p w:rsidR="00D56ECC" w:rsidRPr="00B11CA6" w:rsidRDefault="00C20DB2" w:rsidP="00586ACF">
            <w:pPr>
              <w:pStyle w:val="Normal6a"/>
            </w:pPr>
            <w:r>
              <w:t>1.</w:t>
            </w:r>
            <w:r>
              <w:tab/>
              <w:t>Sulla base delle informazioni comunicate dagli Sta</w:t>
            </w:r>
            <w:r>
              <w:t xml:space="preserve">ti membri a norma dell'articolo 10 bis </w:t>
            </w:r>
            <w:r>
              <w:rPr>
                <w:b/>
                <w:i/>
              </w:rPr>
              <w:t>e delle informazioni pertinenti ricevute a norma di altri atti dell'Unione, come il regolamento (CE) n. 1224/2009 sugli attrezzi da pesca perduti</w:t>
            </w:r>
            <w:r>
              <w:t xml:space="preserve">, la Commissione rende disponibile al pubblico una panoramica a livello </w:t>
            </w:r>
            <w:r>
              <w:t>dell'Unione regolarmente aggiornata sull'attuazione e sull'applicazione della presente direttiva. La panoramica comprende le informazioni elencate nell'allegato II della presente direttiva.</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40</w:t>
      </w:r>
      <w:r>
        <w:rPr>
          <w:rStyle w:val="HideTWBExt"/>
        </w:rPr>
        <w:t>&lt;/NumAm&gt;</w:t>
      </w:r>
    </w:p>
    <w:p w:rsidR="00D56ECC" w:rsidRPr="00B11CA6" w:rsidRDefault="00C20DB2" w:rsidP="00D56ECC">
      <w:pPr>
        <w:pStyle w:val="NormalBold12b"/>
      </w:pPr>
      <w:r>
        <w:rPr>
          <w:rStyle w:val="HideTWBExt"/>
        </w:rPr>
        <w:t>&lt;DocAmend&gt;</w:t>
      </w:r>
      <w:r>
        <w:t>Proposta</w:t>
      </w:r>
      <w:r>
        <w:t xml:space="preserve"> di direttiva</w:t>
      </w:r>
      <w:r>
        <w:rPr>
          <w:rStyle w:val="HideTWBExt"/>
        </w:rPr>
        <w:t>&lt;/DocAmend&gt;</w:t>
      </w:r>
    </w:p>
    <w:p w:rsidR="00D56ECC" w:rsidRPr="00B11CA6" w:rsidRDefault="00C20DB2" w:rsidP="00D56ECC">
      <w:pPr>
        <w:pStyle w:val="NormalBold"/>
      </w:pPr>
      <w:r>
        <w:rPr>
          <w:rStyle w:val="HideTWBExt"/>
        </w:rPr>
        <w:t>&lt;Article&gt;</w:t>
      </w:r>
      <w:r>
        <w:t>Articolo 1 – punto 15</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10 quinquies – paragrafo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1.</w:t>
            </w:r>
            <w:r>
              <w:tab/>
              <w:t xml:space="preserve">La Commissione sviluppa </w:t>
            </w:r>
            <w:r>
              <w:rPr>
                <w:b/>
                <w:i/>
              </w:rPr>
              <w:t>e</w:t>
            </w:r>
            <w:r>
              <w:t xml:space="preserve"> mantiene un canale di segnalazione esterna online riservato per la ricezione delle segnalazioni, ai sensi della direttiva (UE) 2019/1937</w:t>
            </w:r>
            <w:r>
              <w:rPr>
                <w:vertAlign w:val="superscript"/>
              </w:rPr>
              <w:t>40</w:t>
            </w:r>
            <w:r>
              <w:t>, su potenziali violazioni della presente direttiva e trasmette tali segnalazioni allo Stato membro o agli Stati memb</w:t>
            </w:r>
            <w:r>
              <w:t>ri interessati.</w:t>
            </w:r>
          </w:p>
        </w:tc>
        <w:tc>
          <w:tcPr>
            <w:tcW w:w="4876" w:type="dxa"/>
          </w:tcPr>
          <w:p w:rsidR="00D56ECC" w:rsidRPr="00B11CA6" w:rsidRDefault="00C20DB2" w:rsidP="00586ACF">
            <w:pPr>
              <w:pStyle w:val="Normal6a"/>
            </w:pPr>
            <w:r>
              <w:t>1.</w:t>
            </w:r>
            <w:r>
              <w:tab/>
              <w:t>La Commissione sviluppa</w:t>
            </w:r>
            <w:r>
              <w:rPr>
                <w:b/>
                <w:i/>
              </w:rPr>
              <w:t>,</w:t>
            </w:r>
            <w:r>
              <w:t xml:space="preserve"> mantiene </w:t>
            </w:r>
            <w:r>
              <w:rPr>
                <w:b/>
                <w:i/>
              </w:rPr>
              <w:t>e rende facilmente accessibile al pubblico</w:t>
            </w:r>
            <w:r>
              <w:t xml:space="preserve"> un canale di segnalazione esterna online riservato per la ricezione delle segnalazioni, ai sensi della direttiva (UE) 2019/1937</w:t>
            </w:r>
            <w:r>
              <w:rPr>
                <w:vertAlign w:val="superscript"/>
              </w:rPr>
              <w:t>40</w:t>
            </w:r>
            <w:r>
              <w:t>, su potenziali violazioni dell</w:t>
            </w:r>
            <w:r>
              <w:t>a presente direttiva e trasmette tali segnalazioni allo Stato membro o agli Stati membri interessati.</w:t>
            </w:r>
          </w:p>
        </w:tc>
      </w:tr>
      <w:tr w:rsidR="006B66BE" w:rsidTr="00586ACF">
        <w:trPr>
          <w:jc w:val="center"/>
        </w:trPr>
        <w:tc>
          <w:tcPr>
            <w:tcW w:w="4876" w:type="dxa"/>
          </w:tcPr>
          <w:p w:rsidR="00D56ECC" w:rsidRPr="00B11CA6" w:rsidRDefault="00C20DB2" w:rsidP="00586ACF">
            <w:pPr>
              <w:pStyle w:val="Normal6a"/>
            </w:pPr>
            <w:r>
              <w:rPr>
                <w:b/>
                <w:i/>
              </w:rPr>
              <w:t>_________________</w:t>
            </w:r>
          </w:p>
        </w:tc>
        <w:tc>
          <w:tcPr>
            <w:tcW w:w="4876" w:type="dxa"/>
          </w:tcPr>
          <w:p w:rsidR="00D56ECC" w:rsidRPr="00B11CA6" w:rsidRDefault="00C20DB2" w:rsidP="00586ACF">
            <w:pPr>
              <w:pStyle w:val="Normal6a"/>
            </w:pPr>
            <w:r>
              <w:rPr>
                <w:b/>
                <w:i/>
              </w:rPr>
              <w:t>_________________</w:t>
            </w:r>
          </w:p>
        </w:tc>
      </w:tr>
      <w:tr w:rsidR="006B66BE" w:rsidTr="00586ACF">
        <w:trPr>
          <w:jc w:val="center"/>
        </w:trPr>
        <w:tc>
          <w:tcPr>
            <w:tcW w:w="4876" w:type="dxa"/>
          </w:tcPr>
          <w:p w:rsidR="00D56ECC" w:rsidRPr="00B11CA6" w:rsidRDefault="00C20DB2" w:rsidP="00586ACF">
            <w:pPr>
              <w:pStyle w:val="Normal6a"/>
            </w:pPr>
            <w:r>
              <w:rPr>
                <w:vertAlign w:val="superscript"/>
              </w:rPr>
              <w:t xml:space="preserve">40 </w:t>
            </w:r>
            <w:r>
              <w:t xml:space="preserve">Direttiva (UE) 2019/1937 del Parlamento europeo e del Consiglio, del 23 ottobre 2019, riguardante la protezione </w:t>
            </w:r>
            <w:r>
              <w:t xml:space="preserve">delle persone che segnalano violazioni del diritto dell'Unione (GU L 305 del 26.11.2019, </w:t>
            </w:r>
            <w:r>
              <w:lastRenderedPageBreak/>
              <w:t>pag. 17).</w:t>
            </w:r>
          </w:p>
        </w:tc>
        <w:tc>
          <w:tcPr>
            <w:tcW w:w="4876" w:type="dxa"/>
          </w:tcPr>
          <w:p w:rsidR="00D56ECC" w:rsidRPr="00B11CA6" w:rsidRDefault="00C20DB2" w:rsidP="00586ACF">
            <w:pPr>
              <w:pStyle w:val="Normal6a"/>
            </w:pPr>
            <w:r>
              <w:rPr>
                <w:vertAlign w:val="superscript"/>
              </w:rPr>
              <w:lastRenderedPageBreak/>
              <w:t xml:space="preserve">40 </w:t>
            </w:r>
            <w:r>
              <w:t>Direttiva (UE) 2019/1937 del Parlamento europeo e del Consiglio, del 23 ottobre 2019, riguardante la protezione delle persone che segnalano violazioni del</w:t>
            </w:r>
            <w:r>
              <w:t xml:space="preserve"> diritto dell'Unione (GU L 305 del 26.11.2019, </w:t>
            </w:r>
            <w:r>
              <w:lastRenderedPageBreak/>
              <w:t>pag. 17).</w:t>
            </w:r>
          </w:p>
        </w:tc>
      </w:tr>
    </w:tbl>
    <w:p w:rsidR="00D56ECC" w:rsidRPr="00B11CA6" w:rsidRDefault="00C20DB2" w:rsidP="00D56ECC">
      <w:r>
        <w:rPr>
          <w:rStyle w:val="HideTWBExt"/>
        </w:rPr>
        <w:lastRenderedPageBreak/>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41</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Articolo 1 – punto 15</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10 q</w:t>
      </w:r>
      <w:r>
        <w:t>uinquies – paragrafo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C20DB2" w:rsidP="00586ACF">
            <w:pPr>
              <w:pStyle w:val="Normal6a"/>
            </w:pPr>
            <w:r>
              <w:t>2.</w:t>
            </w:r>
            <w:r>
              <w:tab/>
              <w:t xml:space="preserve">Gli Stati membri provvedono affinché le autorità nazionali competenti che ricevono segnalazioni di violazioni della presente direttiva, presentate attraverso il canale di cui al </w:t>
            </w:r>
            <w:r>
              <w:t>paragrafo 1, forniscano un riscontro e diano seguito a tali segnalazioni in conformità della direttiva (UE) 2019/1937.</w:t>
            </w:r>
          </w:p>
        </w:tc>
        <w:tc>
          <w:tcPr>
            <w:tcW w:w="4876" w:type="dxa"/>
          </w:tcPr>
          <w:p w:rsidR="00D56ECC" w:rsidRPr="00B11CA6" w:rsidRDefault="00C20DB2" w:rsidP="00586ACF">
            <w:pPr>
              <w:pStyle w:val="Normal6a"/>
            </w:pPr>
            <w:r>
              <w:t>2.</w:t>
            </w:r>
            <w:r>
              <w:tab/>
              <w:t>Gli Stati membri provvedono affinché le autorità nazionali competenti che ricevono segnalazioni di violazioni della presente direttiva</w:t>
            </w:r>
            <w:r>
              <w:t xml:space="preserve">, presentate attraverso il canale di cui al paragrafo 1, </w:t>
            </w:r>
            <w:r>
              <w:rPr>
                <w:b/>
                <w:i/>
              </w:rPr>
              <w:t xml:space="preserve">investighino e, se del caso, agiscano e </w:t>
            </w:r>
            <w:r>
              <w:t xml:space="preserve">forniscano un </w:t>
            </w:r>
            <w:r>
              <w:rPr>
                <w:b/>
                <w:i/>
              </w:rPr>
              <w:t>rapido</w:t>
            </w:r>
            <w:r>
              <w:t xml:space="preserve"> riscontro e diano seguito a tali segnalazioni in conformità della direttiva (UE) 2019/1937.</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42</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Articolo 1 – punto 15</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10 quinquies – paragrafo 2 bis (nuovo)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D56ECC" w:rsidP="00586ACF">
            <w:pPr>
              <w:pStyle w:val="Normal6a"/>
            </w:pPr>
          </w:p>
        </w:tc>
        <w:tc>
          <w:tcPr>
            <w:tcW w:w="4876" w:type="dxa"/>
          </w:tcPr>
          <w:p w:rsidR="00D56ECC" w:rsidRPr="00B11CA6" w:rsidRDefault="00C20DB2" w:rsidP="00586ACF">
            <w:pPr>
              <w:pStyle w:val="Normal6a"/>
            </w:pPr>
            <w:r>
              <w:rPr>
                <w:b/>
                <w:i/>
              </w:rPr>
              <w:t>2 bis.</w:t>
            </w:r>
            <w:r>
              <w:tab/>
            </w:r>
            <w:r>
              <w:rPr>
                <w:b/>
                <w:i/>
              </w:rPr>
              <w:t>Gli</w:t>
            </w:r>
            <w:r>
              <w:rPr>
                <w:b/>
                <w:i/>
              </w:rPr>
              <w:t xml:space="preserve"> Stati membri si assicurano che le persone che segnalano potenziali violazioni della presente direttiva non subiscano ricadute occupazionali, molestie, minacce o discriminazioni a causa della loro segnalazione.</w:t>
            </w:r>
            <w:r>
              <w:t xml:space="preserve"> </w:t>
            </w:r>
            <w:r>
              <w:rPr>
                <w:b/>
                <w:i/>
              </w:rPr>
              <w:t>L'identità degli informatori è mantenuta rise</w:t>
            </w:r>
            <w:r>
              <w:rPr>
                <w:b/>
                <w:i/>
              </w:rPr>
              <w:t>rvata nella misura consentita dalla legge.</w:t>
            </w:r>
            <w:r>
              <w:t xml:space="preserve"> </w:t>
            </w:r>
            <w:r>
              <w:rPr>
                <w:b/>
                <w:i/>
              </w:rPr>
              <w:t>Gli informatori non sono considerati responsabili per la loro segnalazione, a condizione che sia fatta in buona fede e senza malevolenza.</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43</w:t>
      </w:r>
      <w:r>
        <w:rPr>
          <w:rStyle w:val="HideTWBExt"/>
        </w:rPr>
        <w:t>&lt;/NumAm&gt;</w:t>
      </w:r>
    </w:p>
    <w:p w:rsidR="00D56ECC" w:rsidRPr="00B11CA6" w:rsidRDefault="00C20DB2" w:rsidP="00D56ECC">
      <w:pPr>
        <w:pStyle w:val="NormalBold12b"/>
      </w:pPr>
      <w:r>
        <w:rPr>
          <w:rStyle w:val="HideTWBExt"/>
        </w:rPr>
        <w:lastRenderedPageBreak/>
        <w:t>&lt;DocAmend&gt;</w:t>
      </w:r>
      <w:r>
        <w:t xml:space="preserve">Proposta di </w:t>
      </w:r>
      <w:r>
        <w:t>direttiva</w:t>
      </w:r>
      <w:r>
        <w:rPr>
          <w:rStyle w:val="HideTWBExt"/>
        </w:rPr>
        <w:t>&lt;/DocAmend&gt;</w:t>
      </w:r>
    </w:p>
    <w:p w:rsidR="00D56ECC" w:rsidRPr="00B11CA6" w:rsidRDefault="00C20DB2" w:rsidP="00D56ECC">
      <w:pPr>
        <w:pStyle w:val="NormalBold"/>
      </w:pPr>
      <w:r>
        <w:rPr>
          <w:rStyle w:val="HideTWBExt"/>
        </w:rPr>
        <w:t>&lt;Article&gt;</w:t>
      </w:r>
      <w:r>
        <w:t>Articolo 1 – punto 18</w:t>
      </w:r>
      <w:r>
        <w:rPr>
          <w:rStyle w:val="HideTWBExt"/>
        </w:rPr>
        <w:t>&lt;/Article&gt;</w:t>
      </w:r>
    </w:p>
    <w:p w:rsidR="00D56ECC" w:rsidRPr="00B11CA6" w:rsidRDefault="00C20DB2" w:rsidP="00D56ECC">
      <w:r>
        <w:rPr>
          <w:rStyle w:val="HideTWBExt"/>
        </w:rPr>
        <w:t>&lt;DocAmend2&gt;</w:t>
      </w:r>
      <w:r>
        <w:t>Direttiva 2005/35/CE</w:t>
      </w:r>
      <w:r>
        <w:rPr>
          <w:rStyle w:val="HideTWBExt"/>
        </w:rPr>
        <w:t>&lt;/DocAmend2&gt;</w:t>
      </w:r>
    </w:p>
    <w:p w:rsidR="00D56ECC" w:rsidRPr="00B11CA6" w:rsidRDefault="00C20DB2" w:rsidP="00D56ECC">
      <w:r>
        <w:rPr>
          <w:rStyle w:val="HideTWBExt"/>
        </w:rPr>
        <w:t>&lt;Article2&gt;</w:t>
      </w:r>
      <w:r>
        <w:t>Articolo 12 bis – paragrafo 1 – lettera b bis (nuova)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D56ECC" w:rsidP="00586ACF">
            <w:pPr>
              <w:pStyle w:val="Normal6a"/>
            </w:pPr>
          </w:p>
        </w:tc>
        <w:tc>
          <w:tcPr>
            <w:tcW w:w="4876" w:type="dxa"/>
          </w:tcPr>
          <w:p w:rsidR="00D56ECC" w:rsidRPr="00B11CA6" w:rsidRDefault="00C20DB2" w:rsidP="00586ACF">
            <w:pPr>
              <w:pStyle w:val="Normal6a"/>
            </w:pPr>
            <w:r>
              <w:rPr>
                <w:b/>
                <w:i/>
              </w:rPr>
              <w:t>b bis)</w:t>
            </w:r>
            <w:r>
              <w:tab/>
            </w:r>
            <w:r>
              <w:rPr>
                <w:b/>
                <w:i/>
              </w:rPr>
              <w:t xml:space="preserve">le informazioni pertinenti </w:t>
            </w:r>
            <w:r>
              <w:rPr>
                <w:b/>
                <w:i/>
              </w:rPr>
              <w:t>raccolte a norma di altri atti dell'Unione, come il regolamento (CE) n. 1224/2009.</w:t>
            </w:r>
          </w:p>
        </w:tc>
      </w:tr>
    </w:tbl>
    <w:p w:rsidR="00D56ECC" w:rsidRPr="00B11CA6" w:rsidRDefault="00C20DB2" w:rsidP="00D56ECC">
      <w:r>
        <w:rPr>
          <w:rStyle w:val="HideTWBExt"/>
        </w:rPr>
        <w:t>&lt;/Amend&gt;</w:t>
      </w:r>
    </w:p>
    <w:p w:rsidR="00D56ECC" w:rsidRPr="00B11CA6" w:rsidRDefault="00C20DB2" w:rsidP="00D56ECC">
      <w:pPr>
        <w:pStyle w:val="AmNumberTabs"/>
      </w:pPr>
      <w:r>
        <w:rPr>
          <w:rStyle w:val="HideTWBExt"/>
        </w:rPr>
        <w:t>&lt;Amend&gt;</w:t>
      </w:r>
      <w:r>
        <w:t>Emendamento</w:t>
      </w:r>
      <w:r>
        <w:tab/>
      </w:r>
      <w:r>
        <w:tab/>
      </w:r>
      <w:r>
        <w:rPr>
          <w:rStyle w:val="HideTWBExt"/>
        </w:rPr>
        <w:t>&lt;NumAm&gt;</w:t>
      </w:r>
      <w:r>
        <w:t>44</w:t>
      </w:r>
      <w:r>
        <w:rPr>
          <w:rStyle w:val="HideTWBExt"/>
        </w:rPr>
        <w:t>&lt;/NumAm&gt;</w:t>
      </w:r>
    </w:p>
    <w:p w:rsidR="00D56ECC" w:rsidRPr="00B11CA6" w:rsidRDefault="00C20DB2" w:rsidP="00D56ECC">
      <w:pPr>
        <w:pStyle w:val="NormalBold12b"/>
      </w:pPr>
      <w:r>
        <w:rPr>
          <w:rStyle w:val="HideTWBExt"/>
        </w:rPr>
        <w:t>&lt;DocAmend&gt;</w:t>
      </w:r>
      <w:r>
        <w:t>Proposta di direttiva</w:t>
      </w:r>
      <w:r>
        <w:rPr>
          <w:rStyle w:val="HideTWBExt"/>
        </w:rPr>
        <w:t>&lt;/DocAmend&gt;</w:t>
      </w:r>
    </w:p>
    <w:p w:rsidR="00D56ECC" w:rsidRPr="00B11CA6" w:rsidRDefault="00C20DB2" w:rsidP="00D56ECC">
      <w:pPr>
        <w:pStyle w:val="NormalBold"/>
      </w:pPr>
      <w:r>
        <w:rPr>
          <w:rStyle w:val="HideTWBExt"/>
        </w:rPr>
        <w:t>&lt;Article&gt;</w:t>
      </w:r>
      <w:r>
        <w:t>Articolo 1 – punto 18</w:t>
      </w:r>
      <w:r>
        <w:rPr>
          <w:rStyle w:val="HideTWBExt"/>
        </w:rPr>
        <w:t>&lt;/Article&gt;</w:t>
      </w:r>
    </w:p>
    <w:p w:rsidR="00D56ECC" w:rsidRPr="00B11CA6" w:rsidRDefault="00C20DB2" w:rsidP="00D56ECC">
      <w:r>
        <w:rPr>
          <w:rStyle w:val="HideTWBExt"/>
        </w:rPr>
        <w:t>&lt;DocAmend2&gt;</w:t>
      </w:r>
      <w:r>
        <w:t>Direttiva 2005/35/CE</w:t>
      </w:r>
      <w:r>
        <w:rPr>
          <w:rStyle w:val="HideTWBExt"/>
        </w:rPr>
        <w:t>&lt;/DocAmend</w:t>
      </w:r>
      <w:r>
        <w:rPr>
          <w:rStyle w:val="HideTWBExt"/>
        </w:rPr>
        <w:t>2&gt;</w:t>
      </w:r>
    </w:p>
    <w:p w:rsidR="00D56ECC" w:rsidRPr="00B11CA6" w:rsidRDefault="00C20DB2" w:rsidP="00D56ECC">
      <w:r>
        <w:rPr>
          <w:rStyle w:val="HideTWBExt"/>
        </w:rPr>
        <w:t>&lt;Article2&gt;</w:t>
      </w:r>
      <w:r>
        <w:t>Articolo 12 bis – paragrafo 2 bis (nuovo)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66BE" w:rsidTr="00586ACF">
        <w:trPr>
          <w:trHeight w:hRule="exact" w:val="240"/>
          <w:jc w:val="center"/>
        </w:trPr>
        <w:tc>
          <w:tcPr>
            <w:tcW w:w="9752" w:type="dxa"/>
            <w:gridSpan w:val="2"/>
          </w:tcPr>
          <w:p w:rsidR="00D56ECC" w:rsidRPr="00B11CA6" w:rsidRDefault="00D56ECC" w:rsidP="00586ACF"/>
        </w:tc>
      </w:tr>
      <w:tr w:rsidR="006B66BE" w:rsidTr="00586ACF">
        <w:trPr>
          <w:trHeight w:val="240"/>
          <w:jc w:val="center"/>
        </w:trPr>
        <w:tc>
          <w:tcPr>
            <w:tcW w:w="4876" w:type="dxa"/>
          </w:tcPr>
          <w:p w:rsidR="00D56ECC" w:rsidRPr="00B11CA6" w:rsidRDefault="00C20DB2" w:rsidP="00586ACF">
            <w:pPr>
              <w:pStyle w:val="AmColumnHeading"/>
            </w:pPr>
            <w:r>
              <w:t>Testo della Commissione</w:t>
            </w:r>
          </w:p>
        </w:tc>
        <w:tc>
          <w:tcPr>
            <w:tcW w:w="4876" w:type="dxa"/>
          </w:tcPr>
          <w:p w:rsidR="00D56ECC" w:rsidRPr="00B11CA6" w:rsidRDefault="00C20DB2" w:rsidP="00586ACF">
            <w:pPr>
              <w:pStyle w:val="AmColumnHeading"/>
            </w:pPr>
            <w:r>
              <w:t>Emendamento</w:t>
            </w:r>
          </w:p>
        </w:tc>
      </w:tr>
      <w:tr w:rsidR="006B66BE" w:rsidTr="00586ACF">
        <w:trPr>
          <w:jc w:val="center"/>
        </w:trPr>
        <w:tc>
          <w:tcPr>
            <w:tcW w:w="4876" w:type="dxa"/>
          </w:tcPr>
          <w:p w:rsidR="00D56ECC" w:rsidRPr="00B11CA6" w:rsidRDefault="00D56ECC" w:rsidP="00586ACF">
            <w:pPr>
              <w:pStyle w:val="Normal6a"/>
            </w:pPr>
          </w:p>
        </w:tc>
        <w:tc>
          <w:tcPr>
            <w:tcW w:w="4876" w:type="dxa"/>
          </w:tcPr>
          <w:p w:rsidR="00D56ECC" w:rsidRPr="00B11CA6" w:rsidRDefault="00C20DB2" w:rsidP="00586ACF">
            <w:pPr>
              <w:pStyle w:val="Normal6a"/>
            </w:pPr>
            <w:r>
              <w:rPr>
                <w:b/>
                <w:i/>
              </w:rPr>
              <w:t>2 bis.</w:t>
            </w:r>
            <w:r>
              <w:tab/>
            </w:r>
            <w:r>
              <w:rPr>
                <w:b/>
                <w:i/>
              </w:rPr>
              <w:t xml:space="preserve">Inoltre la Commissione raccoglie le informazioni trasmesse dagli Stati membri conformemente all'articolo 10 bis, paragrafo 2 bis, valuta </w:t>
            </w:r>
            <w:r>
              <w:rPr>
                <w:b/>
                <w:i/>
              </w:rPr>
              <w:t>l'eventuale necessità di ulteriori azioni a livello dell'UE e, ove necessario, presenta proposte a tal fine.</w:t>
            </w:r>
          </w:p>
        </w:tc>
      </w:tr>
    </w:tbl>
    <w:p w:rsidR="00D56ECC" w:rsidRPr="00B11CA6" w:rsidRDefault="00C20DB2" w:rsidP="00D56ECC">
      <w:r>
        <w:rPr>
          <w:rStyle w:val="HideTWBExt"/>
        </w:rPr>
        <w:t>&lt;/Amend&gt;</w:t>
      </w:r>
    </w:p>
    <w:p w:rsidR="00D56ECC" w:rsidRPr="00B11CA6" w:rsidRDefault="00C20DB2" w:rsidP="00D56ECC">
      <w:r>
        <w:rPr>
          <w:rStyle w:val="HideTWBExt"/>
        </w:rPr>
        <w:t>&lt;/RepeatBlock-Amend&gt;</w:t>
      </w:r>
    </w:p>
    <w:p w:rsidR="00D56ECC" w:rsidRDefault="00C20DB2">
      <w:pPr>
        <w:widowControl/>
      </w:pPr>
      <w:r>
        <w:br w:type="page"/>
      </w:r>
    </w:p>
    <w:p w:rsidR="00D56ECC" w:rsidRPr="00B11CA6" w:rsidRDefault="00D56ECC" w:rsidP="00D56ECC"/>
    <w:p w:rsidR="00D56ECC" w:rsidRPr="00B11CA6" w:rsidRDefault="00C20DB2" w:rsidP="00D56ECC">
      <w:pPr>
        <w:pStyle w:val="PageHeadingNotTOC"/>
        <w:rPr>
          <w:noProof/>
        </w:rPr>
      </w:pPr>
      <w:bookmarkStart w:id="4" w:name="FootprintPageAD"/>
      <w:r>
        <w:t>ALLEGATO: ELENCO DELLE ENTITÀ O DELLE PERSONE</w:t>
      </w:r>
      <w:bookmarkStart w:id="5" w:name="_GoBack"/>
      <w:bookmarkEnd w:id="5"/>
      <w:r>
        <w:br/>
        <w:t>DA CUI LA RELATRICE HA RICEVUTO CONTRIBUTI</w:t>
      </w:r>
    </w:p>
    <w:p w:rsidR="00D56ECC" w:rsidRPr="00B11CA6" w:rsidRDefault="00C20DB2" w:rsidP="00D56ECC">
      <w:pPr>
        <w:pStyle w:val="Normal24a"/>
      </w:pPr>
      <w:r>
        <w:rPr>
          <w:rStyle w:val="HideTWBExt"/>
        </w:rPr>
        <w:t>&lt;FootprintIntro&gt;</w:t>
      </w:r>
      <w:r>
        <w:t>L'elenco in appresso è compilato sotto l'esclusiva responsabilità della relatrice. Nel corso dell'elaborazione del parere, fino alla sua approvazione in commissione, la relatrice ha ricevuto contributi dalle seguenti entità o persone:</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B66BE" w:rsidTr="00586ACF">
        <w:tc>
          <w:tcPr>
            <w:tcW w:w="9286" w:type="dxa"/>
            <w:shd w:val="clear" w:color="auto" w:fill="auto"/>
          </w:tcPr>
          <w:p w:rsidR="00D56ECC" w:rsidRPr="00B11CA6" w:rsidRDefault="00C20DB2" w:rsidP="00586ACF">
            <w:pPr>
              <w:pStyle w:val="NormalBoldCenter"/>
            </w:pPr>
            <w:r>
              <w:t>Enti</w:t>
            </w:r>
            <w:r>
              <w:t>tà e/o persona</w:t>
            </w:r>
          </w:p>
        </w:tc>
      </w:tr>
      <w:tr w:rsidR="006B66BE" w:rsidTr="00586ACF">
        <w:tc>
          <w:tcPr>
            <w:tcW w:w="9286" w:type="dxa"/>
            <w:shd w:val="clear" w:color="auto" w:fill="auto"/>
          </w:tcPr>
          <w:p w:rsidR="00D56ECC" w:rsidRPr="00B11CA6" w:rsidRDefault="00C20DB2" w:rsidP="00586ACF">
            <w:r>
              <w:t>Nessun contributo</w:t>
            </w:r>
          </w:p>
        </w:tc>
      </w:tr>
    </w:tbl>
    <w:p w:rsidR="00D56ECC" w:rsidRPr="00B11CA6" w:rsidRDefault="00D56ECC" w:rsidP="00D56ECC"/>
    <w:p w:rsidR="00D56ECC" w:rsidRPr="00B11CA6" w:rsidRDefault="00D56ECC" w:rsidP="00D56ECC"/>
    <w:bookmarkEnd w:id="4"/>
    <w:p w:rsidR="00DB56E4" w:rsidRPr="000E21A0" w:rsidRDefault="00DB56E4" w:rsidP="00D56ECC">
      <w:pPr>
        <w:pStyle w:val="PageHeadingNotTOC"/>
      </w:pPr>
    </w:p>
    <w:bookmarkEnd w:id="0"/>
    <w:p w:rsidR="00DB56E4" w:rsidRPr="000E21A0" w:rsidRDefault="00DB56E4" w:rsidP="00DB56E4"/>
    <w:p w:rsidR="00AA426B" w:rsidRPr="00AA426B" w:rsidRDefault="00C20DB2" w:rsidP="00AA426B">
      <w:r>
        <w:br w:type="page"/>
      </w:r>
    </w:p>
    <w:p w:rsidR="00AA426B" w:rsidRDefault="00C20DB2" w:rsidP="00AA426B">
      <w:pPr>
        <w:pStyle w:val="PageHeadingNotTOC"/>
      </w:pPr>
      <w:bookmarkStart w:id="6" w:name="ProcPageAD"/>
      <w:r>
        <w:lastRenderedPageBreak/>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B66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b/>
                <w:bCs/>
                <w:color w:val="000000"/>
                <w:sz w:val="20"/>
                <w:szCs w:val="20"/>
              </w:rPr>
            </w:pPr>
            <w:r>
              <w:rPr>
                <w:b/>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color w:val="000000"/>
                <w:sz w:val="20"/>
                <w:szCs w:val="20"/>
              </w:rPr>
            </w:pPr>
            <w:r>
              <w:rPr>
                <w:color w:val="000000"/>
                <w:sz w:val="20"/>
              </w:rPr>
              <w:t xml:space="preserve">Modifica della direttiva 2005/35/CE relativa all’inquinamento provocato dalle navi e all’introduzione di sanzioni, comprese sanzioni penali, per reati di </w:t>
            </w:r>
            <w:r>
              <w:rPr>
                <w:color w:val="000000"/>
                <w:sz w:val="20"/>
              </w:rPr>
              <w:t>inquinamento</w:t>
            </w:r>
          </w:p>
        </w:tc>
      </w:tr>
      <w:tr w:rsidR="006B66B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b/>
                <w:bCs/>
                <w:color w:val="000000"/>
                <w:sz w:val="20"/>
                <w:szCs w:val="20"/>
              </w:rPr>
            </w:pPr>
            <w:r>
              <w:rPr>
                <w:b/>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color w:val="000000"/>
                <w:sz w:val="20"/>
                <w:szCs w:val="20"/>
              </w:rPr>
            </w:pPr>
            <w:r>
              <w:rPr>
                <w:color w:val="000000"/>
                <w:sz w:val="20"/>
              </w:rPr>
              <w:t>COM(2023)0273 – C9-0187/2023 – 2023/0171(COD)</w:t>
            </w:r>
          </w:p>
        </w:tc>
      </w:tr>
      <w:tr w:rsidR="006B66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b/>
                <w:bCs/>
                <w:color w:val="000000"/>
                <w:sz w:val="20"/>
                <w:szCs w:val="20"/>
              </w:rPr>
            </w:pPr>
            <w:r>
              <w:rPr>
                <w:b/>
                <w:color w:val="000000"/>
                <w:sz w:val="20"/>
              </w:rPr>
              <w:t>Commissione competente per il merito</w:t>
            </w:r>
          </w:p>
          <w:p w:rsidR="00AA426B" w:rsidRDefault="00C20DB2">
            <w:pPr>
              <w:autoSpaceDE w:val="0"/>
              <w:autoSpaceDN w:val="0"/>
              <w:adjustRightInd w:val="0"/>
              <w:rPr>
                <w:color w:val="000000"/>
                <w:sz w:val="20"/>
                <w:szCs w:val="20"/>
              </w:rPr>
            </w:pPr>
            <w:r>
              <w:rPr>
                <w:color w:val="000000"/>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A426B" w:rsidRDefault="00C20DB2">
            <w:pPr>
              <w:autoSpaceDE w:val="0"/>
              <w:autoSpaceDN w:val="0"/>
              <w:adjustRightInd w:val="0"/>
              <w:rPr>
                <w:color w:val="000000"/>
                <w:sz w:val="20"/>
                <w:szCs w:val="20"/>
              </w:rPr>
            </w:pPr>
            <w:r>
              <w:rPr>
                <w:color w:val="000000"/>
                <w:sz w:val="20"/>
              </w:rPr>
              <w:t>TRAN</w:t>
            </w:r>
          </w:p>
          <w:p w:rsidR="00AA426B" w:rsidRDefault="00C20DB2">
            <w:pPr>
              <w:autoSpaceDE w:val="0"/>
              <w:autoSpaceDN w:val="0"/>
              <w:adjustRightInd w:val="0"/>
              <w:rPr>
                <w:color w:val="000000"/>
                <w:sz w:val="20"/>
                <w:szCs w:val="20"/>
              </w:rPr>
            </w:pPr>
            <w:r>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A426B" w:rsidRDefault="00AA426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A426B" w:rsidRDefault="00AA426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A426B" w:rsidRDefault="00AA426B">
            <w:pPr>
              <w:autoSpaceDE w:val="0"/>
              <w:autoSpaceDN w:val="0"/>
              <w:adjustRightInd w:val="0"/>
              <w:rPr>
                <w:rFonts w:ascii="sans-serif" w:hAnsi="sans-serif" w:cs="sans-serif"/>
                <w:color w:val="000000"/>
              </w:rPr>
            </w:pPr>
          </w:p>
        </w:tc>
      </w:tr>
      <w:tr w:rsidR="006B66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b/>
                <w:bCs/>
                <w:color w:val="000000"/>
                <w:sz w:val="20"/>
                <w:szCs w:val="20"/>
              </w:rPr>
            </w:pPr>
            <w:r>
              <w:rPr>
                <w:b/>
                <w:color w:val="000000"/>
                <w:sz w:val="20"/>
              </w:rPr>
              <w:t>Parere espresso da</w:t>
            </w:r>
          </w:p>
          <w:p w:rsidR="00AA426B" w:rsidRDefault="00C20DB2">
            <w:pPr>
              <w:autoSpaceDE w:val="0"/>
              <w:autoSpaceDN w:val="0"/>
              <w:adjustRightInd w:val="0"/>
              <w:rPr>
                <w:color w:val="000000"/>
                <w:sz w:val="20"/>
                <w:szCs w:val="20"/>
              </w:rPr>
            </w:pPr>
            <w:r>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color w:val="000000"/>
                <w:sz w:val="20"/>
                <w:szCs w:val="20"/>
              </w:rPr>
            </w:pPr>
            <w:r>
              <w:rPr>
                <w:color w:val="000000"/>
                <w:sz w:val="20"/>
              </w:rPr>
              <w:t>PECH</w:t>
            </w:r>
          </w:p>
          <w:p w:rsidR="00AA426B" w:rsidRDefault="00C20DB2">
            <w:pPr>
              <w:autoSpaceDE w:val="0"/>
              <w:autoSpaceDN w:val="0"/>
              <w:adjustRightInd w:val="0"/>
              <w:rPr>
                <w:color w:val="000000"/>
                <w:sz w:val="20"/>
                <w:szCs w:val="20"/>
              </w:rPr>
            </w:pPr>
            <w:r>
              <w:rPr>
                <w:color w:val="000000"/>
                <w:sz w:val="20"/>
              </w:rPr>
              <w:t>10.7.2023</w:t>
            </w:r>
          </w:p>
        </w:tc>
      </w:tr>
      <w:tr w:rsidR="006B66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b/>
                <w:bCs/>
                <w:color w:val="000000"/>
                <w:sz w:val="20"/>
                <w:szCs w:val="20"/>
              </w:rPr>
            </w:pPr>
            <w:r>
              <w:rPr>
                <w:b/>
                <w:color w:val="000000"/>
                <w:sz w:val="20"/>
              </w:rPr>
              <w:t>Relatore(trice) per parere</w:t>
            </w:r>
          </w:p>
          <w:p w:rsidR="00AA426B" w:rsidRDefault="00C20DB2">
            <w:pPr>
              <w:autoSpaceDE w:val="0"/>
              <w:autoSpaceDN w:val="0"/>
              <w:adjustRightInd w:val="0"/>
              <w:rPr>
                <w:color w:val="000000"/>
                <w:sz w:val="20"/>
                <w:szCs w:val="20"/>
              </w:rPr>
            </w:pPr>
            <w:r>
              <w:rPr>
                <w:color w:val="000000"/>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color w:val="000000"/>
                <w:sz w:val="20"/>
                <w:szCs w:val="20"/>
              </w:rPr>
            </w:pPr>
            <w:r>
              <w:rPr>
                <w:color w:val="000000"/>
                <w:sz w:val="20"/>
              </w:rPr>
              <w:t>Cláudia Monteiro de Aguiar</w:t>
            </w:r>
          </w:p>
          <w:p w:rsidR="00AA426B" w:rsidRDefault="00C20DB2">
            <w:pPr>
              <w:autoSpaceDE w:val="0"/>
              <w:autoSpaceDN w:val="0"/>
              <w:adjustRightInd w:val="0"/>
              <w:rPr>
                <w:color w:val="000000"/>
                <w:sz w:val="20"/>
                <w:szCs w:val="20"/>
              </w:rPr>
            </w:pPr>
            <w:r>
              <w:rPr>
                <w:color w:val="000000"/>
                <w:sz w:val="20"/>
              </w:rPr>
              <w:t>12.9.2023</w:t>
            </w:r>
          </w:p>
        </w:tc>
      </w:tr>
      <w:tr w:rsidR="006B66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b/>
                <w:bCs/>
                <w:color w:val="000000"/>
                <w:sz w:val="20"/>
                <w:szCs w:val="20"/>
              </w:rPr>
            </w:pPr>
            <w:r>
              <w:rPr>
                <w:b/>
                <w:color w:val="000000"/>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A426B" w:rsidRDefault="00C20DB2">
            <w:pPr>
              <w:autoSpaceDE w:val="0"/>
              <w:autoSpaceDN w:val="0"/>
              <w:adjustRightInd w:val="0"/>
              <w:rPr>
                <w:color w:val="000000"/>
                <w:sz w:val="20"/>
                <w:szCs w:val="20"/>
              </w:rPr>
            </w:pPr>
            <w:r>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A426B" w:rsidRDefault="00AA426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A426B" w:rsidRDefault="00AA426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A426B" w:rsidRDefault="00AA426B">
            <w:pPr>
              <w:autoSpaceDE w:val="0"/>
              <w:autoSpaceDN w:val="0"/>
              <w:adjustRightInd w:val="0"/>
              <w:rPr>
                <w:rFonts w:ascii="sans-serif" w:hAnsi="sans-serif" w:cs="sans-serif"/>
                <w:color w:val="000000"/>
              </w:rPr>
            </w:pPr>
          </w:p>
        </w:tc>
      </w:tr>
      <w:tr w:rsidR="006B66B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b/>
                <w:bCs/>
                <w:color w:val="000000"/>
                <w:sz w:val="20"/>
                <w:szCs w:val="20"/>
              </w:rPr>
            </w:pPr>
            <w:r>
              <w:rPr>
                <w:b/>
                <w:color w:val="000000"/>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AA426B" w:rsidRDefault="00C20DB2">
            <w:pPr>
              <w:autoSpaceDE w:val="0"/>
              <w:autoSpaceDN w:val="0"/>
              <w:adjustRightInd w:val="0"/>
              <w:rPr>
                <w:color w:val="000000"/>
                <w:sz w:val="20"/>
                <w:szCs w:val="20"/>
              </w:rPr>
            </w:pPr>
            <w:r>
              <w:rPr>
                <w:color w:val="000000"/>
                <w:sz w:val="20"/>
              </w:rPr>
              <w:t>9.11.2023</w:t>
            </w:r>
          </w:p>
        </w:tc>
        <w:tc>
          <w:tcPr>
            <w:tcW w:w="1474" w:type="dxa"/>
            <w:tcBorders>
              <w:top w:val="nil"/>
              <w:left w:val="nil"/>
              <w:bottom w:val="single" w:sz="8" w:space="0" w:color="000000"/>
              <w:right w:val="nil"/>
            </w:tcBorders>
            <w:tcMar>
              <w:top w:w="79" w:type="dxa"/>
              <w:left w:w="79" w:type="dxa"/>
              <w:bottom w:w="79" w:type="dxa"/>
              <w:right w:w="79" w:type="dxa"/>
            </w:tcMar>
          </w:tcPr>
          <w:p w:rsidR="00AA426B" w:rsidRDefault="00AA426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A426B" w:rsidRDefault="00AA426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A426B" w:rsidRDefault="00AA426B">
            <w:pPr>
              <w:autoSpaceDE w:val="0"/>
              <w:autoSpaceDN w:val="0"/>
              <w:adjustRightInd w:val="0"/>
              <w:rPr>
                <w:rFonts w:ascii="sans-serif" w:hAnsi="sans-serif" w:cs="sans-serif"/>
                <w:color w:val="000000"/>
              </w:rPr>
            </w:pPr>
          </w:p>
        </w:tc>
      </w:tr>
      <w:tr w:rsidR="006B66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b/>
                <w:bCs/>
                <w:color w:val="000000"/>
                <w:sz w:val="20"/>
                <w:szCs w:val="20"/>
              </w:rPr>
            </w:pPr>
            <w:r>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A426B" w:rsidRDefault="00C20DB2">
            <w:pPr>
              <w:autoSpaceDE w:val="0"/>
              <w:autoSpaceDN w:val="0"/>
              <w:adjustRightInd w:val="0"/>
              <w:rPr>
                <w:color w:val="000000"/>
                <w:sz w:val="20"/>
                <w:szCs w:val="20"/>
              </w:rPr>
            </w:pPr>
            <w:r>
              <w:rPr>
                <w:color w:val="000000"/>
                <w:sz w:val="20"/>
              </w:rPr>
              <w:t>+:</w:t>
            </w:r>
          </w:p>
          <w:p w:rsidR="00AA426B" w:rsidRDefault="00C20DB2">
            <w:pPr>
              <w:autoSpaceDE w:val="0"/>
              <w:autoSpaceDN w:val="0"/>
              <w:adjustRightInd w:val="0"/>
              <w:rPr>
                <w:color w:val="000000"/>
                <w:sz w:val="20"/>
                <w:szCs w:val="20"/>
              </w:rPr>
            </w:pPr>
            <w:r>
              <w:rPr>
                <w:color w:val="000000"/>
                <w:sz w:val="20"/>
              </w:rPr>
              <w:t>–:</w:t>
            </w:r>
          </w:p>
          <w:p w:rsidR="00AA426B" w:rsidRDefault="00C20DB2">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color w:val="000000"/>
                <w:sz w:val="20"/>
                <w:szCs w:val="20"/>
              </w:rPr>
            </w:pPr>
            <w:r>
              <w:rPr>
                <w:color w:val="000000"/>
                <w:sz w:val="20"/>
              </w:rPr>
              <w:t>21</w:t>
            </w:r>
          </w:p>
          <w:p w:rsidR="00AA426B" w:rsidRDefault="00C20DB2">
            <w:pPr>
              <w:autoSpaceDE w:val="0"/>
              <w:autoSpaceDN w:val="0"/>
              <w:adjustRightInd w:val="0"/>
              <w:rPr>
                <w:color w:val="000000"/>
                <w:sz w:val="20"/>
                <w:szCs w:val="20"/>
              </w:rPr>
            </w:pPr>
            <w:r>
              <w:rPr>
                <w:color w:val="000000"/>
                <w:sz w:val="20"/>
              </w:rPr>
              <w:t>0</w:t>
            </w:r>
          </w:p>
          <w:p w:rsidR="00AA426B" w:rsidRDefault="00C20DB2">
            <w:pPr>
              <w:autoSpaceDE w:val="0"/>
              <w:autoSpaceDN w:val="0"/>
              <w:adjustRightInd w:val="0"/>
              <w:rPr>
                <w:color w:val="000000"/>
                <w:sz w:val="20"/>
                <w:szCs w:val="20"/>
              </w:rPr>
            </w:pPr>
            <w:r>
              <w:rPr>
                <w:color w:val="000000"/>
                <w:sz w:val="20"/>
              </w:rPr>
              <w:t>1</w:t>
            </w:r>
          </w:p>
        </w:tc>
      </w:tr>
      <w:tr w:rsidR="006B66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b/>
                <w:bCs/>
                <w:color w:val="000000"/>
                <w:sz w:val="20"/>
                <w:szCs w:val="20"/>
              </w:rPr>
            </w:pPr>
            <w:r>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color w:val="000000"/>
                <w:sz w:val="20"/>
                <w:szCs w:val="20"/>
              </w:rPr>
            </w:pPr>
            <w:r>
              <w:rPr>
                <w:color w:val="000000"/>
                <w:sz w:val="20"/>
              </w:rPr>
              <w:t xml:space="preserve">Clara Aguilera, João Albuquerque, Pietro Bartolo, </w:t>
            </w:r>
            <w:r>
              <w:rPr>
                <w:color w:val="000000"/>
                <w:sz w:val="20"/>
              </w:rPr>
              <w:t>François-Xavier Bellamy, Isabel Carvalhais, Asger Christensen, Rosa D’Amato, Francisco Guerreiro, Anja Haga, Anja Hazekamp, Niclas Herbst, Jan Huitema, Ladislav Ilčić, France Jamet, Predrag Fred Matić, Francisco José Millán Mon, Marc Tarabella, Theodoros Z</w:t>
            </w:r>
            <w:r>
              <w:rPr>
                <w:color w:val="000000"/>
                <w:sz w:val="20"/>
              </w:rPr>
              <w:t>agorakis</w:t>
            </w:r>
          </w:p>
        </w:tc>
      </w:tr>
      <w:tr w:rsidR="006B66BE" w:rsidRPr="00C20DB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b/>
                <w:bCs/>
                <w:color w:val="000000"/>
                <w:sz w:val="20"/>
                <w:szCs w:val="20"/>
              </w:rPr>
            </w:pPr>
            <w:r>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A426B" w:rsidRPr="00C20DB2" w:rsidRDefault="00C20DB2">
            <w:pPr>
              <w:autoSpaceDE w:val="0"/>
              <w:autoSpaceDN w:val="0"/>
              <w:adjustRightInd w:val="0"/>
              <w:rPr>
                <w:color w:val="000000"/>
                <w:sz w:val="20"/>
                <w:szCs w:val="20"/>
                <w:lang w:val="pt-PT"/>
              </w:rPr>
            </w:pPr>
            <w:r w:rsidRPr="00C20DB2">
              <w:rPr>
                <w:color w:val="000000"/>
                <w:sz w:val="20"/>
                <w:lang w:val="pt-PT"/>
              </w:rPr>
              <w:t>Cláudia Monteiro de Aguiar, Elżbieta Rafalska, Lucia Vuolo</w:t>
            </w:r>
          </w:p>
        </w:tc>
      </w:tr>
      <w:tr w:rsidR="006B66B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b/>
                <w:bCs/>
                <w:color w:val="000000"/>
                <w:sz w:val="20"/>
                <w:szCs w:val="20"/>
              </w:rPr>
            </w:pPr>
            <w:r>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A426B" w:rsidRDefault="00C20DB2">
            <w:pPr>
              <w:autoSpaceDE w:val="0"/>
              <w:autoSpaceDN w:val="0"/>
              <w:adjustRightInd w:val="0"/>
              <w:rPr>
                <w:color w:val="000000"/>
                <w:sz w:val="20"/>
                <w:szCs w:val="20"/>
              </w:rPr>
            </w:pPr>
            <w:r>
              <w:rPr>
                <w:color w:val="000000"/>
                <w:sz w:val="20"/>
              </w:rPr>
              <w:t>Iskra Mihaylova</w:t>
            </w:r>
          </w:p>
        </w:tc>
      </w:tr>
    </w:tbl>
    <w:p w:rsidR="00AA426B" w:rsidRPr="00D56ECC" w:rsidRDefault="00AA426B" w:rsidP="00D56ECC"/>
    <w:bookmarkEnd w:id="6"/>
    <w:p w:rsidR="00D56ECC" w:rsidRDefault="00D56ECC" w:rsidP="00D56ECC">
      <w:pPr>
        <w:sectPr w:rsidR="00D56ECC" w:rsidSect="00D56E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D56ECC" w:rsidRPr="00B11CA6" w:rsidRDefault="00C20DB2" w:rsidP="00D56ECC">
      <w:pPr>
        <w:pStyle w:val="PageHeadingNotTOC"/>
      </w:pPr>
      <w:bookmarkStart w:id="7" w:name="RollCallPageAD"/>
      <w:r>
        <w:t>VOTAZIONE FINALE PER APPELLO NOMINALE</w:t>
      </w:r>
      <w:r>
        <w:br/>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B66BE" w:rsidTr="00586ACF">
        <w:trPr>
          <w:cantSplit/>
        </w:trPr>
        <w:tc>
          <w:tcPr>
            <w:tcW w:w="1701" w:type="dxa"/>
            <w:shd w:val="pct10" w:color="000000" w:fill="FFFFFF"/>
            <w:vAlign w:val="center"/>
          </w:tcPr>
          <w:p w:rsidR="00D56ECC" w:rsidRPr="00B11CA6" w:rsidRDefault="00C20DB2" w:rsidP="00586ACF">
            <w:pPr>
              <w:pStyle w:val="RollCallVotes"/>
            </w:pPr>
            <w:r>
              <w:t>21</w:t>
            </w:r>
          </w:p>
        </w:tc>
        <w:tc>
          <w:tcPr>
            <w:tcW w:w="7371" w:type="dxa"/>
            <w:shd w:val="pct10" w:color="000000" w:fill="FFFFFF"/>
          </w:tcPr>
          <w:p w:rsidR="00D56ECC" w:rsidRPr="00B11CA6" w:rsidRDefault="00C20DB2" w:rsidP="00586ACF">
            <w:pPr>
              <w:pStyle w:val="RollCallSymbols14pt"/>
            </w:pPr>
            <w:r>
              <w:t>+</w:t>
            </w:r>
          </w:p>
        </w:tc>
      </w:tr>
      <w:tr w:rsidR="006B66BE" w:rsidTr="00586ACF">
        <w:trPr>
          <w:cantSplit/>
        </w:trPr>
        <w:tc>
          <w:tcPr>
            <w:tcW w:w="1701" w:type="dxa"/>
            <w:shd w:val="clear" w:color="auto" w:fill="FFFFFF"/>
          </w:tcPr>
          <w:p w:rsidR="00D56ECC" w:rsidRPr="00B11CA6" w:rsidRDefault="00C20DB2" w:rsidP="00586ACF">
            <w:pPr>
              <w:pStyle w:val="RollCallTable"/>
            </w:pPr>
            <w:r>
              <w:t>ECR</w:t>
            </w:r>
          </w:p>
        </w:tc>
        <w:tc>
          <w:tcPr>
            <w:tcW w:w="7371" w:type="dxa"/>
            <w:shd w:val="clear" w:color="auto" w:fill="FFFFFF"/>
          </w:tcPr>
          <w:p w:rsidR="00D56ECC" w:rsidRPr="00B11CA6" w:rsidRDefault="00C20DB2" w:rsidP="00586ACF">
            <w:pPr>
              <w:pStyle w:val="RollCallTable"/>
            </w:pPr>
            <w:r>
              <w:t>Ladislav Ilčić, Elżbieta Rafalska</w:t>
            </w:r>
          </w:p>
        </w:tc>
      </w:tr>
      <w:tr w:rsidR="006B66BE" w:rsidTr="00586ACF">
        <w:trPr>
          <w:cantSplit/>
        </w:trPr>
        <w:tc>
          <w:tcPr>
            <w:tcW w:w="1701" w:type="dxa"/>
            <w:shd w:val="clear" w:color="auto" w:fill="FFFFFF"/>
          </w:tcPr>
          <w:p w:rsidR="00D56ECC" w:rsidRPr="00B11CA6" w:rsidRDefault="00C20DB2" w:rsidP="00586ACF">
            <w:pPr>
              <w:pStyle w:val="RollCallTable"/>
            </w:pPr>
            <w:r>
              <w:t>NI</w:t>
            </w:r>
          </w:p>
        </w:tc>
        <w:tc>
          <w:tcPr>
            <w:tcW w:w="7371" w:type="dxa"/>
            <w:shd w:val="clear" w:color="auto" w:fill="FFFFFF"/>
          </w:tcPr>
          <w:p w:rsidR="00D56ECC" w:rsidRPr="00B11CA6" w:rsidRDefault="00C20DB2" w:rsidP="00586ACF">
            <w:pPr>
              <w:pStyle w:val="RollCallTable"/>
            </w:pPr>
            <w:r>
              <w:t>Marc Tarabella</w:t>
            </w:r>
          </w:p>
        </w:tc>
      </w:tr>
      <w:tr w:rsidR="006B66BE" w:rsidTr="00586ACF">
        <w:trPr>
          <w:cantSplit/>
        </w:trPr>
        <w:tc>
          <w:tcPr>
            <w:tcW w:w="1701" w:type="dxa"/>
            <w:shd w:val="clear" w:color="auto" w:fill="FFFFFF"/>
          </w:tcPr>
          <w:p w:rsidR="00D56ECC" w:rsidRPr="00B11CA6" w:rsidRDefault="00C20DB2" w:rsidP="00586ACF">
            <w:pPr>
              <w:pStyle w:val="RollCallTable"/>
            </w:pPr>
            <w:r>
              <w:t>PPE</w:t>
            </w:r>
          </w:p>
        </w:tc>
        <w:tc>
          <w:tcPr>
            <w:tcW w:w="7371" w:type="dxa"/>
            <w:shd w:val="clear" w:color="auto" w:fill="FFFFFF"/>
          </w:tcPr>
          <w:p w:rsidR="00D56ECC" w:rsidRPr="00B11CA6" w:rsidRDefault="00C20DB2" w:rsidP="00586ACF">
            <w:pPr>
              <w:pStyle w:val="RollCallTable"/>
            </w:pPr>
            <w:r>
              <w:t xml:space="preserve">François-Xavier Bellamy, Anja Haga, Niclas Herbst, Francisco José Millán Mon, Cláudia Monteiro de </w:t>
            </w:r>
            <w:r>
              <w:t>Aguiar, Lucia Vuolo, Theodoros Zagorakis</w:t>
            </w:r>
          </w:p>
        </w:tc>
      </w:tr>
      <w:tr w:rsidR="006B66BE" w:rsidTr="00586ACF">
        <w:trPr>
          <w:cantSplit/>
        </w:trPr>
        <w:tc>
          <w:tcPr>
            <w:tcW w:w="1701" w:type="dxa"/>
            <w:shd w:val="clear" w:color="auto" w:fill="FFFFFF"/>
          </w:tcPr>
          <w:p w:rsidR="00D56ECC" w:rsidRPr="00B11CA6" w:rsidRDefault="00C20DB2" w:rsidP="00586ACF">
            <w:pPr>
              <w:pStyle w:val="RollCallTable"/>
            </w:pPr>
            <w:r>
              <w:t>Renew</w:t>
            </w:r>
          </w:p>
        </w:tc>
        <w:tc>
          <w:tcPr>
            <w:tcW w:w="7371" w:type="dxa"/>
            <w:shd w:val="clear" w:color="auto" w:fill="FFFFFF"/>
          </w:tcPr>
          <w:p w:rsidR="00D56ECC" w:rsidRPr="00B11CA6" w:rsidRDefault="00C20DB2" w:rsidP="00586ACF">
            <w:pPr>
              <w:pStyle w:val="RollCallTable"/>
            </w:pPr>
            <w:r>
              <w:t>Asger Christensen, Jan Huitema, Iskra Mihaylova</w:t>
            </w:r>
          </w:p>
        </w:tc>
      </w:tr>
      <w:tr w:rsidR="006B66BE" w:rsidRPr="00C20DB2" w:rsidTr="00586ACF">
        <w:trPr>
          <w:cantSplit/>
        </w:trPr>
        <w:tc>
          <w:tcPr>
            <w:tcW w:w="1701" w:type="dxa"/>
            <w:shd w:val="clear" w:color="auto" w:fill="FFFFFF"/>
          </w:tcPr>
          <w:p w:rsidR="00D56ECC" w:rsidRPr="00B11CA6" w:rsidRDefault="00C20DB2" w:rsidP="00586ACF">
            <w:pPr>
              <w:pStyle w:val="RollCallTable"/>
            </w:pPr>
            <w:r>
              <w:t>S&amp;D</w:t>
            </w:r>
          </w:p>
        </w:tc>
        <w:tc>
          <w:tcPr>
            <w:tcW w:w="7371" w:type="dxa"/>
            <w:shd w:val="clear" w:color="auto" w:fill="FFFFFF"/>
          </w:tcPr>
          <w:p w:rsidR="00D56ECC" w:rsidRPr="00C20DB2" w:rsidRDefault="00C20DB2" w:rsidP="00586ACF">
            <w:pPr>
              <w:pStyle w:val="RollCallTable"/>
              <w:rPr>
                <w:lang w:val="pt-PT"/>
              </w:rPr>
            </w:pPr>
            <w:r w:rsidRPr="00C20DB2">
              <w:rPr>
                <w:lang w:val="pt-PT"/>
              </w:rPr>
              <w:t>Clara Aguilera, João Albuquerque, Pietro Bartolo, Isabel Carvalhais, Predrag Fred Matić</w:t>
            </w:r>
          </w:p>
        </w:tc>
      </w:tr>
      <w:tr w:rsidR="006B66BE" w:rsidTr="00586ACF">
        <w:trPr>
          <w:cantSplit/>
        </w:trPr>
        <w:tc>
          <w:tcPr>
            <w:tcW w:w="1701" w:type="dxa"/>
            <w:shd w:val="clear" w:color="auto" w:fill="FFFFFF"/>
          </w:tcPr>
          <w:p w:rsidR="00D56ECC" w:rsidRPr="00B11CA6" w:rsidRDefault="00C20DB2" w:rsidP="00586ACF">
            <w:pPr>
              <w:pStyle w:val="RollCallTable"/>
            </w:pPr>
            <w:r>
              <w:t>The Left</w:t>
            </w:r>
          </w:p>
        </w:tc>
        <w:tc>
          <w:tcPr>
            <w:tcW w:w="7371" w:type="dxa"/>
            <w:shd w:val="clear" w:color="auto" w:fill="FFFFFF"/>
          </w:tcPr>
          <w:p w:rsidR="00D56ECC" w:rsidRPr="00B11CA6" w:rsidRDefault="00C20DB2" w:rsidP="00586ACF">
            <w:pPr>
              <w:pStyle w:val="RollCallTable"/>
            </w:pPr>
            <w:r>
              <w:t>Anja Hazekamp</w:t>
            </w:r>
          </w:p>
        </w:tc>
      </w:tr>
      <w:tr w:rsidR="006B66BE" w:rsidTr="00586ACF">
        <w:trPr>
          <w:cantSplit/>
        </w:trPr>
        <w:tc>
          <w:tcPr>
            <w:tcW w:w="1701" w:type="dxa"/>
            <w:shd w:val="clear" w:color="auto" w:fill="FFFFFF"/>
          </w:tcPr>
          <w:p w:rsidR="00D56ECC" w:rsidRPr="00B11CA6" w:rsidRDefault="00C20DB2" w:rsidP="00586ACF">
            <w:pPr>
              <w:pStyle w:val="RollCallTable"/>
            </w:pPr>
            <w:r>
              <w:t>Verts/ALE</w:t>
            </w:r>
          </w:p>
        </w:tc>
        <w:tc>
          <w:tcPr>
            <w:tcW w:w="7371" w:type="dxa"/>
            <w:shd w:val="clear" w:color="auto" w:fill="FFFFFF"/>
          </w:tcPr>
          <w:p w:rsidR="00D56ECC" w:rsidRPr="00B11CA6" w:rsidRDefault="00C20DB2" w:rsidP="00586ACF">
            <w:pPr>
              <w:pStyle w:val="RollCallTable"/>
            </w:pPr>
            <w:r>
              <w:t>Rosa D'Amato, Francisco Guerreir</w:t>
            </w:r>
            <w:r>
              <w:t>o</w:t>
            </w:r>
          </w:p>
        </w:tc>
      </w:tr>
    </w:tbl>
    <w:p w:rsidR="00D56ECC" w:rsidRPr="00B11CA6" w:rsidRDefault="00D56ECC" w:rsidP="00D56EC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B66BE" w:rsidTr="00586ACF">
        <w:trPr>
          <w:cantSplit/>
        </w:trPr>
        <w:tc>
          <w:tcPr>
            <w:tcW w:w="1701" w:type="dxa"/>
            <w:shd w:val="pct10" w:color="000000" w:fill="FFFFFF"/>
            <w:vAlign w:val="center"/>
          </w:tcPr>
          <w:p w:rsidR="00D56ECC" w:rsidRPr="00B11CA6" w:rsidRDefault="00C20DB2" w:rsidP="00586ACF">
            <w:pPr>
              <w:pStyle w:val="RollCallVotes"/>
            </w:pPr>
            <w:r>
              <w:t>0</w:t>
            </w:r>
          </w:p>
        </w:tc>
        <w:tc>
          <w:tcPr>
            <w:tcW w:w="7371" w:type="dxa"/>
            <w:shd w:val="pct10" w:color="000000" w:fill="FFFFFF"/>
          </w:tcPr>
          <w:p w:rsidR="00D56ECC" w:rsidRPr="00B11CA6" w:rsidRDefault="00C20DB2" w:rsidP="00586ACF">
            <w:pPr>
              <w:pStyle w:val="RollCallSymbols14pt"/>
            </w:pPr>
            <w:r>
              <w:t>-</w:t>
            </w:r>
          </w:p>
        </w:tc>
      </w:tr>
      <w:tr w:rsidR="006B66BE" w:rsidTr="00586ACF">
        <w:trPr>
          <w:cantSplit/>
        </w:trPr>
        <w:tc>
          <w:tcPr>
            <w:tcW w:w="1701" w:type="dxa"/>
            <w:shd w:val="clear" w:color="auto" w:fill="FFFFFF"/>
          </w:tcPr>
          <w:p w:rsidR="00D56ECC" w:rsidRPr="00B11CA6" w:rsidRDefault="00D56ECC" w:rsidP="00586ACF">
            <w:pPr>
              <w:pStyle w:val="RollCallTable"/>
            </w:pPr>
          </w:p>
        </w:tc>
        <w:tc>
          <w:tcPr>
            <w:tcW w:w="7371" w:type="dxa"/>
            <w:shd w:val="clear" w:color="auto" w:fill="FFFFFF"/>
          </w:tcPr>
          <w:p w:rsidR="00D56ECC" w:rsidRPr="00B11CA6" w:rsidRDefault="00D56ECC" w:rsidP="00586ACF">
            <w:pPr>
              <w:pStyle w:val="RollCallTable"/>
            </w:pPr>
          </w:p>
        </w:tc>
      </w:tr>
    </w:tbl>
    <w:p w:rsidR="00D56ECC" w:rsidRPr="00B11CA6" w:rsidRDefault="00D56ECC" w:rsidP="00D56EC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B66BE" w:rsidTr="00586ACF">
        <w:trPr>
          <w:cantSplit/>
        </w:trPr>
        <w:tc>
          <w:tcPr>
            <w:tcW w:w="1701" w:type="dxa"/>
            <w:shd w:val="pct10" w:color="000000" w:fill="FFFFFF"/>
            <w:vAlign w:val="center"/>
          </w:tcPr>
          <w:p w:rsidR="00D56ECC" w:rsidRPr="00B11CA6" w:rsidRDefault="00C20DB2" w:rsidP="00586ACF">
            <w:pPr>
              <w:pStyle w:val="RollCallVotes"/>
            </w:pPr>
            <w:r>
              <w:t>1</w:t>
            </w:r>
          </w:p>
        </w:tc>
        <w:tc>
          <w:tcPr>
            <w:tcW w:w="7371" w:type="dxa"/>
            <w:shd w:val="pct10" w:color="000000" w:fill="FFFFFF"/>
          </w:tcPr>
          <w:p w:rsidR="00D56ECC" w:rsidRPr="00B11CA6" w:rsidRDefault="00C20DB2" w:rsidP="00586ACF">
            <w:pPr>
              <w:pStyle w:val="RollCallSymbols14pt"/>
            </w:pPr>
            <w:r>
              <w:t>0</w:t>
            </w:r>
          </w:p>
        </w:tc>
      </w:tr>
      <w:tr w:rsidR="006B66BE" w:rsidTr="00586ACF">
        <w:trPr>
          <w:cantSplit/>
        </w:trPr>
        <w:tc>
          <w:tcPr>
            <w:tcW w:w="1701" w:type="dxa"/>
            <w:shd w:val="clear" w:color="auto" w:fill="FFFFFF"/>
          </w:tcPr>
          <w:p w:rsidR="00D56ECC" w:rsidRPr="00B11CA6" w:rsidRDefault="00C20DB2" w:rsidP="00586ACF">
            <w:pPr>
              <w:pStyle w:val="RollCallTable"/>
            </w:pPr>
            <w:r>
              <w:t>ID</w:t>
            </w:r>
          </w:p>
        </w:tc>
        <w:tc>
          <w:tcPr>
            <w:tcW w:w="7371" w:type="dxa"/>
            <w:shd w:val="clear" w:color="auto" w:fill="FFFFFF"/>
          </w:tcPr>
          <w:p w:rsidR="00D56ECC" w:rsidRPr="00B11CA6" w:rsidRDefault="00C20DB2" w:rsidP="00586ACF">
            <w:pPr>
              <w:pStyle w:val="RollCallTable"/>
            </w:pPr>
            <w:r>
              <w:t>France Jamet</w:t>
            </w:r>
          </w:p>
        </w:tc>
      </w:tr>
    </w:tbl>
    <w:p w:rsidR="00D56ECC" w:rsidRDefault="00D56ECC" w:rsidP="00D56ECC">
      <w:pPr>
        <w:pStyle w:val="PageHeadingNotTOC"/>
      </w:pPr>
    </w:p>
    <w:p w:rsidR="00D56ECC" w:rsidRDefault="00C20DB2" w:rsidP="00B735E3">
      <w:r>
        <w:t>Significato dei simboli utilizzati:</w:t>
      </w:r>
    </w:p>
    <w:p w:rsidR="00D56ECC" w:rsidRDefault="00C20DB2" w:rsidP="003858C5">
      <w:pPr>
        <w:pStyle w:val="RollCallTabs"/>
      </w:pPr>
      <w:r>
        <w:t>+</w:t>
      </w:r>
      <w:r>
        <w:tab/>
        <w:t>:</w:t>
      </w:r>
      <w:r>
        <w:tab/>
        <w:t>favorevoli</w:t>
      </w:r>
    </w:p>
    <w:p w:rsidR="00D56ECC" w:rsidRDefault="00C20DB2" w:rsidP="003858C5">
      <w:pPr>
        <w:pStyle w:val="RollCallTabs"/>
      </w:pPr>
      <w:r>
        <w:t>-</w:t>
      </w:r>
      <w:r>
        <w:tab/>
        <w:t>:</w:t>
      </w:r>
      <w:r>
        <w:tab/>
        <w:t>contrari</w:t>
      </w:r>
    </w:p>
    <w:p w:rsidR="00D56ECC" w:rsidRDefault="00C20DB2" w:rsidP="003858C5">
      <w:pPr>
        <w:pStyle w:val="RollCallTabs"/>
      </w:pPr>
      <w:r>
        <w:t>0</w:t>
      </w:r>
      <w:r>
        <w:tab/>
        <w:t>:</w:t>
      </w:r>
      <w:r>
        <w:tab/>
        <w:t>astenuti</w:t>
      </w:r>
    </w:p>
    <w:p w:rsidR="00D56ECC" w:rsidRDefault="00D56ECC" w:rsidP="00207509"/>
    <w:bookmarkEnd w:id="7"/>
    <w:p w:rsidR="00DB56E4" w:rsidRPr="00D56ECC" w:rsidRDefault="00DB56E4" w:rsidP="00D56ECC"/>
    <w:sectPr w:rsidR="00DB56E4" w:rsidRPr="00D56ECC" w:rsidSect="00D56EC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20DB2">
      <w:r>
        <w:separator/>
      </w:r>
    </w:p>
  </w:endnote>
  <w:endnote w:type="continuationSeparator" w:id="0">
    <w:p w:rsidR="00000000" w:rsidRDefault="00C20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26B" w:rsidRDefault="00C20DB2" w:rsidP="00AA426B">
    <w:pPr>
      <w:pStyle w:val="EPFooter"/>
    </w:pPr>
    <w:r>
      <w:t>PE</w:t>
    </w:r>
    <w:r w:rsidRPr="00AA426B">
      <w:rPr>
        <w:rStyle w:val="HideTWBExt"/>
      </w:rPr>
      <w:t>&lt;NoPE&gt;</w:t>
    </w:r>
    <w:r>
      <w:t>753.445</w:t>
    </w:r>
    <w:r w:rsidRPr="00AA426B">
      <w:rPr>
        <w:rStyle w:val="HideTWBExt"/>
      </w:rPr>
      <w:t>&lt;/NoPE&gt;&lt;Version&gt;</w:t>
    </w:r>
    <w:r>
      <w:t>v03-00</w:t>
    </w:r>
    <w:r w:rsidRPr="00AA426B">
      <w:rPr>
        <w:rStyle w:val="HideTWBExt"/>
      </w:rPr>
      <w:t>&lt;/Version&gt;</w:t>
    </w:r>
    <w:r>
      <w:tab/>
    </w:r>
    <w:r>
      <w:fldChar w:fldCharType="begin"/>
    </w:r>
    <w:r>
      <w:instrText xml:space="preserve"> PAGE  \* MERGEFORMAT </w:instrText>
    </w:r>
    <w:r>
      <w:fldChar w:fldCharType="separate"/>
    </w:r>
    <w:r>
      <w:rPr>
        <w:noProof/>
      </w:rPr>
      <w:t>30</w:t>
    </w:r>
    <w:r>
      <w:fldChar w:fldCharType="end"/>
    </w:r>
    <w:r>
      <w:t>/</w:t>
    </w:r>
    <w:r w:rsidR="00D56ECC">
      <w:fldChar w:fldCharType="begin"/>
    </w:r>
    <w:r>
      <w:instrText xml:space="preserve"> NUMPAGES  \* MERGEFORMAT </w:instrText>
    </w:r>
    <w:r w:rsidR="00D56ECC">
      <w:fldChar w:fldCharType="separate"/>
    </w:r>
    <w:r>
      <w:rPr>
        <w:noProof/>
      </w:rPr>
      <w:t>32</w:t>
    </w:r>
    <w:r w:rsidR="00D56ECC">
      <w:rPr>
        <w:noProof/>
      </w:rPr>
      <w:fldChar w:fldCharType="end"/>
    </w:r>
    <w:r>
      <w:tab/>
    </w:r>
    <w:r w:rsidRPr="00AA426B">
      <w:rPr>
        <w:rStyle w:val="HideTWBExt"/>
      </w:rPr>
      <w:t>&lt;PathFdR&gt;</w:t>
    </w:r>
    <w:r>
      <w:t>AD\1290360IT.docx</w:t>
    </w:r>
    <w:r w:rsidRPr="00AA426B">
      <w:rPr>
        <w:rStyle w:val="HideTWBExt"/>
      </w:rPr>
      <w:t>&lt;/PathFdR&gt;</w:t>
    </w:r>
  </w:p>
  <w:p w:rsidR="007F187F" w:rsidRPr="000E21A0" w:rsidRDefault="00C20DB2" w:rsidP="00AA426B">
    <w:pPr>
      <w:pStyle w:val="EPFooter2"/>
    </w:pPr>
    <w:r>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26B" w:rsidRDefault="00C20DB2" w:rsidP="00AA426B">
    <w:pPr>
      <w:pStyle w:val="EPFooter"/>
    </w:pPr>
    <w:r w:rsidRPr="00AA426B">
      <w:rPr>
        <w:rStyle w:val="HideTWBExt"/>
      </w:rPr>
      <w:t>&lt;PathFdR&gt;</w:t>
    </w:r>
    <w:r>
      <w:t>AD\1290360IT.docx</w:t>
    </w:r>
    <w:r w:rsidRPr="00AA426B">
      <w:rPr>
        <w:rStyle w:val="HideTWBExt"/>
      </w:rPr>
      <w:t>&lt;/PathFdR&gt;</w:t>
    </w:r>
    <w:r>
      <w:tab/>
    </w:r>
    <w:r>
      <w:fldChar w:fldCharType="begin"/>
    </w:r>
    <w:r>
      <w:instrText xml:space="preserve"> PAGE  \* MERGEFORMAT </w:instrText>
    </w:r>
    <w:r>
      <w:fldChar w:fldCharType="separate"/>
    </w:r>
    <w:r>
      <w:rPr>
        <w:noProof/>
      </w:rPr>
      <w:t>29</w:t>
    </w:r>
    <w:r>
      <w:fldChar w:fldCharType="end"/>
    </w:r>
    <w:r>
      <w:t>/</w:t>
    </w:r>
    <w:r w:rsidR="00D56ECC">
      <w:fldChar w:fldCharType="begin"/>
    </w:r>
    <w:r>
      <w:instrText xml:space="preserve"> NUMPAGES  \* MERGEFORMAT </w:instrText>
    </w:r>
    <w:r w:rsidR="00D56ECC">
      <w:fldChar w:fldCharType="separate"/>
    </w:r>
    <w:r>
      <w:rPr>
        <w:noProof/>
      </w:rPr>
      <w:t>32</w:t>
    </w:r>
    <w:r w:rsidR="00D56ECC">
      <w:rPr>
        <w:noProof/>
      </w:rPr>
      <w:fldChar w:fldCharType="end"/>
    </w:r>
    <w:r>
      <w:tab/>
      <w:t>PE</w:t>
    </w:r>
    <w:r w:rsidRPr="00AA426B">
      <w:rPr>
        <w:rStyle w:val="HideTWBExt"/>
      </w:rPr>
      <w:t>&lt;NoPE&gt;</w:t>
    </w:r>
    <w:r>
      <w:t>753.445</w:t>
    </w:r>
    <w:r w:rsidRPr="00AA426B">
      <w:rPr>
        <w:rStyle w:val="HideTWBExt"/>
      </w:rPr>
      <w:t>&lt;/NoPE&gt;&lt;Version&gt;</w:t>
    </w:r>
    <w:r>
      <w:t>v03-00</w:t>
    </w:r>
    <w:r w:rsidRPr="00AA426B">
      <w:rPr>
        <w:rStyle w:val="HideTWBExt"/>
      </w:rPr>
      <w:t>&lt;/Version&gt;</w:t>
    </w:r>
  </w:p>
  <w:p w:rsidR="007F187F" w:rsidRPr="000E21A0" w:rsidRDefault="00C20DB2" w:rsidP="00AA426B">
    <w:pPr>
      <w:pStyle w:val="EPFooter2"/>
    </w:pPr>
    <w:r>
      <w:tab/>
    </w:r>
    <w: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26B" w:rsidRDefault="00C20DB2" w:rsidP="00AA426B">
    <w:pPr>
      <w:pStyle w:val="EPFooter"/>
    </w:pPr>
    <w:r w:rsidRPr="00AA426B">
      <w:rPr>
        <w:rStyle w:val="HideTWBExt"/>
      </w:rPr>
      <w:t>&lt;PathFdR&gt;</w:t>
    </w:r>
    <w:r>
      <w:t>AD\1290360IT.docx</w:t>
    </w:r>
    <w:r w:rsidRPr="00AA426B">
      <w:rPr>
        <w:rStyle w:val="HideTWBExt"/>
      </w:rPr>
      <w:t>&lt;/PathFdR&gt;</w:t>
    </w:r>
    <w:r>
      <w:tab/>
    </w:r>
    <w:r>
      <w:tab/>
      <w:t>PE</w:t>
    </w:r>
    <w:r w:rsidRPr="00AA426B">
      <w:rPr>
        <w:rStyle w:val="HideTWBExt"/>
      </w:rPr>
      <w:t>&lt;NoPE&gt;</w:t>
    </w:r>
    <w:r>
      <w:t>753.445</w:t>
    </w:r>
    <w:r w:rsidRPr="00AA426B">
      <w:rPr>
        <w:rStyle w:val="HideTWBExt"/>
      </w:rPr>
      <w:t>&lt;/NoPE&gt;&lt;Version&gt;</w:t>
    </w:r>
    <w:r>
      <w:t>v03-00</w:t>
    </w:r>
    <w:r w:rsidRPr="00AA426B">
      <w:rPr>
        <w:rStyle w:val="HideTWBExt"/>
      </w:rPr>
      <w:t>&lt;/Version&gt;</w:t>
    </w:r>
  </w:p>
  <w:p w:rsidR="007F187F" w:rsidRPr="000E21A0" w:rsidRDefault="00C20DB2" w:rsidP="00AA426B">
    <w:pPr>
      <w:pStyle w:val="EPFooter2"/>
    </w:pPr>
    <w:r>
      <w:t>IT</w:t>
    </w:r>
    <w:r>
      <w:tab/>
    </w:r>
    <w:r w:rsidRPr="00AA426B">
      <w:rPr>
        <w:b w:val="0"/>
        <w:i/>
        <w:color w:val="C0C0C0"/>
        <w:sz w:val="22"/>
      </w:rPr>
      <w:t>Unita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1A0" w:rsidRPr="000E21A0" w:rsidRDefault="00C20DB2">
      <w:r w:rsidRPr="000E21A0">
        <w:separator/>
      </w:r>
    </w:p>
  </w:footnote>
  <w:footnote w:type="continuationSeparator" w:id="0">
    <w:p w:rsidR="000E21A0" w:rsidRPr="000E21A0" w:rsidRDefault="00C20DB2">
      <w:r w:rsidRPr="000E21A0">
        <w:continuationSeparator/>
      </w:r>
    </w:p>
  </w:footnote>
  <w:footnote w:id="1">
    <w:p w:rsidR="00D56ECC" w:rsidRPr="001B453A" w:rsidRDefault="00C20DB2" w:rsidP="00D56ECC">
      <w:pPr>
        <w:pStyle w:val="FootnoteText"/>
      </w:pPr>
      <w:r>
        <w:rPr>
          <w:rStyle w:val="FootnoteReference"/>
        </w:rPr>
        <w:footnoteRef/>
      </w:r>
      <w:r>
        <w:t xml:space="preserve"> GU L 255 del 30.9.2005, pag. 11.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ECC" w:rsidRDefault="00D56E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ECC" w:rsidRDefault="00D56E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ECC" w:rsidRDefault="00D56E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2"/>
    <w:docVar w:name="CJMNU" w:val="1"/>
    <w:docVar w:name="CODEMNU" w:val=" 1"/>
    <w:docVar w:name="COM2KEY" w:val="TRAN"/>
    <w:docVar w:name="COMKEY" w:val="PECH"/>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53102 HideTWBExt;}{_x000d__x000a_\s18\ql \li0\ri0\sa120\nowidctlpar\wrapdefault\aspalpha\aspnum\faauto\adjustright\rin0\lin0\itap0 \rtlch\fcs1 \af0\afs20\alang1025 \ltrch\fcs0 \fs24\lang1040\langfe2057\cgrid\langnp1040\langfenp2057 \sbasedon0 \snext18 \spriority0 \styrsid4153102 _x000d__x000a_Normal6a;}{\s19\ql \li0\ri0\nowidctlpar\wrapdefault\aspalpha\aspnum\faauto\adjustright\rin0\lin0\itap0 \rtlch\fcs1 \af0\afs20\alang1025 \ltrch\fcs0 \b\fs24\lang1040\langfe2057\cgrid\langnp1040\langfenp2057 \sbasedon0 \snext19 \spriority0 \styrsid4153102 _x000d__x000a_NormalBold;}{\*\cs20 \additive \v\f1\fs20\cf15 \spriority0 \styrsid4153102 HideTWBInt;}{\s21\qc \li0\ri0\sa240\nowidctlpar\wrapdefault\aspalpha\aspnum\faauto\adjustright\rin0\lin0\itap0 \rtlch\fcs1 \af0\afs20\alang1025 \ltrch\fcs0 _x000d__x000a_\i\fs24\lang1040\langfe2057\cgrid\langnp1040\langfenp2057 \sbasedon0 \snext21 \spriority0 \styrsid415310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2 \spriority0 \styrsid4153102 AmNumberTabs;}{\s23\ql \li0\ri0\sb240\nowidctlpar\wrapdefault\aspalpha\aspnum\faauto\adjustright\rin0\lin0\itap0 \rtlch\fcs1 _x000d__x000a_\af0\afs20\alang1025 \ltrch\fcs0 \b\fs24\lang1040\langfe2057\cgrid\langnp1040\langfenp2057 \sbasedon0 \snext23 \spriority0 \styrsid4153102 NormalBold12b;}}{\*\rsidtbl \rsid24658\rsid223860\rsid735077\rsid1718133\rsid2892074\rsid3565327\rsid4153102_x000d__x000a_\rsid4666813\rsid6641733\rsid7823322\rsid9636012\rsid10377208\rsid11215221\rsid11549030\rsid12154954\rsid14382809\rsid14424199\rsid15204470\rsid15236995\rsid15285974\rsid15950462\rsid16324206\rsid16662270}{\mmathPr\mmathFont34\mbrkBin0\mbrkBinSub0_x000d__x000a_\msmallFrac0\mdispDef1\mlMargin0\mrMargin0\mdefJc1\mwrapIndent1440\mintLim0\mnaryLim1}{\info{\author LATERZA Angela}{\operator LATERZA Angela}{\creatim\yr2023\mo11\dy22\hr10\min21}{\revtim\yr2023\mo11\dy22\hr10\min21}{\version1}{\edmins0}{\nofpages1}_x000d__x000a_{\nofwords34}{\nofchars200}{\nofcharsws23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53102\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15236995 \chftnsep _x000d__x000a_\par }}{\*\ftnsepc \ltrpar \pard\plain \ltrpar\ql \li0\ri0\widctlpar\wrapdefault\aspalpha\aspnum\faauto\adjustright\rin0\lin0\itap0 \rtlch\fcs1 \af0\afs20\alang1025 \ltrch\fcs0 \fs24\lang2057\langfe2057\cgrid\langnp2057\langfenp2057 {\rtlch\fcs1 \af0 _x000d__x000a_\ltrch\fcs0 \insrsid15236995 \chftnsepc _x000d__x000a_\par }}{\*\aftnsep \ltrpar \pard\plain \ltrpar\ql \li0\ri0\widctlpar\wrapdefault\aspalpha\aspnum\faauto\adjustright\rin0\lin0\itap0 \rtlch\fcs1 \af0\afs20\alang1025 \ltrch\fcs0 \fs24\lang2057\langfe2057\cgrid\langnp2057\langfenp2057 {\rtlch\fcs1 \af0 _x000d__x000a_\ltrch\fcs0 \insrsid15236995 \chftnsep _x000d__x000a_\par }}{\*\aftnsepc \ltrpar \pard\plain \ltrpar\ql \li0\ri0\widctlpar\wrapdefault\aspalpha\aspnum\faauto\adjustright\rin0\lin0\itap0 \rtlch\fcs1 \af0\afs20\alang1025 \ltrch\fcs0 \fs24\lang2057\langfe2057\cgrid\langnp2057\langfenp2057 {\rtlch\fcs1 \af0 _x000d__x000a_\ltrch\fcs0 \insrsid152369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4153102 \rtlch\fcs1 _x000d__x000a_\af0\afs20\alang1025 \ltrch\fcs0 \b\fs24\lang1040\langfe2057\cgrid\langnp1040\langfenp2057 {\rtlch\fcs1 \af0 \ltrch\fcs0 \cs17\b0\v\fs20\cf9\lang1024\langfe1024\loch\af1\hich\af1\dbch\af31501\noproof\insrsid4153102\charrsid4873725 {\*\bkmkstart restartA}_x000d__x000a_\hich\af1\dbch\af31501\loch\f1 &lt;AmendA&gt;}{\rtlch\fcs1 \af0 \ltrch\fcs0 \insrsid4153102\charrsid4873725 Emendamento\tab \tab }{\rtlch\fcs1 \af0 \ltrch\fcs0 _x000d__x000a_\cs17\b0\v\fs20\cf9\lang1024\langfe1024\loch\af1\hich\af1\dbch\af31501\noproof\insrsid4153102\charrsid4873725 \hich\af1\dbch\af31501\loch\f1 &lt;NumAmA&gt;}{\rtlch\fcs1 \af0 \ltrch\fcs0 \insrsid4153102\charrsid4873725 #}{\rtlch\fcs1 \af1 \ltrch\fcs0 _x000d__x000a_\cs20\v\f1\fs20\cf15\insrsid4153102\charrsid4873725 ENMIENDA@NRAM@}{\rtlch\fcs1 \af0 \ltrch\fcs0 \insrsid4153102\charrsid4873725 #}{\rtlch\fcs1 \af0 \ltrch\fcs0 _x000d__x000a_\cs17\b0\v\fs20\cf9\lang1024\langfe1024\loch\af1\hich\af1\dbch\af31501\noproof\insrsid4153102\charrsid4873725 \hich\af1\dbch\af31501\loch\f1 &lt;/NumAmA&gt;}{\rtlch\fcs1 \af0 \ltrch\fcs0 \insrsid4153102\charrsid4873725 _x000d__x000a_\par }\pard\plain \ltrpar\s23\ql \li0\ri0\sb240\keepn\nowidctlpar\wrapdefault\aspalpha\aspnum\faauto\adjustright\rin0\lin0\itap0\pararsid4153102 \rtlch\fcs1 \af0\afs20\alang1025 \ltrch\fcs0 \b\fs24\lang1040\langfe2057\cgrid\langnp1040\langfenp2057 {_x000d__x000a_\rtlch\fcs1 \af0 \ltrch\fcs0 \cs17\b0\v\fs20\cf9\lang1024\langfe1024\loch\af1\hich\af1\dbch\af31501\noproof\insrsid4153102\charrsid4873725 \hich\af1\dbch\af31501\loch\f1 &lt;DocAmend&gt;}{\rtlch\fcs1 \af0 \ltrch\fcs0 \insrsid4153102\charrsid4873725 _x000d__x000a_Progetto di risoluzione legislativa}{\rtlch\fcs1 \af0 \ltrch\fcs0 \cs17\b0\v\fs20\cf9\lang1024\langfe1024\loch\af1\hich\af1\dbch\af31501\noproof\insrsid4153102\charrsid4873725 \hich\af1\dbch\af31501\loch\f1 &lt;/DocAmend&gt;}{\rtlch\fcs1 \af0 \ltrch\fcs0 _x000d__x000a_\insrsid4153102\charrsid4873725 _x000d__x000a_\par }\pard\plain \ltrpar\s19\ql \li0\ri0\nowidctlpar\wrapdefault\aspalpha\aspnum\faauto\adjustright\rin0\lin0\itap0\pararsid4153102 \rtlch\fcs1 \af0\afs20\alang1025 \ltrch\fcs0 \b\fs24\lang1040\langfe2057\cgrid\langnp1040\langfenp2057 {\rtlch\fcs1 \af0 _x000d__x000a_\ltrch\fcs0 \cs17\b0\v\fs20\cf9\lang1024\langfe1024\loch\af1\hich\af1\dbch\af31501\noproof\insrsid4153102\charrsid4873725 \hich\af1\dbch\af31501\loch\f1 &lt;Article&gt;}{\rtlch\fcs1 \af0 \ltrch\fcs0 \cf10\insrsid4153102\charrsid4403334 \u9668\'3f}{\rtlch\fcs1 _x000d__x000a_\af0 \ltrch\fcs0 \insrsid4153102\charrsid4873725 #}{\rtlch\fcs1 \af1 \ltrch\fcs0 \cs20\v\f1\fs20\cf15\insrsid4153102\charrsid4873725 TVTRESPART@RESPART@}{\rtlch\fcs1 \af0 \ltrch\fcs0 \insrsid4153102\charrsid4873725 #}{\rtlch\fcs1 \af0 \ltrch\fcs0 _x000d__x000a_\cf10\insrsid4153102\charrsid4403334 \u9658\'3f}{\rtlch\fcs1 \af0 \ltrch\fcs0 \cs17\b0\v\fs20\cf9\lang1024\langfe1024\loch\af1\hich\af1\dbch\af31501\noproof\insrsid4153102\charrsid4873725 \hich\af1\dbch\af31501\loch\f1 &lt;/Article&gt;}{\rtlch\fcs1 \af0 _x000d__x000a_\ltrch\fcs0 \insrsid4153102\charrsid4873725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40\langfe2057\langnp1040\insrsid4153102\charrsid4873725 \cell }\pard \ltrpar\ql \li0\ri0\widctlpar\intbl\wrapdefault\aspalpha\aspnum\faauto\adjustright\rin0\lin0 _x000d__x000a_{\rtlch\fcs1 \af0 \ltrch\fcs0 \lang1040\langfe2057\langnp1040\insrsid4153102\charrsid4873725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40\langfe2057\cgrid\langnp1040\langfenp2057 {\rtlch\fcs1 \af0 \ltrch\fcs0 \insrsid4153102\charrsid4873725 Progetto di risoluzione legislativa\cell Emendamento\cell }\pard\plain \ltrpar_x000d__x000a_\ql \li0\ri0\widctlpar\intbl\wrapdefault\aspalpha\aspnum\faauto\adjustright\rin0\lin0 \rtlch\fcs1 \af0\afs20\alang1025 \ltrch\fcs0 \fs24\lang2057\langfe2057\cgrid\langnp2057\langfenp2057 {\rtlch\fcs1 \af0 \ltrch\fcs0 _x000d__x000a_\lang1040\langfe2057\langnp1040\insrsid4153102\charrsid4873725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40\langfe2057\cgrid\langnp1040\langfenp2057 {\rtlch\fcs1 \af0 \ltrch\fcs0 \insrsid4153102\charrsid4873725 #}{\rtlch\fcs1 \af1 \ltrch\fcs0 \cs20\v\f1\fs20\cf15\insrsid4153102\charrsid4873725 TESTO}{\rtlch\fcs1 \af0 \ltrch\fcs0 _x000d__x000a_\insrsid4153102\charrsid4873725 #\cell #}{\rtlch\fcs1 \af1 \ltrch\fcs0 \cs20\v\f1\fs20\cf15\insrsid4153102\charrsid4873725 TESTO}{\rtlch\fcs1 \af0 \ltrch\fcs0 \insrsid4153102\charrsid4873725 #}{\rtlch\fcs1 \af0\afs24 \ltrch\fcs0 _x000d__x000a_\insrsid4153102\charrsid4873725 \cell }\pard\plain \ltrpar\ql \li0\ri0\widctlpar\intbl\wrapdefault\aspalpha\aspnum\faauto\adjustright\rin0\lin0 \rtlch\fcs1 \af0\afs20\alang1025 \ltrch\fcs0 \fs24\lang2057\langfe2057\cgrid\langnp2057\langfenp2057 {_x000d__x000a_\rtlch\fcs1 \af0 \ltrch\fcs0 \lang1040\langfe2057\langnp1040\insrsid4153102\charrsid4873725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153102 {\rtlch\fcs1 \af0 \ltrch\fcs0 \cs17\v\fs20\cf9\lang1024\langfe1024\loch\af1\hich\af1\dbch\af31501\noproof\langnp1040\insrsid4153102\charrsid4873725 _x000d__x000a_\hich\af1\dbch\af31501\loch\f1 &lt;/AmendA&gt;}{\rtlch\fcs1 \af0 \ltrch\fcs0 \insrsid415310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9_x000d__x000a_b04e251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663326 HideTWBExt;}{_x000d__x000a_\s18\ql \li0\ri0\sa120\nowidctlpar\wrapdefault\aspalpha\aspnum\faauto\adjustright\rin0\lin0\itap0 \rtlch\fcs1 \af0\afs20\alang1025 \ltrch\fcs0 \fs24\lang1040\langfe2057\cgrid\langnp1040\langfenp2057 \sbasedon0 \snext18 \spriority0 \styrsid13663326 _x000d__x000a_Normal6a;}{\s19\ql \li0\ri0\nowidctlpar\wrapdefault\aspalpha\aspnum\faauto\adjustright\rin0\lin0\itap0 \rtlch\fcs1 \af0\afs20\alang1025 \ltrch\fcs0 \b\fs24\lang1040\langfe2057\cgrid\langnp1040\langfenp2057 \sbasedon0 \snext19 \spriority0 \styrsid13663326 _x000d__x000a_NormalBold;}{\s20\ql \li0\ri0\sa240\nowidctlpar\wrapdefault\aspalpha\aspnum\faauto\adjustright\rin0\lin0\itap0 \rtlch\fcs1 \af0\afs20\alang1025 \ltrch\fcs0 \i\fs24\lang1040\langfe2057\cgrid\langnp1040\langfenp2057 _x000d__x000a_\sbasedon0 \snext20 \spriority0 \styrsid13663326 AmJustText;}{\s21\qc \li0\ri0\sb240\sa240\nowidctlpar\wrapdefault\aspalpha\aspnum\faauto\adjustright\rin0\lin0\itap0 \rtlch\fcs1 \af0\afs20\alang1025 \ltrch\fcs0 _x000d__x000a_\i\fs24\lang1040\langfe2057\cgrid\langnp1040\langfenp2057 \sbasedon0 \snext21 \spriority0 \styrsid13663326 AmCrossRef;}{\*\cs22 \additive \v\f1\fs20\cf15 \spriority0 \styrsid13663326 HideTWBInt;}{_x000d__x000a_\s23\qc \li0\ri0\sb240\sa240\keepn\nowidctlpar\wrapdefault\aspalpha\aspnum\faauto\adjustright\rin0\lin0\itap0 \rtlch\fcs1 \af0\afs20\alang1025 \ltrch\fcs0 \i\fs24\lang1040\langfe2057\cgrid\langnp1040\langfenp2057 _x000d__x000a_\sbasedon0 \snext20 \spriority0 \styrsid13663326 AmJustTitle;}{\s24\qc \li0\ri0\sa240\nowidctlpar\wrapdefault\aspalpha\aspnum\faauto\adjustright\rin0\lin0\itap0 \rtlch\fcs1 \af0\afs20\alang1025 \ltrch\fcs0 _x000d__x000a_\i\fs24\lang1040\langfe2057\cgrid\langnp1040\langfenp2057 \sbasedon0 \snext24 \spriority0 \styrsid1366332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5 \spriority0 \styrsid13663326 AmNumberTabs;}{\s26\ql \li0\ri0\sb240\nowidctlpar\wrapdefault\aspalpha\aspnum\faauto\adjustright\rin0\lin0\itap0 \rtlch\fcs1 _x000d__x000a_\af0\afs20\alang1025 \ltrch\fcs0 \b\fs24\lang1040\langfe2057\cgrid\langnp1040\langfenp2057 \sbasedon0 \snext26 \spriority0 \styrsid13663326 NormalBold12b;}}{\*\rsidtbl \rsid24658\rsid223860\rsid735077\rsid1718133\rsid2892074\rsid3565327\rsid4666813_x000d__x000a_\rsid6641733\rsid7823322\rsid9636012\rsid10377208\rsid11215221\rsid11549030\rsid12154954\rsid13400497\rsid13663326\rsid14382809\rsid14424199\rsid15204470\rsid15285974\rsid15950462\rsid16324206\rsid16662270}{\mmathPr\mmathFont34\mbrkBin0\mbrkBinSub0_x000d__x000a_\msmallFrac0\mdispDef1\mlMargin0\mrMargin0\mdefJc1\mwrapIndent1440\mintLim0\mnaryLim1}{\info{\author LATERZA Angela}{\operator LATERZA Angela}{\creatim\yr2023\mo11\dy22\hr10\min21}{\revtim\yr2023\mo11\dy22\hr10\min21}{\version1}{\edmins0}{\nofpages1}_x000d__x000a_{\nofwords101}{\nofchars577}{\nofcharsws67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63326\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13400497 \chftnsep _x000d__x000a_\par }}{\*\ftnsepc \ltrpar \pard\plain \ltrpar\ql \li0\ri0\widctlpar\wrapdefault\aspalpha\aspnum\faauto\adjustright\rin0\lin0\itap0 \rtlch\fcs1 \af0\afs20\alang1025 \ltrch\fcs0 \fs24\lang2057\langfe2057\cgrid\langnp2057\langfenp2057 {\rtlch\fcs1 \af0 _x000d__x000a_\ltrch\fcs0 \insrsid13400497 \chftnsepc _x000d__x000a_\par }}{\*\aftnsep \ltrpar \pard\plain \ltrpar\ql \li0\ri0\widctlpar\wrapdefault\aspalpha\aspnum\faauto\adjustright\rin0\lin0\itap0 \rtlch\fcs1 \af0\afs20\alang1025 \ltrch\fcs0 \fs24\lang2057\langfe2057\cgrid\langnp2057\langfenp2057 {\rtlch\fcs1 \af0 _x000d__x000a_\ltrch\fcs0 \insrsid13400497 \chftnsep _x000d__x000a_\par }}{\*\aftnsepc \ltrpar \pard\plain \ltrpar\ql \li0\ri0\widctlpar\wrapdefault\aspalpha\aspnum\faauto\adjustright\rin0\lin0\itap0 \rtlch\fcs1 \af0\afs20\alang1025 \ltrch\fcs0 \fs24\lang2057\langfe2057\cgrid\langnp2057\langfenp2057 {\rtlch\fcs1 \af0 _x000d__x000a_\ltrch\fcs0 \insrsid134004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3663326 \rtlch\fcs1 _x000d__x000a_\af0\afs20\alang1025 \ltrch\fcs0 \b\fs24\lang1040\langfe2057\cgrid\langnp1040\langfenp2057 {\rtlch\fcs1 \af0 \ltrch\fcs0 \cs17\b0\v\fs20\cf9\lang1024\langfe1024\loch\af1\hich\af1\dbch\af31501\noproof\insrsid13663326\charrsid4873725 {\*\bkmkstart restartB}_x000d__x000a_\hich\af1\dbch\af31501\loch\f1 &lt;AmendB&gt;}{\rtlch\fcs1 \af0 \ltrch\fcs0 \insrsid13663326\charrsid4873725 Emendamento\tab \tab }{\rtlch\fcs1 \af0 \ltrch\fcs0 _x000d__x000a_\cs17\b0\v\fs20\cf9\lang1024\langfe1024\loch\af1\hich\af1\dbch\af31501\noproof\insrsid13663326\charrsid4873725 \hich\af1\dbch\af31501\loch\f1 &lt;NumAmB&gt;}{\rtlch\fcs1 \af0 \ltrch\fcs0 \insrsid13663326\charrsid4873725 #}{\rtlch\fcs1 \af1 \ltrch\fcs0 _x000d__x000a_\cs22\v\f1\fs20\cf15\insrsid13663326\charrsid4873725 ENMIENDA@NRAM@}{\rtlch\fcs1 \af0 \ltrch\fcs0 \insrsid13663326\charrsid4873725 #}{\rtlch\fcs1 \af0 \ltrch\fcs0 _x000d__x000a_\cs17\b0\v\fs20\cf9\lang1024\langfe1024\loch\af1\hich\af1\dbch\af31501\noproof\insrsid13663326\charrsid4873725 \hich\af1\dbch\af31501\loch\f1 &lt;/NumAmB&gt;}{\rtlch\fcs1 \af0 \ltrch\fcs0 \insrsid13663326\charrsid4873725 _x000d__x000a_\par }\pard\plain \ltrpar\s26\ql \li0\ri0\sb240\keepn\nowidctlpar\wrapdefault\aspalpha\aspnum\faauto\adjustright\rin0\lin0\itap0\pararsid13663326 \rtlch\fcs1 \af0\afs20\alang1025 \ltrch\fcs0 \b\fs24\lang1040\langfe2057\cgrid\langnp1040\langfenp2057 {_x000d__x000a_\rtlch\fcs1 \af0 \ltrch\fcs0 \cs17\b0\v\fs20\cf9\lang1024\langfe1024\loch\af1\hich\af1\dbch\af31501\noproof\insrsid13663326\charrsid4873725 \hich\af1\dbch\af31501\loch\f1 &lt;DocAmend&gt;}{\rtlch\fcs1 \af0 \ltrch\fcs0 \insrsid13663326\charrsid4873725 #}{_x000d__x000a_\rtlch\fcs1 \af1 \ltrch\fcs0 \cs22\v\f1\fs20\cf15\insrsid13663326\charrsid4873725 MNU[OPTPROPOSALCOD][OPTPROPOSALCNS][OPTPROPOSALNLE][OPTPROPOSALINL]@CHOICE@CODEMNU}{\rtlch\fcs1 \af0 \ltrch\fcs0 \insrsid13663326\charrsid4873725 ##}{\rtlch\fcs1 \af1 _x000d__x000a_\ltrch\fcs0 \cs22\v\f1\fs20\cf15\insrsid13663326\charrsid4873725 MNU[AMACTYES][NOTAPP]@CHOICE@AMACTMNU}{\rtlch\fcs1 \af0 \ltrch\fcs0 \insrsid13663326\charrsid4873725 #}{\rtlch\fcs1 \af0 \ltrch\fcs0 _x000d__x000a_\cs17\b0\v\fs20\cf9\lang1024\langfe1024\loch\af1\hich\af1\dbch\af31501\noproof\insrsid13663326\charrsid4873725 \hich\af1\dbch\af31501\loch\f1 &lt;/DocAmend&gt;}{\rtlch\fcs1 \af0 \ltrch\fcs0 \insrsid13663326\charrsid4873725 _x000d__x000a_\par }\pard\plain \ltrpar\s19\ql \li0\ri0\keepn\nowidctlpar\wrapdefault\aspalpha\aspnum\faauto\adjustright\rin0\lin0\itap0\pararsid13663326 \rtlch\fcs1 \af0\afs20\alang1025 \ltrch\fcs0 \b\fs24\lang1040\langfe2057\cgrid\langnp1040\langfenp2057 {\rtlch\fcs1 _x000d__x000a_\af0 \ltrch\fcs0 \cs17\b0\v\fs20\cf9\lang1024\langfe1024\loch\af1\hich\af1\dbch\af31501\noproof\insrsid13663326\charrsid4873725 \hich\af1\dbch\af31501\loch\f1 &lt;Article&gt;}{\rtlch\fcs1 \af0 \ltrch\fcs0 \insrsid13663326\charrsid4873725 #}{\rtlch\fcs1 \af1 _x000d__x000a_\ltrch\fcs0 \cs22\v\f1\fs20\cf15\insrsid13663326\charrsid4873725 MNU[AMACTPARTYES][AMACTPARTNO]@CHOICE@AMACTMNU}{\rtlch\fcs1 \af0 \ltrch\fcs0 \insrsid13663326\charrsid4873725 #}{\rtlch\fcs1 \af0 \ltrch\fcs0 _x000d__x000a_\cs17\b0\v\fs20\cf9\lang1024\langfe1024\loch\af1\hich\af1\dbch\af31501\noproof\insrsid13663326\charrsid4873725 \hich\af1\dbch\af31501\loch\f1 &lt;/Article&gt;}{\rtlch\fcs1 \af0 \ltrch\fcs0 \insrsid13663326\charrsid4873725 _x000d__x000a_\par }\pard\plain \ltrpar\ql \li0\ri0\keepn\widctlpar\wrapdefault\aspalpha\aspnum\faauto\adjustright\rin0\lin0\itap0\pararsid13663326 \rtlch\fcs1 \af0\afs20\alang1025 \ltrch\fcs0 \fs24\lang2057\langfe2057\cgrid\langnp2057\langfenp2057 {\rtlch\fcs1 \af0 _x000d__x000a_\ltrch\fcs0 \cs17\v\fs20\cf9\lang1024\langfe1024\loch\af1\hich\af1\dbch\af31501\noproof\langnp1040\insrsid13663326\charrsid4873725 \hich\af1\dbch\af31501\loch\f1 &lt;DocAmen\hich\af1\dbch\af31501\loch\f1 d2&gt;&lt;OptDel&gt;}{\rtlch\fcs1 \af0 \ltrch\fcs0 _x000d__x000a_\lang1040\langfe2057\langnp1040\insrsid13663326\charrsid4873725 #}{\rtlch\fcs1 \af1 \ltrch\fcs0 \cs22\v\f1\fs20\cf15\lang1040\langfe2057\langnp1040\insrsid13663326\charrsid4873725 MNU[OPTNRACTYES][NOTAPP]@CHOICE@AMACTMNU}{\rtlch\fcs1 \af0 \ltrch\fcs0 _x000d__x000a_\lang1040\langfe2057\langnp1040\insrsid13663326\charrsid4873725 #}{\rtlch\fcs1 \af0 \ltrch\fcs0 \cs17\v\fs20\cf9\lang1024\langfe1024\loch\af1\hich\af1\dbch\af31501\noproof\langnp1040\insrsid13663326\charrsid4873725 \hich\af1\dbch\af31501\loch\f1 _x000d__x000a_&lt;/OptDel&gt;&lt;/DocAmend2&gt;}{\rtlch\fcs1 \af0 \ltrch\fcs0 \lang1040\langfe2057\langnp1040\insrsid13663326\charrsid4873725 _x000d__x000a_\par }\pard \ltrpar\ql \li0\ri0\widctlpar\wrapdefault\aspalpha\aspnum\faauto\adjustright\rin0\lin0\itap0\pararsid13663326 {\rtlch\fcs1 \af0 \ltrch\fcs0 _x000d__x000a_\cs17\v\fs20\cf9\lang1024\langfe1024\loch\af1\hich\af1\dbch\af31501\noproof\langnp1040\insrsid13663326\charrsid4873725 \hich\af1\dbch\af31501\loch\f1 &lt;Article2&gt;&lt;OptDel&gt;}{\rtlch\fcs1 \af0 \ltrch\fcs0 _x000d__x000a_\lang1040\langfe2057\langnp1040\insrsid13663326\charrsid4873725 #}{\rtlch\fcs1 \af1 \ltrch\fcs0 \cs22\v\f1\fs20\cf15\lang1040\langfe2057\langnp1040\insrsid13663326\charrsid4873725 MNU[OPTACTPARTYES][NOTAPP]@CHOICE@AMACTMNU}{\rtlch\fcs1 \af0 \ltrch\fcs0 _x000d__x000a_\lang1040\langfe2057\langnp1040\insrsid13663326\charrsid4873725 #}{\rtlch\fcs1 \af0 \ltrch\fcs0 \cs17\v\fs20\cf9\lang1024\langfe1024\loch\af1\hich\af1\dbch\af31501\noproof\langnp1040\insrsid13663326\charrsid4873725 \hich\af1\dbch\af31501\loch\f1 _x000d__x000a_&lt;/OptDel&gt;&lt;/Article2&gt;}{\rtlch\fcs1 \af0 \ltrch\fcs0 \lang1040\langfe2057\langnp1040\insrsid13663326\charrsid4873725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40\langfe2057\langnp1040\insrsid13663326\charrsid4873725 \cell }\pard \ltrpar\ql \li0\ri0\widctlpar\intbl\wrapdefault\aspalpha\aspnum\faauto\adjustright\rin0\lin0 {\rtlch\fcs1 \af0 \ltrch\fcs0 _x000d__x000a_\lang1040\langfe2057\langnp1040\insrsid13663326\charrsid4873725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40\langfe2057\cgrid\langnp1040\langfenp2057 {\rtlch\fcs1 \af0 \ltrch\fcs0 _x000d__x000a_\insrsid13663326\charrsid4873725 #}{\rtlch\fcs1 \af1 \ltrch\fcs0 \cs22\v\f1\fs20\cf15\insrsid13663326\charrsid4873725 MNU[OPTLEFTAMACT][LEFTPROP]@CHOICE@AMACTMNU}{\rtlch\fcs1 \af0 \ltrch\fcs0 \insrsid13663326\charrsid4873725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3663326\charrsid4873725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40\langfe2057\cgrid\langnp1040\langfenp2057 {\rtlch\fcs1 \af0 \ltrch\fcs0 _x000d__x000a_\insrsid13663326\charrsid4873725 #}{\rtlch\fcs1 \af1 \ltrch\fcs0 \cs22\v\f1\fs20\cf15\insrsid13663326\charrsid4873725 TESTO}{\rtlch\fcs1 \af0 \ltrch\fcs0 \insrsid13663326\charrsid4873725 #\cell #}{\rtlch\fcs1 \af1 \ltrch\fcs0 _x000d__x000a_\cs22\v\f1\fs20\cf15\insrsid13663326\charrsid4873725 TESTO}{\rtlch\fcs1 \af0 \ltrch\fcs0 \insrsid13663326\charrsid4873725 #}{\rtlch\fcs1 \af0\afs24 \ltrch\fcs0 \insrsid13663326\charrsid4873725 \cell }\pard\plain \ltrpar_x000d__x000a_\ql \li0\ri0\widctlpar\intbl\wrapdefault\aspalpha\aspnum\faauto\adjustright\rin0\lin0 \rtlch\fcs1 \af0\afs20\alang1025 \ltrch\fcs0 \fs24\lang2057\langfe2057\cgrid\langnp2057\langfenp2057 {\rtlch\fcs1 \af0 \ltrch\fcs0 _x000d__x000a_\lang1040\langfe2057\langnp1040\insrsid13663326\charrsid4873725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663326 \rtlch\fcs1 \af0\afs20\alang1025 \ltrch\fcs0 \i\fs24\lang1040\langfe2057\cgrid\langnp1040\langfenp2057 {\rtlch\fcs1 \af0 \ltrch\fcs0 _x000d__x000a_\cs17\i0\v\fs20\cf9\lang1024\langfe1024\loch\af1\hich\af1\dbch\af31501\noproof\insrsid13663326\charrsid4873725 \hich\af1\dbch\af31501\loch\f1 &lt;OptDel&gt;}{\rtlch\fcs1 \af0 \ltrch\fcs0 \insrsid13663326\charrsid4873725 #}{\rtlch\fcs1 \af1 \ltrch\fcs0 _x000d__x000a_\cs22\v\f1\fs20\cf15\insrsid13663326\charrsid4873725 MNU[CROSSREFNO][CROSSREFYES]@CHOICE@}{\rtlch\fcs1 \af0 \ltrch\fcs0 \insrsid13663326\charrsid4873725 #}{\rtlch\fcs1 \af0 \ltrch\fcs0 _x000d__x000a_\cs17\i0\v\fs20\cf9\lang1024\langfe1024\loch\af1\hich\af1\dbch\af31501\noproof\insrsid13663326\charrsid4873725 \hich\af1\dbch\af31501\loch\f1 &lt;/OptDel&gt;}{\rtlch\fcs1 \af0 \ltrch\fcs0 \insrsid13663326\charrsid4873725 _x000d__x000a_\par }\pard\plain \ltrpar\s23\qc \li0\ri0\sb240\sa240\keepn\nowidctlpar\wrapdefault\aspalpha\aspnum\faauto\adjustright\rin0\lin0\itap0\pararsid13663326 \rtlch\fcs1 \af0\afs20\alang1025 \ltrch\fcs0 \i\fs24\lang1040\langfe2057\cgrid\langnp1040\langfenp2057 {_x000d__x000a_\rtlch\fcs1 \af0 \ltrch\fcs0 \cs17\i0\v\fs20\cf9\lang1024\langfe1024\loch\af1\hich\af1\dbch\af31501\noproof\insrsid13663326\charrsid4873725 \hich\af1\dbch\af31501\loch\f1 &lt;TitreJust&gt;}{\rtlch\fcs1 \af0 \ltrch\fcs0 \insrsid13663326\charrsid4873725 _x000d__x000a_Motivazione}{\rtlch\fcs1 \af0 \ltrch\fcs0 \cs17\i0\v\fs20\cf9\lang1024\langfe1024\loch\af1\hich\af1\dbch\af31501\noproof\insrsid13663326\charrsid4873725 \hich\af1\dbch\af31501\loch\f1 &lt;/TitreJust&gt;}{\rtlch\fcs1 \af0 \ltrch\fcs0 _x000d__x000a_\insrsid13663326\charrsid4873725 _x000d__x000a_\par }\pard\plain \ltrpar\s20\ql \li0\ri0\sa240\nowidctlpar\wrapdefault\aspalpha\aspnum\faauto\adjustright\rin0\lin0\itap0\pararsid13663326 \rtlch\fcs1 \af0\afs20\alang1025 \ltrch\fcs0 \i\fs24\lang1040\langfe2057\cgrid\langnp1040\langfenp2057 {\rtlch\fcs1 _x000d__x000a_\af0 \ltrch\fcs0 \cs17\i0\v\fs20\cf9\lang1024\langfe1024\loch\af1\hich\af1\dbch\af31501\noproof\insrsid13663326\charrsid4873725 \hich\af1\dbch\af31501\loch\f1 &lt;OptDelPrev&gt;}{\rtlch\fcs1 \af0 \ltrch\fcs0 \insrsid13663326\charrsid4873725 #}{\rtlch\fcs1 \af1 _x000d__x000a_\ltrch\fcs0 \cs22\v\f1\fs20\cf15\insrsid13663326\charrsid4873725 MNU[TEXTJUSTYES][TEXTJUSTNO]@CHOICE@}{\rtlch\fcs1 \af0 \ltrch\fcs0 \insrsid13663326\charrsid4873725 #}{\rtlch\fcs1 \af0 \ltrch\fcs0 _x000d__x000a_\cs17\i0\v\fs20\cf9\lang1024\langfe1024\loch\af1\hich\af1\dbch\af31501\noproof\insrsid13663326\charrsid4873725 \hich\af1\dbch\af31501\loch\f1 &lt;/OptDelPrev&gt;}{\rtlch\fcs1 \af0 \ltrch\fcs0 \insrsid13663326\charrsid4873725 _x000d__x000a_\par }\pard\plain \ltrpar\ql \li0\ri0\widctlpar\wrapdefault\aspalpha\aspnum\faauto\adjustright\rin0\lin0\itap0\pararsid13663326 \rtlch\fcs1 \af0\afs20\alang1025 \ltrch\fcs0 \fs24\lang2057\langfe2057\cgrid\langnp2057\langfenp2057 {\rtlch\fcs1 \af0 \ltrch\fcs0 _x000d__x000a_\cs17\v\fs20\cf9\lang1024\langfe1024\loch\af1\hich\af1\dbch\af31501\noproof\langnp1040\insrsid13663326\charrsid4873725 \hich\af1\dbch\af31501\loch\f1 &lt;/AmendB&gt;}{\rtlch\fcs1 \af0 \ltrch\fcs0 \insrsid1366332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4_x000d__x000a_3b50251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66525 HideTWBExt;}{_x000d__x000a_\s18\ql \li0\ri0\sa120\nowidctlpar\wrapdefault\aspalpha\aspnum\faauto\adjustright\rin0\lin0\itap0 \rtlch\fcs1 \af0\afs20\alang1025 \ltrch\fcs0 \fs24\lang2057\langfe2057\cgrid\langnp2057\langfenp2057 \sbasedon0 \snext18 \spriority0 \styrsid12666525 _x000d__x000a_Normal6a;}{\s19\ql \li0\ri0\nowidctlpar\wrapdefault\aspalpha\aspnum\faauto\adjustright\rin0\lin0\itap0 \rtlch\fcs1 \af0\afs20\alang1025 \ltrch\fcs0 \b\fs24\lang2057\langfe2057\cgrid\langnp2057\langfenp2057 \sbasedon0 \snext19 \spriority0 \styrsid12666525 _x000d__x000a_NormalBold;}{\s20\qc \li0\ri0\sa240\nowidctlpar\wrapdefault\aspalpha\aspnum\faauto\adjustright\rin0\lin0\itap0 \rtlch\fcs1 \af0\afs20\alang1025 \ltrch\fcs0 \i\fs24\lang2057\langfe2057\cgrid\langnp2057\langfenp2057 _x000d__x000a_\sbasedon0 \snext20 \spriority0 \styrsid1266652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666525 AmNumberTabs;}{\s22\ql \li0\ri0\sb240\nowidctlpar\wrapdefault\aspalpha\aspnum\faauto\adjustright\rin0\lin0\itap0 \rtlch\fcs1 _x000d__x000a_\af0\afs20\alang1025 \ltrch\fcs0 \b\fs24\lang2057\langfe2057\cgrid\langnp2057\langfenp2057 \sbasedon0 \snext22 \spriority0 \styrsid12666525 NormalBold12b;}}{\*\rsidtbl \rsid24658\rsid223860\rsid735077\rsid1718133\rsid2892074\rsid3565327\rsid4666813_x000d__x000a_\rsid6641733\rsid7823322\rsid9636012\rsid10377208\rsid11215221\rsid11549030\rsid12154954\rsid12666525\rsid12868988\rsid14382809\rsid14424199\rsid15204470\rsid15285974\rsid15950462\rsid16324206\rsid16662270}{\mmathPr\mmathFont34\mbrkBin0\mbrkBinSub0_x000d__x000a_\msmallFrac0\mdispDef1\mlMargin0\mrMargin0\mdefJc1\mwrapIndent1440\mintLim0\mnaryLim1}{\info{\author LATERZA Angela}{\operator LATERZA Angela}{\creatim\yr2023\mo11\dy22\hr10\min21}{\revtim\yr2023\mo11\dy22\hr10\min21}{\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66525\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12868988 \chftnsep _x000d__x000a_\par }}{\*\ftnsepc \ltrpar \pard\plain \ltrpar\ql \li0\ri0\widctlpar\wrapdefault\aspalpha\aspnum\faauto\adjustright\rin0\lin0\itap0 \rtlch\fcs1 \af0\afs20\alang1025 \ltrch\fcs0 \fs24\lang2057\langfe2057\cgrid\langnp2057\langfenp2057 {\rtlch\fcs1 \af0 _x000d__x000a_\ltrch\fcs0 \insrsid12868988 \chftnsepc _x000d__x000a_\par }}{\*\aftnsep \ltrpar \pard\plain \ltrpar\ql \li0\ri0\widctlpar\wrapdefault\aspalpha\aspnum\faauto\adjustright\rin0\lin0\itap0 \rtlch\fcs1 \af0\afs20\alang1025 \ltrch\fcs0 \fs24\lang2057\langfe2057\cgrid\langnp2057\langfenp2057 {\rtlch\fcs1 \af0 _x000d__x000a_\ltrch\fcs0 \insrsid12868988 \chftnsep _x000d__x000a_\par }}{\*\aftnsepc \ltrpar \pard\plain \ltrpar\ql \li0\ri0\widctlpar\wrapdefault\aspalpha\aspnum\faauto\adjustright\rin0\lin0\itap0 \rtlch\fcs1 \af0\afs20\alang1025 \ltrch\fcs0 \fs24\lang2057\langfe2057\cgrid\langnp2057\langfenp2057 {\rtlch\fcs1 \af0 _x000d__x000a_\ltrch\fcs0 \insrsid128689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2666525 \rtlch\fcs1 _x000d__x000a_\af0\afs20\alang1025 \ltrch\fcs0 \b\fs24\lang2057\langfe2057\cgrid\langnp2057\langfenp2057 {\rtlch\fcs1 \af0 \ltrch\fcs0 \cs17\b0\v\fs20\cf9\lang1024\langfe1024\loch\af1\hich\af1\dbch\af31501\noproof\insrsid12666525\charrsid15879488 {\*\bkmkstart restartA_x000d__x000a_}\hich\af1\dbch\af31501\loch\f1 &lt;AmendA&gt;}{\rtlch\fcs1 \af0 \ltrch\fcs0 \insrsid12666525\charrsid15879488 [ZAMENDMENT]\tab \tab }{\rtlch\fcs1 \af0 \ltrch\fcs0 _x000d__x000a_\cs17\b0\v\fs20\cf9\lang1024\langfe1024\loch\af1\hich\af1\dbch\af31501\noproof\insrsid12666525\charrsid15879488 \hich\af1\dbch\af31501\loch\f1 &lt;NumAmA&gt;}{\rtlch\fcs1 \af0 \ltrch\fcs0 \insrsid12666525\charrsid15879488 [ZNRAM]}{\rtlch\fcs1 \af0 \ltrch\fcs0 _x000d__x000a_\cs17\b0\v\fs20\cf9\lang1024\langfe1024\loch\af1\hich\af1\dbch\af31501\noproof\insrsid12666525\charrsid15879488 \hich\af1\dbch\af31501\loch\f1 &lt;/NumAmA&gt;}{\rtlch\fcs1 \af0 \ltrch\fcs0 \insrsid12666525\charrsid15879488 _x000d__x000a_\par }\pard\plain \ltrpar\s22\ql \li0\ri0\sb240\keepn\nowidctlpar\wrapdefault\aspalpha\aspnum\faauto\adjustright\rin0\lin0\itap0\pararsid12666525 \rtlch\fcs1 \af0\afs20\alang1025 \ltrch\fcs0 \b\fs24\lang2057\langfe2057\cgrid\langnp2057\langfenp2057 {_x000d__x000a_\rtlch\fcs1 \af0 \ltrch\fcs0 \cs17\b0\v\fs20\cf9\lang1024\langfe1024\loch\af1\hich\af1\dbch\af31501\noproof\langnp1036\insrsid12666525\charrsid11356624 \hich\af1\dbch\af31501\loch\f1 &lt;DocAmend&gt;}{\rtlch\fcs1 \af0 \ltrch\fcs0 _x000d__x000a_\lang1036\langfe2057\langnp1036\insrsid12666525\charrsid11356624 [ZRESOLUTION]}{\rtlch\fcs1 \af0 \ltrch\fcs0 \cs17\b0\v\fs20\cf9\lang1024\langfe1024\loch\af1\hich\af1\dbch\af31501\noproof\langnp1036\insrsid12666525\charrsid11356624 _x000d__x000a_\hich\af1\dbch\af31501\loch\f1 &lt;/DocAmend&gt;}{\rtlch\fcs1 \af0 \ltrch\fcs0 \lang1036\langfe2057\langnp1036\insrsid12666525\charrsid11356624 _x000d__x000a_\par }\pard\plain \ltrpar\s19\ql \li0\ri0\nowidctlpar\wrapdefault\aspalpha\aspnum\faauto\adjustright\rin0\lin0\itap0\pararsid12666525 \rtlch\fcs1 \af0\afs20\alang1025 \ltrch\fcs0 \b\fs24\lang2057\langfe2057\cgrid\langnp2057\langfenp2057 {\rtlch\fcs1 \af0 _x000d__x000a_\ltrch\fcs0 \cs17\b0\v\fs20\cf9\lang1024\langfe1024\loch\af1\hich\af1\dbch\af31501\noproof\langnp1036\insrsid12666525\charrsid11356624 \hich\af1\dbch\af31501\loch\f1 &lt;Article&gt;}{\rtlch\fcs1 \af0 \ltrch\fcs0 _x000d__x000a_\lang1036\langfe2057\langnp1036\insrsid12666525\charrsid11356624 [ZRESPART]}{\rtlch\fcs1 \af0 \ltrch\fcs0 \cs17\b0\v\fs20\cf9\lang1024\langfe1024\loch\af1\hich\af1\dbch\af31501\noproof\langnp1036\insrsid12666525\charrsid11356624 _x000d__x000a_\hich\af1\dbch\af31501\loch\f1 &lt;/Article&gt;}{\rtlch\fcs1 \af0 \ltrch\fcs0 \lang1036\langfe2057\langnp1036\insrsid1266652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666525\charrsid11356624 \cell }\pard \ltrpar_x000d__x000a_\ql \li0\ri0\widctlpar\intbl\wrapdefault\aspalpha\aspnum\faauto\adjustright\rin0\lin0 {\rtlch\fcs1 \af0 \ltrch\fcs0 \insrsid1266652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2666525\charrsid15879488 [ZLEFTA]\cell [ZRIGHT]\cell }\pard\plain \ltrpar_x000d__x000a_\ql \li0\ri0\widctlpar\intbl\wrapdefault\aspalpha\aspnum\faauto\adjustright\rin0\lin0 \rtlch\fcs1 \af0\afs20\alang1025 \ltrch\fcs0 \fs24\lang2057\langfe2057\cgrid\langnp2057\langfenp2057 {\rtlch\fcs1 \af0 \ltrch\fcs0 \insrsid12666525\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666525\charrsid15879488 [ZTEXTL]\cell [ZTEXTR]}{\rtlch\fcs1 \af0\afs24 \ltrch\fcs0 \insrsid12666525\charrsid15879488 \cell }\pard\plain \ltrpar\ql \li0\ri0\widctlpar\intbl\wrapdefault\aspalpha\aspnum\faauto\adjustright\rin0\lin0 \rtlch\fcs1 _x000d__x000a_\af0\afs20\alang1025 \ltrch\fcs0 \fs24\lang2057\langfe2057\cgrid\langnp2057\langfenp2057 {\rtlch\fcs1 \af0 \ltrch\fcs0 \insrsid1266652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2666525 {\rtlch\fcs1 \af0 \ltrch\fcs0 \cs17\v\fs20\cf9\lang1024\langfe1024\loch\af1\hich\af1\dbch\af31501\noproof\insrsid12666525\charrsid15879488 _x000d__x000a_\hich\af1\dbch\af31501\loch\f1 &lt;/AmendA&gt;}{\rtlch\fcs1 \af0 \ltrch\fcs0 \insrsid1266652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9_x000d__x000a_d851251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2391 HideTWBExt;}{_x000d__x000a_\s18\ql \li0\ri0\sa120\nowidctlpar\wrapdefault\aspalpha\aspnum\faauto\adjustright\rin0\lin0\itap0 \rtlch\fcs1 \af0\afs20\alang1025 \ltrch\fcs0 \fs24\lang2057\langfe2057\cgrid\langnp2057\langfenp2057 \sbasedon0 \snext18 \spriority0 \styrsid1512391 _x000d__x000a_Normal6a;}{\s19\ql \li0\ri0\nowidctlpar\wrapdefault\aspalpha\aspnum\faauto\adjustright\rin0\lin0\itap0 \rtlch\fcs1 \af0\afs20\alang1025 \ltrch\fcs0 \b\fs24\lang2057\langfe2057\cgrid\langnp2057\langfenp2057 \sbasedon0 \snext19 \spriority0 \styrsid1512391 _x000d__x000a_NormalBold;}{\s20\ql \li0\ri0\sa240\nowidctlpar\wrapdefault\aspalpha\aspnum\faauto\adjustright\rin0\lin0\itap0 \rtlch\fcs1 \af0\afs20\alang1025 \ltrch\fcs0 \i\fs24\lang2057\langfe2057\cgrid\langnp2057\langfenp2057 _x000d__x000a_\sbasedon0 \snext20 \spriority0 \styrsid1512391 AmJustText;}{\s21\qc \li0\ri0\sb240\sa240\nowidctlpar\wrapdefault\aspalpha\aspnum\faauto\adjustright\rin0\lin0\itap0 \rtlch\fcs1 \af0\afs20\alang1025 \ltrch\fcs0 _x000d__x000a_\i\fs24\lang2057\langfe2057\cgrid\langnp2057\langfenp2057 \sbasedon0 \snext21 \spriority0 \styrsid1512391 AmCrossRef;}{\s22\qc \li0\ri0\sb240\sa240\keepn\nowidctlpar\wrapdefault\aspalpha\aspnum\faauto\adjustright\rin0\lin0\itap0 \rtlch\fcs1 _x000d__x000a_\af0\afs20\alang1025 \ltrch\fcs0 \i\fs24\lang2057\langfe2057\cgrid\langnp2057\langfenp2057 \sbasedon0 \snext20 \spriority0 \styrsid1512391 AmJustTitle;}{\s23\qc \li0\ri0\sa240\nowidctlpar\wrapdefault\aspalpha\aspnum\faauto\adjustright\rin0\lin0\itap0 _x000d__x000a_\rtlch\fcs1 \af0\afs20\alang1025 \ltrch\fcs0 \i\fs24\lang2057\langfe2057\cgrid\langnp2057\langfenp2057 \sbasedon0 \snext23 \spriority0 \styrsid151239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12391 AmNumberTabs;}{\s25\ql \li0\ri0\sb240\nowidctlpar\wrapdefault\aspalpha\aspnum\faauto\adjustright\rin0\lin0\itap0 \rtlch\fcs1 _x000d__x000a_\af0\afs20\alang1025 \ltrch\fcs0 \b\fs24\lang2057\langfe2057\cgrid\langnp2057\langfenp2057 \sbasedon0 \snext25 \spriority0 \styrsid1512391 NormalBold12b;}}{\*\rsidtbl \rsid24658\rsid223860\rsid735077\rsid1183905\rsid1512391\rsid17181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ATERZA Angela}{\operator LATERZA Angela}{\creatim\yr2023\mo11\dy22\hr10\min21}{\revtim\yr2023\mo11\dy22\hr10\min21}{\version1}{\edmins0}{\nofpages1}_x000d__x000a_{\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2391\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1183905 \chftnsep _x000d__x000a_\par }}{\*\ftnsepc \ltrpar \pard\plain \ltrpar\ql \li0\ri0\widctlpar\wrapdefault\aspalpha\aspnum\faauto\adjustright\rin0\lin0\itap0 \rtlch\fcs1 \af0\afs20\alang1025 \ltrch\fcs0 \fs24\lang2057\langfe2057\cgrid\langnp2057\langfenp2057 {\rtlch\fcs1 \af0 _x000d__x000a_\ltrch\fcs0 \insrsid1183905 \chftnsepc _x000d__x000a_\par }}{\*\aftnsep \ltrpar \pard\plain \ltrpar\ql \li0\ri0\widctlpar\wrapdefault\aspalpha\aspnum\faauto\adjustright\rin0\lin0\itap0 \rtlch\fcs1 \af0\afs20\alang1025 \ltrch\fcs0 \fs24\lang2057\langfe2057\cgrid\langnp2057\langfenp2057 {\rtlch\fcs1 \af0 _x000d__x000a_\ltrch\fcs0 \insrsid1183905 \chftnsep _x000d__x000a_\par }}{\*\aftnsepc \ltrpar \pard\plain \ltrpar\ql \li0\ri0\widctlpar\wrapdefault\aspalpha\aspnum\faauto\adjustright\rin0\lin0\itap0 \rtlch\fcs1 \af0\afs20\alang1025 \ltrch\fcs0 \fs24\lang2057\langfe2057\cgrid\langnp2057\langfenp2057 {\rtlch\fcs1 \af0 _x000d__x000a_\ltrch\fcs0 \insrsid1183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12391 \rtlch\fcs1 _x000d__x000a_\af0\afs20\alang1025 \ltrch\fcs0 \b\fs24\lang2057\langfe2057\cgrid\langnp2057\langfenp2057 {\rtlch\fcs1 \af0 \ltrch\fcs0 \cs17\b0\v\fs20\cf9\lang1024\langfe1024\loch\af1\hich\af1\dbch\af31501\noproof\insrsid1512391\charrsid15879488 {\*\bkmkstart restartB}_x000d__x000a_\hich\af1\dbch\af31501\loch\f1 &lt;AmendB&gt;}{\rtlch\fcs1 \af0 \ltrch\fcs0 \insrsid1512391\charrsid15879488 [ZAMENDMENT]\tab \tab }{\rtlch\fcs1 \af0 \ltrch\fcs0 _x000d__x000a_\cs17\b0\v\fs20\cf9\lang1024\langfe1024\loch\af1\hich\af1\dbch\af31501\noproof\insrsid1512391\charrsid15879488 \hich\af1\dbch\af31501\loch\f1 &lt;NumAmB&gt;}{\rtlch\fcs1 \af0 \ltrch\fcs0 \insrsid1512391\charrsid15879488 [ZNRAM]}{\rtlch\fcs1 \af0 \ltrch\fcs0 _x000d__x000a_\cs17\b0\v\fs20\cf9\lang1024\langfe1024\loch\af1\hich\af1\dbch\af31501\noproof\insrsid1512391\charrsid15879488 \hich\af1\dbch\af31501\loch\f1 &lt;/NumAmB&gt;}{\rtlch\fcs1 \af0 \ltrch\fcs0 \insrsid1512391\charrsid15879488 _x000d__x000a_\par }\pard\plain \ltrpar\s25\ql \li0\ri0\sb240\keepn\nowidctlpar\wrapdefault\aspalpha\aspnum\faauto\adjustright\rin0\lin0\itap0\pararsid1512391 \rtlch\fcs1 \af0\afs20\alang1025 \ltrch\fcs0 \b\fs24\lang2057\langfe2057\cgrid\langnp2057\langfenp2057 {_x000d__x000a_\rtlch\fcs1 \af0 \ltrch\fcs0 \cs17\b0\v\fs20\cf9\lang1024\langfe1024\loch\af1\hich\af1\dbch\af31501\noproof\insrsid1512391\charrsid15879488 \hich\af1\dbch\af31501\loch\f1 &lt;DocAmend&gt;}{\rtlch\fcs1 \af0 \ltrch\fcs0 \insrsid1512391\charrsid15879488 _x000d__x000a_[ZPROPOSAL][ZAMACT]}{\rtlch\fcs1 \af0 \ltrch\fcs0 \cs17\b0\v\fs20\cf9\lang1024\langfe1024\loch\af1\hich\af1\dbch\af31501\noproof\insrsid1512391\charrsid15879488 \hich\af1\dbch\af31501\loch\f1 &lt;/DocAmend&gt;}{\rtlch\fcs1 \af0 \ltrch\fcs0 _x000d__x000a_\insrsid1512391\charrsid15879488 _x000d__x000a_\par }\pard\plain \ltrpar\s19\ql \li0\ri0\keepn\nowidctlpar\wrapdefault\aspalpha\aspnum\faauto\adjustright\rin0\lin0\itap0\pararsid1512391 \rtlch\fcs1 \af0\afs20\alang1025 \ltrch\fcs0 \b\fs24\lang2057\langfe2057\cgrid\langnp2057\langfenp2057 {\rtlch\fcs1 \af0 _x000d__x000a_\ltrch\fcs0 \cs17\b0\v\fs20\cf9\lang1024\langfe1024\loch\af1\hich\af1\dbch\af31501\noproof\insrsid1512391\charrsid15879488 \hich\af1\dbch\af31501\loch\f1 &lt;Article&gt;}{\rtlch\fcs1 \af0 \ltrch\fcs0 \insrsid1512391\charrsid15879488 [ZAMPART]}{\rtlch\fcs1 \af0 _x000d__x000a_\ltrch\fcs0 \cs17\b0\v\fs20\cf9\lang1024\langfe1024\loch\af1\hich\af1\dbch\af31501\noproof\insrsid1512391\charrsid15879488 \hich\af1\dbch\af31501\loch\f1 &lt;/Article&gt;}{\rtlch\fcs1 \af0 \ltrch\fcs0 \insrsid1512391\charrsid15879488 _x000d__x000a_\par }\pard\plain \ltrpar\ql \li0\ri0\keepn\widctlpar\wrapdefault\aspalpha\aspnum\faauto\adjustright\rin0\lin0\itap0\pararsid1512391 \rtlch\fcs1 \af0\afs20\alang1025 \ltrch\fcs0 \fs24\lang2057\langfe2057\cgrid\langnp2057\langfenp2057 {\rtlch\fcs1 \af0 _x000d__x000a_\ltrch\fcs0 \cs17\v\fs20\cf9\lang1024\langfe1024\loch\af1\hich\af1\dbch\af31501\noproof\insrsid1512391\charrsid15879488 \hich\af1\dbch\af31501\loch\f1 &lt;DocAmend2&gt;&lt;OptDel&gt;}{\rtlch\fcs1 \af0 \ltrch\fcs0 \insrsid1512391\charrsid15879488 [ZNRACT]}{_x000d__x000a_\rtlch\fcs1 \af0 \ltrch\fcs0 \cs17\v\fs20\cf9\lang1024\langfe1024\loch\af1\hich\af1\dbch\af31501\noproof\insrsid1512391\charrsid15879488 \hich\af1\dbch\af31501\loch\f1 &lt;/OptDel&gt;&lt;/DocAmend2&gt;}{\rtlch\fcs1 \af0 \ltrch\fcs0 \insrsid1512391\charrsid15879488 _x000d__x000a__x000d__x000a_\par }\pard \ltrpar\ql \li0\ri0\widctlpar\wrapdefault\aspalpha\aspnum\faauto\adjustright\rin0\lin0\itap0\pararsid1512391 {\rtlch\fcs1 \af0 \ltrch\fcs0 _x000d__x000a_\cs17\v\fs20\cf9\lang1024\langfe1024\loch\af1\hich\af1\dbch\af31501\noproof\langnp1036\insrsid1512391\charrsid11356624 \hich\af1\dbch\af31501\loch\f1 &lt;Article2&gt;&lt;OptDel&gt;}{\rtlch\fcs1 \af0 \ltrch\fcs0 _x000d__x000a_\lang1036\langfe2057\langnp1036\insrsid1512391\charrsid11356624 [ZACTPART]}{\rtlch\fcs1 \af0 \ltrch\fcs0 \cs17\v\fs20\cf9\lang1024\langfe1024\loch\af1\hich\af1\dbch\af31501\noproof\langnp1036\insrsid1512391\charrsid11356624 \hich\af1\dbch\af31501\loch\f1 _x000d__x000a_&lt;/OptDel&gt;&lt;/Article2&gt;}{\rtlch\fcs1 \af0 \ltrch\fcs0 \lang1036\langfe2057\langnp1036\insrsid151239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12391\charrsid11356624 \cell }\pard \ltrpar\ql \li0\ri0\widctlpar\intbl\wrapdefault\aspalpha\aspnum\faauto\adjustright\rin0\lin0 {\rtlch\fcs1 \af0 \ltrch\fcs0 \insrsid151239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12391\charrsid15879488 [ZLEFTB]\cell [ZRIGHT]\cell }\pard\plain \ltrpar\ql \li0\ri0\widctlpar\intbl\wrapdefault\aspalpha\aspnum\faauto\adjustright\rin0\lin0 \rtlch\fcs1 \af0\afs20\alang1025 \ltrch\fcs0 _x000d__x000a_\fs24\lang2057\langfe2057\cgrid\langnp2057\langfenp2057 {\rtlch\fcs1 \af0 \ltrch\fcs0 \insrsid151239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12391\charrsid15879488 [ZTEXTL]\cell [ZTEXTR]}{\rtlch\fcs1 \af0\afs24 \ltrch\fcs0 \insrsid1512391\charrsid15879488 \cell }\pard\plain \ltrpar\ql \li0\ri0\widctlpar\intbl\wrapdefault\aspalpha\aspnum\faauto\adjustright\rin0\lin0 \rtlch\fcs1 _x000d__x000a_\af0\afs20\alang1025 \ltrch\fcs0 \fs24\lang2057\langfe2057\cgrid\langnp2057\langfenp2057 {\rtlch\fcs1 \af0 \ltrch\fcs0 \insrsid151239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12391 \rtlch\fcs1 \af0\afs20\alang1025 \ltrch\fcs0 \i\fs24\lang2057\langfe2057\cgrid\langnp2057\langfenp2057 {\rtlch\fcs1 \af0 \ltrch\fcs0 _x000d__x000a_\cs17\i0\v\fs20\cf9\lang1024\langfe1024\loch\af1\hich\af1\dbch\af31501\noproof\insrsid1512391\charrsid15879488 \hich\af1\dbch\af31501\loch\f1 &lt;OptDel&gt;}{\rtlch\fcs1 \af0 \ltrch\fcs0 \insrsid1512391\charrsid15879488 [ZCROSSREF]}{\rtlch\fcs1 \af0 _x000d__x000a_\ltrch\fcs0 \cs17\i0\v\fs20\cf9\lang1024\langfe1024\loch\af1\hich\af1\dbch\af31501\noproof\insrsid1512391\charrsid15879488 \hich\af1\dbch\af31501\loch\f1 &lt;/OptDel&gt;}{\rtlch\fcs1 \af0 \ltrch\fcs0 \insrsid1512391\charrsid15879488 _x000d__x000a_\par }\pard\plain \ltrpar\s22\qc \li0\ri0\sb240\sa240\keepn\nowidctlpar\wrapdefault\aspalpha\aspnum\faauto\adjustright\rin0\lin0\itap0\pararsid1512391 \rtlch\fcs1 \af0\afs20\alang1025 \ltrch\fcs0 \i\fs24\lang2057\langfe2057\cgrid\langnp2057\langfenp2057 {_x000d__x000a_\rtlch\fcs1 \af0 \ltrch\fcs0 \cs17\i0\v\fs20\cf9\lang1024\langfe1024\loch\af1\hich\af1\dbch\af31501\noproof\insrsid1512391\charrsid15879488 \hich\af1\dbch\af31501\loch\f1 &lt;TitreJust&gt;}{\rtlch\fcs1 \af0 \ltrch\fcs0 \insrsid1512391\charrsid15879488 _x000d__x000a_[ZJUSTIFICATION]}{\rtlch\fcs1 \af0 \ltrch\fcs0 \cs17\i0\v\fs20\cf9\lang1024\langfe1024\loch\af1\hich\af1\dbch\af31501\noproof\insrsid1512391\charrsid15879488 \hich\af1\dbch\af31501\loch\f1 &lt;/TitreJust&gt;}{\rtlch\fcs1 \af0 \ltrch\fcs0 _x000d__x000a_\insrsid1512391\charrsid15879488 _x000d__x000a_\par }\pard\plain \ltrpar\s20\ql \li0\ri0\sa240\nowidctlpar\wrapdefault\aspalpha\aspnum\faauto\adjustright\rin0\lin0\itap0\pararsid1512391 \rtlch\fcs1 \af0\afs20\alang1025 \ltrch\fcs0 \i\fs24\lang2057\langfe2057\cgrid\langnp2057\langfenp2057 {\rtlch\fcs1 \af0 _x000d__x000a_\ltrch\fcs0 \cs17\i0\v\fs20\cf9\lang1024\langfe1024\loch\af1\hich\af1\dbch\af31501\noproof\insrsid1512391\charrsid15879488 \hich\af1\dbch\af31501\loch\f1 &lt;OptDelPrev&gt;}{\rtlch\fcs1 \af0 \ltrch\fcs0 \insrsid1512391\charrsid15879488 [ZTEXTJUST]}{\rtlch\fcs1 _x000d__x000a_\af0 \ltrch\fcs0 \cs17\i0\v\fs20\cf9\lang1024\langfe1024\loch\af1\hich\af1\dbch\af31501\noproof\insrsid1512391\charrsid15879488 \hich\af1\dbch\af31501\loch\f1 &lt;/OptDelPrev&gt;}{\rtlch\fcs1 \af0 \ltrch\fcs0 \insrsid1512391\charrsid15879488 _x000d__x000a_\par }\pard\plain \ltrpar\ql \li0\ri0\widctlpar\wrapdefault\aspalpha\aspnum\faauto\adjustright\rin0\lin0\itap0\pararsid1512391 \rtlch\fcs1 \af0\afs20\alang1025 \ltrch\fcs0 \fs24\lang2057\langfe2057\cgrid\langnp2057\langfenp2057 {\rtlch\fcs1 \af0 \ltrch\fcs0 _x000d__x000a_\cs17\v\fs20\cf9\lang1024\langfe1024\loch\af1\hich\af1\dbch\af31501\noproof\insrsid1512391\charrsid15879488 \hich\af1\dbch\af31501\loch\f1 &lt;/AmendB&gt;}{\rtlch\fcs1 \af0 \ltrch\fcs0 \insrsid151239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3_x000d__x000a_8353251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0"/>
    <w:docVar w:name="TITLECODMNU" w:val=" 1"/>
    <w:docVar w:name="TXTLANGUE" w:val="IT"/>
    <w:docVar w:name="TXTLANGUEMIN" w:val="it"/>
    <w:docVar w:name="TXTNRPE" w:val="753.445"/>
    <w:docVar w:name="TXTNRPROC" w:val="2023/0171"/>
    <w:docVar w:name="TXTPEorAP" w:val="PE"/>
    <w:docVar w:name="TXTROUTE" w:val="AD\1290360IT.docx"/>
    <w:docVar w:name="TXTVERSION" w:val="03-00"/>
  </w:docVars>
  <w:rsids>
    <w:rsidRoot w:val="000E21A0"/>
    <w:rsid w:val="00026559"/>
    <w:rsid w:val="00027FA8"/>
    <w:rsid w:val="000422B4"/>
    <w:rsid w:val="0004474F"/>
    <w:rsid w:val="00064601"/>
    <w:rsid w:val="00082EC4"/>
    <w:rsid w:val="000C0D1A"/>
    <w:rsid w:val="000D44A6"/>
    <w:rsid w:val="000E21A0"/>
    <w:rsid w:val="00104337"/>
    <w:rsid w:val="00122C05"/>
    <w:rsid w:val="00134974"/>
    <w:rsid w:val="00141CD7"/>
    <w:rsid w:val="001616BD"/>
    <w:rsid w:val="001820A9"/>
    <w:rsid w:val="001A0556"/>
    <w:rsid w:val="001B0A1E"/>
    <w:rsid w:val="001B453A"/>
    <w:rsid w:val="001C0886"/>
    <w:rsid w:val="001D5154"/>
    <w:rsid w:val="001E3AC4"/>
    <w:rsid w:val="0020077A"/>
    <w:rsid w:val="00207509"/>
    <w:rsid w:val="0023131B"/>
    <w:rsid w:val="002A67EE"/>
    <w:rsid w:val="00304EA8"/>
    <w:rsid w:val="00341A99"/>
    <w:rsid w:val="00360FAA"/>
    <w:rsid w:val="0038294E"/>
    <w:rsid w:val="003858C5"/>
    <w:rsid w:val="003A2F84"/>
    <w:rsid w:val="003B35A1"/>
    <w:rsid w:val="003C7390"/>
    <w:rsid w:val="003E1280"/>
    <w:rsid w:val="003F128E"/>
    <w:rsid w:val="0040055C"/>
    <w:rsid w:val="00487596"/>
    <w:rsid w:val="004B3A53"/>
    <w:rsid w:val="004C2A0D"/>
    <w:rsid w:val="004F1D2F"/>
    <w:rsid w:val="00502B76"/>
    <w:rsid w:val="00513F6F"/>
    <w:rsid w:val="00522B51"/>
    <w:rsid w:val="00524707"/>
    <w:rsid w:val="005539B7"/>
    <w:rsid w:val="00571233"/>
    <w:rsid w:val="00586ACF"/>
    <w:rsid w:val="00613134"/>
    <w:rsid w:val="00626D52"/>
    <w:rsid w:val="00643DA8"/>
    <w:rsid w:val="00657D5C"/>
    <w:rsid w:val="00683DD1"/>
    <w:rsid w:val="00691B1C"/>
    <w:rsid w:val="006A0F0A"/>
    <w:rsid w:val="006A48AA"/>
    <w:rsid w:val="006B1267"/>
    <w:rsid w:val="006B66BE"/>
    <w:rsid w:val="006D292E"/>
    <w:rsid w:val="006D6A0C"/>
    <w:rsid w:val="00712462"/>
    <w:rsid w:val="00716BAA"/>
    <w:rsid w:val="0078548A"/>
    <w:rsid w:val="007B7CE3"/>
    <w:rsid w:val="007F187F"/>
    <w:rsid w:val="00817D13"/>
    <w:rsid w:val="00820C7D"/>
    <w:rsid w:val="00833D11"/>
    <w:rsid w:val="00836FD3"/>
    <w:rsid w:val="008375A8"/>
    <w:rsid w:val="00872A52"/>
    <w:rsid w:val="00876A73"/>
    <w:rsid w:val="0089388A"/>
    <w:rsid w:val="008C2337"/>
    <w:rsid w:val="008F3DB0"/>
    <w:rsid w:val="00904864"/>
    <w:rsid w:val="009052FE"/>
    <w:rsid w:val="009215FC"/>
    <w:rsid w:val="00924555"/>
    <w:rsid w:val="009368B3"/>
    <w:rsid w:val="00982B83"/>
    <w:rsid w:val="009857B4"/>
    <w:rsid w:val="009E7319"/>
    <w:rsid w:val="00A71228"/>
    <w:rsid w:val="00A74E25"/>
    <w:rsid w:val="00AA426B"/>
    <w:rsid w:val="00AC2A60"/>
    <w:rsid w:val="00AD49D0"/>
    <w:rsid w:val="00B00EE6"/>
    <w:rsid w:val="00B11CA6"/>
    <w:rsid w:val="00B476DC"/>
    <w:rsid w:val="00B556CD"/>
    <w:rsid w:val="00B62D4B"/>
    <w:rsid w:val="00B735E3"/>
    <w:rsid w:val="00B904FA"/>
    <w:rsid w:val="00BA3E40"/>
    <w:rsid w:val="00BD1F76"/>
    <w:rsid w:val="00BE20CF"/>
    <w:rsid w:val="00C20DB2"/>
    <w:rsid w:val="00C22327"/>
    <w:rsid w:val="00C335C6"/>
    <w:rsid w:val="00C4219C"/>
    <w:rsid w:val="00C52A28"/>
    <w:rsid w:val="00C709B7"/>
    <w:rsid w:val="00C75E98"/>
    <w:rsid w:val="00C81C5B"/>
    <w:rsid w:val="00C83B35"/>
    <w:rsid w:val="00C85D0F"/>
    <w:rsid w:val="00D25CF2"/>
    <w:rsid w:val="00D56CE0"/>
    <w:rsid w:val="00D56ECC"/>
    <w:rsid w:val="00D6254D"/>
    <w:rsid w:val="00D67D0A"/>
    <w:rsid w:val="00D74FD1"/>
    <w:rsid w:val="00D943A5"/>
    <w:rsid w:val="00D9581F"/>
    <w:rsid w:val="00DB56E4"/>
    <w:rsid w:val="00E1010C"/>
    <w:rsid w:val="00E27F01"/>
    <w:rsid w:val="00E77FF5"/>
    <w:rsid w:val="00E94D64"/>
    <w:rsid w:val="00EA3802"/>
    <w:rsid w:val="00EF1432"/>
    <w:rsid w:val="00EF33D5"/>
    <w:rsid w:val="00F0029B"/>
    <w:rsid w:val="00F15744"/>
    <w:rsid w:val="00F24D40"/>
    <w:rsid w:val="00F31AE6"/>
    <w:rsid w:val="00FB61DB"/>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9EF5F1"/>
  <w15:chartTrackingRefBased/>
  <w15:docId w15:val="{26FADC34-9F58-446C-BB4A-71DBB23E0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8C2337"/>
    <w:pPr>
      <w:widowControl/>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8C2337"/>
    <w:rPr>
      <w:rFonts w:eastAsiaTheme="minorHAnsi"/>
      <w:lang w:eastAsia="en-US"/>
    </w:rPr>
  </w:style>
  <w:style w:type="character" w:styleId="FootnoteReference">
    <w:name w:val="footnote reference"/>
    <w:basedOn w:val="DefaultParagraphFont"/>
    <w:uiPriority w:val="99"/>
    <w:unhideWhenUsed/>
    <w:rsid w:val="008C2337"/>
    <w:rPr>
      <w:vertAlign w:val="superscript"/>
    </w:rPr>
  </w:style>
  <w:style w:type="character" w:styleId="Hyperlink">
    <w:name w:val="Hyperlink"/>
    <w:basedOn w:val="DefaultParagraphFont"/>
    <w:uiPriority w:val="99"/>
    <w:unhideWhenUsed/>
    <w:rsid w:val="008C2337"/>
    <w:rPr>
      <w:color w:val="0000FF"/>
      <w:u w:val="single"/>
    </w:rPr>
  </w:style>
  <w:style w:type="character" w:customStyle="1" w:styleId="NormalBoldChar">
    <w:name w:val="NormalBold Char"/>
    <w:basedOn w:val="DefaultParagraphFont"/>
    <w:link w:val="NormalBold"/>
    <w:locked/>
    <w:rsid w:val="008C2337"/>
    <w:rPr>
      <w:b/>
      <w:sz w:val="24"/>
      <w:lang w:val="it-IT"/>
    </w:rPr>
  </w:style>
  <w:style w:type="character" w:customStyle="1" w:styleId="Normal6Char">
    <w:name w:val="Normal6 Char"/>
    <w:basedOn w:val="DefaultParagraphFont"/>
    <w:link w:val="Normal6"/>
    <w:locked/>
    <w:rsid w:val="008C2337"/>
    <w:rPr>
      <w:sz w:val="24"/>
      <w:lang w:val="it-IT"/>
    </w:rPr>
  </w:style>
  <w:style w:type="paragraph" w:customStyle="1" w:styleId="Normal6">
    <w:name w:val="Normal6"/>
    <w:basedOn w:val="Normal"/>
    <w:link w:val="Normal6Char"/>
    <w:rsid w:val="008C2337"/>
    <w:pPr>
      <w:spacing w:after="120"/>
    </w:pPr>
    <w:rPr>
      <w:szCs w:val="20"/>
    </w:rPr>
  </w:style>
  <w:style w:type="paragraph" w:customStyle="1" w:styleId="ColumnHeading">
    <w:name w:val="ColumnHeading"/>
    <w:basedOn w:val="Normal"/>
    <w:rsid w:val="008C2337"/>
    <w:pPr>
      <w:spacing w:after="240"/>
      <w:jc w:val="center"/>
    </w:pPr>
    <w:rPr>
      <w:i/>
      <w:szCs w:val="20"/>
    </w:rPr>
  </w:style>
  <w:style w:type="paragraph" w:customStyle="1" w:styleId="AMNumberTabs0">
    <w:name w:val="AMNumberTabs"/>
    <w:basedOn w:val="Normal"/>
    <w:rsid w:val="008C233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C2337"/>
    <w:pPr>
      <w:jc w:val="right"/>
    </w:pPr>
  </w:style>
  <w:style w:type="paragraph" w:styleId="Footer">
    <w:name w:val="footer"/>
    <w:basedOn w:val="Normal"/>
    <w:link w:val="FooterChar"/>
    <w:rsid w:val="008C2337"/>
    <w:pPr>
      <w:tabs>
        <w:tab w:val="center" w:pos="4513"/>
        <w:tab w:val="right" w:pos="9026"/>
      </w:tabs>
    </w:pPr>
  </w:style>
  <w:style w:type="character" w:customStyle="1" w:styleId="FooterChar">
    <w:name w:val="Footer Char"/>
    <w:basedOn w:val="DefaultParagraphFont"/>
    <w:link w:val="Footer"/>
    <w:rsid w:val="008C2337"/>
    <w:rPr>
      <w:sz w:val="24"/>
      <w:szCs w:val="24"/>
      <w:lang w:val="it-IT"/>
    </w:rPr>
  </w:style>
  <w:style w:type="paragraph" w:styleId="BalloonText">
    <w:name w:val="Balloon Text"/>
    <w:basedOn w:val="Normal"/>
    <w:link w:val="BalloonTextChar"/>
    <w:semiHidden/>
    <w:unhideWhenUsed/>
    <w:rsid w:val="00D56ECC"/>
    <w:rPr>
      <w:rFonts w:ascii="Segoe UI" w:hAnsi="Segoe UI" w:cs="Segoe UI"/>
      <w:sz w:val="18"/>
      <w:szCs w:val="18"/>
    </w:rPr>
  </w:style>
  <w:style w:type="character" w:customStyle="1" w:styleId="BalloonTextChar">
    <w:name w:val="Balloon Text Char"/>
    <w:basedOn w:val="DefaultParagraphFont"/>
    <w:link w:val="BalloonText"/>
    <w:semiHidden/>
    <w:rsid w:val="00D56ECC"/>
    <w:rPr>
      <w:rFonts w:ascii="Segoe UI" w:hAnsi="Segoe UI" w:cs="Segoe UI"/>
      <w:sz w:val="18"/>
      <w:szCs w:val="18"/>
      <w:lang w:val="it-IT"/>
    </w:rPr>
  </w:style>
  <w:style w:type="character" w:customStyle="1" w:styleId="AmNumberTabsChar">
    <w:name w:val="AmNumberTabs Char"/>
    <w:basedOn w:val="DefaultParagraphFont"/>
    <w:link w:val="AmNumberTabs"/>
    <w:rsid w:val="00D56ECC"/>
    <w:rPr>
      <w:b/>
      <w:sz w:val="24"/>
    </w:rPr>
  </w:style>
  <w:style w:type="character" w:customStyle="1" w:styleId="NormalBold12bChar">
    <w:name w:val="NormalBold12b Char"/>
    <w:basedOn w:val="AmNumberTabsChar"/>
    <w:link w:val="NormalBold12b"/>
    <w:rsid w:val="00D56ECC"/>
    <w:rPr>
      <w:b/>
      <w:sz w:val="24"/>
    </w:rPr>
  </w:style>
  <w:style w:type="paragraph" w:customStyle="1" w:styleId="RollCallSymbols14pt">
    <w:name w:val="RollCallSymbols14pt"/>
    <w:basedOn w:val="Normal"/>
    <w:rsid w:val="00D56ECC"/>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56ECC"/>
    <w:pPr>
      <w:tabs>
        <w:tab w:val="center" w:pos="284"/>
        <w:tab w:val="left" w:pos="426"/>
      </w:tabs>
    </w:pPr>
    <w:rPr>
      <w:snapToGrid w:val="0"/>
      <w:szCs w:val="20"/>
      <w:lang w:eastAsia="en-US"/>
    </w:rPr>
  </w:style>
  <w:style w:type="paragraph" w:customStyle="1" w:styleId="RollCallVotes">
    <w:name w:val="RollCallVotes"/>
    <w:basedOn w:val="Normal"/>
    <w:rsid w:val="00D56ECC"/>
    <w:pPr>
      <w:spacing w:before="120" w:after="120"/>
      <w:jc w:val="center"/>
    </w:pPr>
    <w:rPr>
      <w:b/>
      <w:bCs/>
      <w:snapToGrid w:val="0"/>
      <w:sz w:val="16"/>
      <w:szCs w:val="20"/>
      <w:lang w:eastAsia="en-US"/>
    </w:rPr>
  </w:style>
  <w:style w:type="paragraph" w:customStyle="1" w:styleId="RollCallTable">
    <w:name w:val="RollCallTable"/>
    <w:basedOn w:val="Normal"/>
    <w:rsid w:val="00D56ECC"/>
    <w:pPr>
      <w:spacing w:before="120" w:after="120"/>
    </w:pPr>
    <w:rPr>
      <w:snapToGrid w:val="0"/>
      <w:sz w:val="16"/>
      <w:szCs w:val="20"/>
      <w:lang w:eastAsia="en-US"/>
    </w:rPr>
  </w:style>
  <w:style w:type="paragraph" w:customStyle="1" w:styleId="Normal24a">
    <w:name w:val="Normal24a"/>
    <w:basedOn w:val="Normal"/>
    <w:rsid w:val="00D56ECC"/>
    <w:pPr>
      <w:spacing w:after="480"/>
    </w:pPr>
    <w:rPr>
      <w:szCs w:val="20"/>
    </w:rPr>
  </w:style>
  <w:style w:type="paragraph" w:customStyle="1" w:styleId="NormalBoldCenter">
    <w:name w:val="NormalBoldCenter"/>
    <w:basedOn w:val="Normal"/>
    <w:rsid w:val="00D56ECC"/>
    <w:pPr>
      <w:jc w:val="center"/>
    </w:pPr>
    <w:rPr>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IT/TXT/?uri=CELEX:02005L0035-2009111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5E4E1-61F3-44E8-8B69-49E8A94DB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8809</Words>
  <Characters>54001</Characters>
  <Application>Microsoft Office Word</Application>
  <DocSecurity>0</DocSecurity>
  <Lines>1928</Lines>
  <Paragraphs>609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62201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2023-11-28T16:22:00Z</dcterms:created>
  <dcterms:modified xsi:type="dcterms:W3CDTF">2023-11-28T16:22:00Z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1290360</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\\eiciLUXpr1\pdocep$\DocEP\TRANSFIL\IT\PA_Legam.IT(26/07/2023 11:55:00)</vt:lpwstr>
  </property>
  <property fmtid="{D5CDD505-2E9C-101B-9397-08002B2CF9AE}" pid="7" name="&lt;Type&gt;">
    <vt:lpwstr>AD</vt:lpwstr>
  </property>
  <property fmtid="{D5CDD505-2E9C-101B-9397-08002B2CF9AE}" pid="8" name="Bookout">
    <vt:lpwstr>OK - 2023/11/28 17:18</vt:lpwstr>
  </property>
  <property fmtid="{D5CDD505-2E9C-101B-9397-08002B2CF9AE}" pid="9" name="Created with">
    <vt:lpwstr>9.14.1 Build [20230315]</vt:lpwstr>
  </property>
  <property fmtid="{D5CDD505-2E9C-101B-9397-08002B2CF9AE}" pid="10" name="FooterPath">
    <vt:lpwstr>AD\1290360IT.docx</vt:lpwstr>
  </property>
  <property fmtid="{D5CDD505-2E9C-101B-9397-08002B2CF9AE}" pid="11" name="LastEdited with">
    <vt:lpwstr>9.16.1 Build [20230915]</vt:lpwstr>
  </property>
  <property fmtid="{D5CDD505-2E9C-101B-9397-08002B2CF9AE}" pid="12" name="PE number">
    <vt:lpwstr>753.445</vt:lpwstr>
  </property>
  <property fmtid="{D5CDD505-2E9C-101B-9397-08002B2CF9AE}" pid="13" name="SDLStudio">
    <vt:lpwstr/>
  </property>
</Properties>
</file>