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523863" w:rsidTr="00C85D0F">
        <w:trPr>
          <w:trHeight w:hRule="exact" w:val="1418"/>
        </w:trPr>
        <w:tc>
          <w:tcPr>
            <w:tcW w:w="6804" w:type="dxa"/>
            <w:shd w:val="clear" w:color="auto" w:fill="auto"/>
            <w:vAlign w:val="center"/>
          </w:tcPr>
          <w:p w:rsidR="00854CAC" w:rsidRPr="00523863" w:rsidRDefault="00D96B90" w:rsidP="00C85D0F">
            <w:pPr>
              <w:pStyle w:val="EPName"/>
            </w:pPr>
            <w:r>
              <w:t>Parlamento europeo</w:t>
            </w:r>
          </w:p>
          <w:p w:rsidR="00854CAC" w:rsidRPr="00523863" w:rsidRDefault="00F97C04" w:rsidP="00F97C04">
            <w:pPr>
              <w:pStyle w:val="EPTerm"/>
            </w:pPr>
            <w:r>
              <w:t>2019-2024</w:t>
            </w:r>
          </w:p>
        </w:tc>
        <w:tc>
          <w:tcPr>
            <w:tcW w:w="2268" w:type="dxa"/>
            <w:shd w:val="clear" w:color="auto" w:fill="auto"/>
          </w:tcPr>
          <w:p w:rsidR="00854CAC" w:rsidRPr="00523863" w:rsidRDefault="00854CAC" w:rsidP="00C85D0F">
            <w:pPr>
              <w:pStyle w:val="EPLogo"/>
            </w:pPr>
            <w:r w:rsidRPr="00523863">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523863" w:rsidRDefault="001746D0" w:rsidP="001746D0">
      <w:pPr>
        <w:pStyle w:val="LineTop"/>
      </w:pPr>
    </w:p>
    <w:p w:rsidR="001746D0" w:rsidRPr="00523863" w:rsidRDefault="001746D0" w:rsidP="001746D0">
      <w:pPr>
        <w:pStyle w:val="EPBody"/>
      </w:pPr>
      <w:r>
        <w:rPr>
          <w:rStyle w:val="HideTWBExt"/>
          <w:i w:val="0"/>
        </w:rPr>
        <w:t>&lt;Commission&gt;</w:t>
      </w:r>
      <w:r>
        <w:rPr>
          <w:rStyle w:val="HideTWBInt"/>
          <w:i w:val="0"/>
        </w:rPr>
        <w:t>{PECH}</w:t>
      </w:r>
      <w:r>
        <w:t>Commissione per la pesca</w:t>
      </w:r>
      <w:r>
        <w:rPr>
          <w:rStyle w:val="HideTWBExt"/>
          <w:i w:val="0"/>
        </w:rPr>
        <w:t>&lt;/Commission&gt;</w:t>
      </w:r>
    </w:p>
    <w:p w:rsidR="001746D0" w:rsidRPr="00523863" w:rsidRDefault="001746D0" w:rsidP="001746D0">
      <w:pPr>
        <w:pStyle w:val="LineBottom"/>
      </w:pPr>
    </w:p>
    <w:p w:rsidR="002E2F2E" w:rsidRPr="00523863" w:rsidRDefault="00F97C04">
      <w:pPr>
        <w:pStyle w:val="CoverReference"/>
      </w:pPr>
      <w:r>
        <w:rPr>
          <w:rStyle w:val="HideTWBExt"/>
          <w:b w:val="0"/>
        </w:rPr>
        <w:t>&lt;RefProc&gt;</w:t>
      </w:r>
      <w:r>
        <w:t>2023/2150</w:t>
      </w:r>
      <w:r>
        <w:rPr>
          <w:rStyle w:val="HideTWBExt"/>
          <w:b w:val="0"/>
        </w:rPr>
        <w:t>&lt;/RefProc&gt;&lt;RefTypeProc&gt;</w:t>
      </w:r>
      <w:r>
        <w:t>(DEC)</w:t>
      </w:r>
      <w:r>
        <w:rPr>
          <w:rStyle w:val="HideTWBExt"/>
          <w:b w:val="0"/>
        </w:rPr>
        <w:t>&lt;/RefTypeProc&gt;</w:t>
      </w:r>
    </w:p>
    <w:p w:rsidR="002E2F2E" w:rsidRPr="00523863" w:rsidRDefault="002E2F2E">
      <w:pPr>
        <w:pStyle w:val="CoverDate"/>
      </w:pPr>
      <w:r>
        <w:rPr>
          <w:rStyle w:val="HideTWBExt"/>
        </w:rPr>
        <w:t>&lt;Date&gt;</w:t>
      </w:r>
      <w:r>
        <w:rPr>
          <w:rStyle w:val="HideTWBInt"/>
        </w:rPr>
        <w:t>{23/01/2024}</w:t>
      </w:r>
      <w:r>
        <w:t>25.1.2024</w:t>
      </w:r>
      <w:r>
        <w:rPr>
          <w:rStyle w:val="HideTWBExt"/>
        </w:rPr>
        <w:t>&lt;/Date&gt;</w:t>
      </w:r>
    </w:p>
    <w:p w:rsidR="002E2F2E" w:rsidRPr="00523863" w:rsidRDefault="002E2F2E">
      <w:pPr>
        <w:pStyle w:val="CoverDocType24a"/>
      </w:pPr>
      <w:r>
        <w:rPr>
          <w:rStyle w:val="HideTWBExt"/>
          <w:b w:val="0"/>
        </w:rPr>
        <w:t>&lt;TitreType&gt;</w:t>
      </w:r>
      <w:r>
        <w:t>PARERE</w:t>
      </w:r>
      <w:r>
        <w:rPr>
          <w:rStyle w:val="HideTWBExt"/>
          <w:b w:val="0"/>
        </w:rPr>
        <w:t>&lt;/TitreType&gt;</w:t>
      </w:r>
    </w:p>
    <w:p w:rsidR="002E2F2E" w:rsidRPr="00523863" w:rsidRDefault="002E2F2E">
      <w:pPr>
        <w:pStyle w:val="CoverNormal24a"/>
      </w:pPr>
      <w:r>
        <w:rPr>
          <w:rStyle w:val="HideTWBExt"/>
        </w:rPr>
        <w:t>&lt;CommissionResp&gt;</w:t>
      </w:r>
      <w:r>
        <w:t>della commissione per la pesca</w:t>
      </w:r>
      <w:r>
        <w:rPr>
          <w:rStyle w:val="HideTWBExt"/>
        </w:rPr>
        <w:t>&lt;/CommissionResp&gt;</w:t>
      </w:r>
    </w:p>
    <w:p w:rsidR="00FE78AB" w:rsidRPr="00523863" w:rsidRDefault="00FE78AB" w:rsidP="00FE78AB">
      <w:pPr>
        <w:pStyle w:val="CoverNormal24a"/>
      </w:pPr>
      <w:r>
        <w:rPr>
          <w:rStyle w:val="HideTWBExt"/>
        </w:rPr>
        <w:t>&lt;CommissionInt&gt;</w:t>
      </w:r>
      <w:r>
        <w:t>destinato alla commissione per il controllo dei bilanci</w:t>
      </w:r>
      <w:r>
        <w:rPr>
          <w:rStyle w:val="HideTWBExt"/>
        </w:rPr>
        <w:t>&lt;/CommissionInt&gt;</w:t>
      </w:r>
    </w:p>
    <w:p w:rsidR="00FE78AB" w:rsidRPr="00523863" w:rsidRDefault="00FE78AB" w:rsidP="00FE78AB">
      <w:pPr>
        <w:ind w:left="1417"/>
      </w:pPr>
      <w:r>
        <w:rPr>
          <w:rStyle w:val="HideTWBExt"/>
        </w:rPr>
        <w:t>&lt;Titre&gt;</w:t>
      </w:r>
      <w:r>
        <w:t>sul discarico per l'esecuzione del bilancio dell'Agenzia europea di controllo della pesca (EFCA) per l'esercizio 2022</w:t>
      </w:r>
      <w:r>
        <w:rPr>
          <w:rStyle w:val="HideTWBExt"/>
        </w:rPr>
        <w:t>&lt;/Titre&gt;</w:t>
      </w:r>
    </w:p>
    <w:p w:rsidR="002E2F2E" w:rsidRPr="00523863" w:rsidRDefault="00F97C04" w:rsidP="00F97C04">
      <w:pPr>
        <w:pStyle w:val="CoverNormal24a"/>
      </w:pPr>
      <w:r>
        <w:rPr>
          <w:rStyle w:val="HideTWBExt"/>
        </w:rPr>
        <w:t>&lt;DocRef&gt;</w:t>
      </w:r>
      <w:r>
        <w:t>(2023/2150(DEC))</w:t>
      </w:r>
      <w:r>
        <w:rPr>
          <w:rStyle w:val="HideTWBExt"/>
        </w:rPr>
        <w:t>&lt;/DocRef&gt;</w:t>
      </w:r>
    </w:p>
    <w:p w:rsidR="002E2F2E" w:rsidRPr="00523863" w:rsidRDefault="00F97C04">
      <w:pPr>
        <w:pStyle w:val="CoverNormal24a"/>
      </w:pPr>
      <w:r>
        <w:t xml:space="preserve">Relatore per parere: </w:t>
      </w:r>
      <w:r>
        <w:rPr>
          <w:rStyle w:val="HideTWBExt"/>
        </w:rPr>
        <w:t>&lt;Depute&gt;</w:t>
      </w:r>
      <w:r>
        <w:t>Pierre Karleskind</w:t>
      </w:r>
      <w:r>
        <w:rPr>
          <w:rStyle w:val="HideTWBExt"/>
        </w:rPr>
        <w:t>&lt;/Depute&gt;</w:t>
      </w:r>
    </w:p>
    <w:p w:rsidR="00A72C35" w:rsidRPr="00523863" w:rsidRDefault="00A72C35" w:rsidP="00A72C35">
      <w:pPr>
        <w:pStyle w:val="CoverNormal"/>
      </w:pPr>
    </w:p>
    <w:p w:rsidR="002E2F2E" w:rsidRPr="00523863" w:rsidRDefault="002E2F2E" w:rsidP="00E856D2">
      <w:pPr>
        <w:widowControl/>
        <w:tabs>
          <w:tab w:val="center" w:pos="4677"/>
        </w:tabs>
      </w:pPr>
      <w:r>
        <w:br w:type="page"/>
      </w:r>
      <w:r>
        <w:lastRenderedPageBreak/>
        <w:t>PA_NonLeg</w:t>
      </w:r>
    </w:p>
    <w:p w:rsidR="002E2F2E" w:rsidRPr="00523863" w:rsidRDefault="002E2F2E">
      <w:pPr>
        <w:pStyle w:val="PageHeadingNotTOC"/>
      </w:pPr>
      <w:r>
        <w:br w:type="page"/>
      </w:r>
      <w:r>
        <w:lastRenderedPageBreak/>
        <w:t>SUGGERIMENTI</w:t>
      </w:r>
    </w:p>
    <w:p w:rsidR="00FE78AB" w:rsidRPr="00523863" w:rsidRDefault="00FE78AB" w:rsidP="00FE78AB">
      <w:pPr>
        <w:pStyle w:val="Normal12a"/>
      </w:pPr>
      <w:r>
        <w:t>La commissione per la pesca invita la commissione per il controllo dei bilanci, competente per il merito, a includere nella proposta di risoluzione che approverà i seguenti suggerimenti:</w:t>
      </w:r>
    </w:p>
    <w:p w:rsidR="00FE78AB" w:rsidRPr="00523863" w:rsidRDefault="00FE78AB" w:rsidP="00FE78AB">
      <w:pPr>
        <w:pStyle w:val="NormalHanging12a"/>
      </w:pPr>
      <w:r>
        <w:t>1.</w:t>
      </w:r>
      <w:r>
        <w:tab/>
        <w:t>prende atto della relazione della Corte dei conti (in appresso "la Corte") sui conti annuali dell'Agenzia europea di controllo della pesca (in appresso "l'Agenzia") relativi all'esercizio 2022, della relazione annuale di attività 2022 dell'Agenzia, nonché dell'analisi e della valutazione di tale relazione da parte del consiglio di amministrazione dell'Agenzia;</w:t>
      </w:r>
    </w:p>
    <w:p w:rsidR="00FE78AB" w:rsidRPr="00523863" w:rsidRDefault="00FE78AB" w:rsidP="00FE78AB">
      <w:pPr>
        <w:pStyle w:val="NormalHanging12a"/>
      </w:pPr>
      <w:r>
        <w:t>2.</w:t>
      </w:r>
      <w:r>
        <w:tab/>
        <w:t>esprime soddisfazione per la dichiarazione della Corte secondo cui i conti dell'Agenzia per l'esercizio chiuso al 31 dicembre 2021 sono conformi al regolamento finanziario dell'Unione e alle norme contabili adottate dal contabile della Commissione; prende atto delle osservazioni della Corte in merito agli appalti pubblici, ai sistemi di gestione e di controllo e all'utilizzo dei riporti;</w:t>
      </w:r>
    </w:p>
    <w:p w:rsidR="00FE78AB" w:rsidRPr="00523863" w:rsidRDefault="00FE78AB" w:rsidP="00FE78AB">
      <w:pPr>
        <w:pStyle w:val="NormalHanging12a"/>
      </w:pPr>
      <w:r>
        <w:t>3.</w:t>
      </w:r>
      <w:r>
        <w:tab/>
        <w:t>osserva che l'esercizio 2022 è stato caratterizzato dalla ripresa dalle conseguenze della pandemia di COVID-19 sui due esercizi finanziari precedenti, mentre il bilancio e le risorse dell'EFCA per compiti e progetti aggiuntivi hanno continuato a crescere, come previsto nel suo documento unico di programmazione per il 2022; sottolinea che la guerra in Ucraina potrebbe avere un impatto sulla rilevazione e sulla valutazione di alcune attività e passività nello stato patrimoniale nonché su alcuni costi e ricavi rilevati nel conto economico per gli esercizi successivi;</w:t>
      </w:r>
    </w:p>
    <w:p w:rsidR="00FE78AB" w:rsidRPr="00523863" w:rsidRDefault="00FE78AB" w:rsidP="00FE78AB">
      <w:pPr>
        <w:pStyle w:val="NormalHanging12a"/>
      </w:pPr>
      <w:r>
        <w:t>4.</w:t>
      </w:r>
      <w:r>
        <w:tab/>
        <w:t>rileva che nel 2022 l'Agenzia ha ricevuto un contributo di 29,34 milioni di EUR a carico del bilancio generale dell'Unione, il che rappresenta un aumento del 40 % rispetto al 2021; sottolinea che sia il bilancio annuale dell'Agenzia che il suo organico sono tra i più bassi delle agenzie dell'Unione, nonostante l'aumento della tabella dell'organico;</w:t>
      </w:r>
    </w:p>
    <w:p w:rsidR="00FE78AB" w:rsidRPr="00523863" w:rsidRDefault="00FE78AB" w:rsidP="00FE78AB">
      <w:pPr>
        <w:pStyle w:val="NormalHanging12a"/>
      </w:pPr>
      <w:r>
        <w:t>5.</w:t>
      </w:r>
      <w:r>
        <w:tab/>
        <w:t>riconosce che nell'esercizio 2022 l'Agenzia è stata in grado di attuare il 95,4 % del suo programma di lavoro annuale; osserva che l'Agenzia è stata in grado di svolgere le proprie operazioni e di eseguire il proprio bilancio come previsto, con un'esecuzione di bilancio complessiva pari al 99,4 % in termini di impegni e al 57,8 % in termini di pagamenti, un valore notevolmente inferiore rispetto all'anno precedente; prende atto della spiegazione dell'Agenzia secondo cui tale riduzione deriva principalmente dal lasso di tempo necessario per rendere operative tre navi pattuglia per la sorveglianza della pesca in alto mare;</w:t>
      </w:r>
    </w:p>
    <w:p w:rsidR="00FE78AB" w:rsidRPr="00523863" w:rsidRDefault="00FE78AB" w:rsidP="00FE78AB">
      <w:pPr>
        <w:pStyle w:val="NormalHanging12a"/>
      </w:pPr>
      <w:r>
        <w:t>6.</w:t>
      </w:r>
      <w:r>
        <w:tab/>
        <w:t>ricorda il contributo fondamentale dell'Agenzia nell'attuazione della politica comune della pesca (PCP), in particolare per quanto riguarda il controllo della pesca e la lotta contro la pesca illegale, non dichiarata e non regolamentata; apprezza il rafforzamento del pattugliatore offshore (OPV) noleggiato dall'Agenzia per effettuare controlli e ispezioni della pesca nelle acque dell'Unione e nelle acque internazionali e per sostenere le autorità nazionali; sottolinea la partecipazione dell'Agenzia alle principali coalizioni internazionali contro la pesca illegale, come l'operazione PESCAO;</w:t>
      </w:r>
    </w:p>
    <w:p w:rsidR="00FE78AB" w:rsidRPr="00523863" w:rsidRDefault="00FE78AB" w:rsidP="00FE78AB">
      <w:pPr>
        <w:pStyle w:val="NormalHanging12a"/>
      </w:pPr>
      <w:r>
        <w:t>7.</w:t>
      </w:r>
      <w:r>
        <w:tab/>
        <w:t xml:space="preserve">sottolinea che la responsabilità primaria per il controllo delle attività di pesca spetta agli Stati membri, mentre l'Agenzia ha funzioni di sostegno; evidenzia che la revisione </w:t>
      </w:r>
      <w:r>
        <w:lastRenderedPageBreak/>
        <w:t>recentemente adottata del regolamento sul controllo della pesca comporterà un aumento del carico di lavoro di sostegno dell'Agenzia; sottolinea che è importante prendere atto dell'incoerenza di voler assumere obblighi crescenti senza risorse sufficienti per farlo; evidenzia pertanto la necessità di dotare l'Agenzia di risorse umane e finanziarie sufficienti nei prossimi anni;</w:t>
      </w:r>
    </w:p>
    <w:p w:rsidR="00FE78AB" w:rsidRPr="00523863" w:rsidRDefault="00FE78AB" w:rsidP="00FE78AB">
      <w:pPr>
        <w:ind w:left="567" w:hanging="567"/>
        <w:jc w:val="both"/>
      </w:pPr>
      <w:r>
        <w:t>8.</w:t>
      </w:r>
      <w:r>
        <w:tab/>
        <w:t>osserva che, nel 2022, l'Agenzia ha segnalato 47 592 ispezioni (in mare e a terra), che hanno portato all'individuazione di 5 167 presunte infrazioni, il che rappresenta rispettivamente una diminuzione delle ispezioni dell'11 % e un aumento delle presunte infrazioni del 28 % rispetto al 2021; sottolinea che la diminuzione osservata non è necessariamente legata a una riduzione delle attività di controllo da parte degli Stati membri; invita l'Agenzia a fornire informazioni più dettagliate sui motivi di tali cambiamenti; ricorda che le ispezioni e altre attività di follow-up svolgono un ruolo fondamentale non soltanto ai fini di un'adeguata gestione delle riserve ittiche, ma anche per garantire parità di condizioni tra i pescatori dell'Unione;</w:t>
      </w:r>
    </w:p>
    <w:p w:rsidR="00FE78AB" w:rsidRPr="00523863" w:rsidRDefault="00FE78AB" w:rsidP="00FE78AB">
      <w:pPr>
        <w:ind w:left="567" w:hanging="567"/>
        <w:jc w:val="both"/>
      </w:pPr>
    </w:p>
    <w:p w:rsidR="00FE78AB" w:rsidRPr="00523863" w:rsidRDefault="00FE78AB" w:rsidP="00FE78AB">
      <w:pPr>
        <w:pStyle w:val="NormalHanging12a"/>
      </w:pPr>
      <w:r>
        <w:t>9.</w:t>
      </w:r>
      <w:r>
        <w:tab/>
        <w:t>sottolinea, in relazione alla lotta contro la pesca illegale, non dichiarata e non regolamentata, l'importante ruolo dell'Agenzia nell'incoraggiare un'applicazione rafforzata e armonizzata dei sistemi di controllo dell'UE per combattere la pesca illegale;</w:t>
      </w:r>
    </w:p>
    <w:p w:rsidR="00FE78AB" w:rsidRPr="00523863" w:rsidRDefault="00FE78AB" w:rsidP="00FE78AB">
      <w:pPr>
        <w:pStyle w:val="NormalHanging12a"/>
      </w:pPr>
      <w:r>
        <w:t>10.</w:t>
      </w:r>
      <w:r>
        <w:tab/>
        <w:t>prende atto della continua cooperazione dell'Agenzia con l'Agenzia europea della guardia di frontiera e costiera (Frontex) e con l'Agenzia europea per la sicurezza marittima (EMSA) nel dare sostegno alle autorità nazionali che svolgono funzioni di guardia costiera in linea con l'articolo 8 del regolamento (UE) 2019/473; ritiene che tale cooperazione costituisca un esempio di sinergia tra le agenzie dell'Unione, che dovrebbe servire da fonte di ispirazione per le agenzie in altri settori; invita l'Agenzia a proseguire i suoi sforzi a tale riguardo e ritiene che sia opportuno rafforzare anche la cooperazione tra l'Agenzia e l'Agenzia europea dell'ambiente;</w:t>
      </w:r>
    </w:p>
    <w:p w:rsidR="00FE78AB" w:rsidRPr="00523863" w:rsidRDefault="00FE78AB" w:rsidP="00FE78AB">
      <w:pPr>
        <w:pStyle w:val="NormalHanging12a"/>
      </w:pPr>
      <w:r>
        <w:t>11.</w:t>
      </w:r>
      <w:r>
        <w:tab/>
        <w:t>sottolinea il ruolo svolto dall'Agenzia in relazione all'offerta di opportunità di formazione e di potenziamento delle capacità a paesi terzi e il suo ruolo fondamentale nel garantire parità di condizioni tra tutti gli Stati costieri;</w:t>
      </w:r>
    </w:p>
    <w:p w:rsidR="00FE78AB" w:rsidRPr="00523863" w:rsidRDefault="00FE78AB" w:rsidP="00FE78AB">
      <w:pPr>
        <w:pStyle w:val="NormalHanging12a"/>
      </w:pPr>
      <w:r>
        <w:t>12.</w:t>
      </w:r>
      <w:r>
        <w:tab/>
        <w:t>rileva che, al 31 dicembre 2022, la tabella dell'organico era completa, con la nomina di 74 agenti temporanei sui 77 agenti temporanei autorizzati a titolo del bilancio dell'Unione; prende atto dell'aumento delle spese per il personale di 2,1 milioni di EUR rispetto al 2021;</w:t>
      </w:r>
    </w:p>
    <w:p w:rsidR="00FE78AB" w:rsidRPr="00523863" w:rsidRDefault="00FE78AB" w:rsidP="00FE78AB">
      <w:pPr>
        <w:pStyle w:val="NormalHanging12a"/>
      </w:pPr>
      <w:r>
        <w:t>13.</w:t>
      </w:r>
      <w:r>
        <w:tab/>
        <w:t>prende atto della politica dell'Agenzia volta a promuovere la parità di trattamento del personale e dell'obiettivo in materia di parità di genere, in termini di numero, grado e livello di responsabilità; si rammarica del fatto che le donne rappresentino soltanto il 38 % del personale assunto al grado AD 8 o superiore, senza alcun cambiamento rispetto al 2021; osserva che occorre fare di più per raggiungere la parità a livello dirigenziale; rinnova il proprio invito all'Agenzia a incrementare gli sforzi relativi alla sua politica in materia di parità di genere al fine di realizzare progressi anche per quanto riguarda la parità a livello dirigenziale;</w:t>
      </w:r>
    </w:p>
    <w:p w:rsidR="00FE78AB" w:rsidRPr="00523863" w:rsidRDefault="00FE78AB" w:rsidP="00FE78AB">
      <w:pPr>
        <w:pStyle w:val="NormalHanging12a"/>
      </w:pPr>
      <w:r>
        <w:t>14.</w:t>
      </w:r>
      <w:r>
        <w:tab/>
        <w:t xml:space="preserve">sottolinea inoltre l'importanza di una rappresentanza geografica equilibrata tra il </w:t>
      </w:r>
      <w:r>
        <w:lastRenderedPageBreak/>
        <w:t>personale al fine di conseguire uno degli obiettivi fondamentali della Commissione, ossia essere vicini ai cittadini e rispecchiare la diversità degli Stati membri;</w:t>
      </w:r>
    </w:p>
    <w:p w:rsidR="00FE78AB" w:rsidRPr="00523863" w:rsidRDefault="00FE78AB" w:rsidP="00FE78AB">
      <w:pPr>
        <w:pStyle w:val="NormalHanging12a"/>
      </w:pPr>
      <w:r>
        <w:t>15.</w:t>
      </w:r>
      <w:r>
        <w:tab/>
        <w:t>invita l'Agenzia a continuare ad aggiornare periodicamente e a rendere pubbliche le informazioni sulle pertinenti riunioni della direttrice esecutiva e del personale con le organizzazioni o i liberi professionisti impegnati nell'elaborazione e nell'attuazione delle politiche dell'Unione, in modo da garantire piena trasparenza e fiducia nell'attività dell'Agenzia;</w:t>
      </w:r>
    </w:p>
    <w:p w:rsidR="00FE78AB" w:rsidRPr="00523863" w:rsidRDefault="00FE78AB" w:rsidP="00FE78AB">
      <w:pPr>
        <w:pStyle w:val="NormalHanging12a"/>
      </w:pPr>
      <w:r>
        <w:t>16.</w:t>
      </w:r>
      <w:r>
        <w:tab/>
        <w:t>propone di concedere il discarico alla direttrice esecutiva dell'Agenzia per l'esecuzione del bilancio dell'Agenzia per l'esercizio 2022.</w:t>
      </w:r>
    </w:p>
    <w:p w:rsidR="00FE78AB" w:rsidRPr="00523863" w:rsidRDefault="00FE78AB" w:rsidP="001A7306">
      <w:pPr>
        <w:sectPr w:rsidR="00FE78AB" w:rsidRPr="00523863" w:rsidSect="00E27E6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FE78AB" w:rsidRPr="00523863" w:rsidRDefault="00FE78AB" w:rsidP="002B2C72">
      <w:pPr>
        <w:pStyle w:val="PageHeadingNotTOC"/>
        <w:rPr>
          <w:noProof/>
        </w:rPr>
      </w:pPr>
      <w:bookmarkStart w:id="0" w:name="FootprintPageAD"/>
      <w:r>
        <w:lastRenderedPageBreak/>
        <w:t>ALLEGATO: ENTITÀ O PERSONE</w:t>
      </w:r>
      <w:r>
        <w:br/>
        <w:t>DA CUI IL RELATORE PER PARERE HA RICEVUTO CONTRIBUTI</w:t>
      </w:r>
    </w:p>
    <w:p w:rsidR="00FE78AB" w:rsidRPr="00523863" w:rsidRDefault="00FE78AB" w:rsidP="00037518">
      <w:pPr>
        <w:pStyle w:val="Normal24a"/>
      </w:pPr>
      <w:r>
        <w:rPr>
          <w:rStyle w:val="HideTWBExt"/>
        </w:rPr>
        <w:t>&lt;FootprintIntro&gt;</w:t>
      </w:r>
      <w:r>
        <w:t>Il relatore per parere dichiara, sotto la sua esclusiva responsabilità, di non aver ricevuto alcun contributo da entità o persone da menzionare nel presente allegato in virtù dell'allegato I, articolo 8, del regolamento.</w:t>
      </w:r>
      <w:r>
        <w:rPr>
          <w:rStyle w:val="HideTWBExt"/>
        </w:rPr>
        <w:t>&lt;/FootprintIntro&gt;</w:t>
      </w:r>
    </w:p>
    <w:p w:rsidR="00FE78AB" w:rsidRPr="00523863" w:rsidRDefault="00FE78AB" w:rsidP="00AD5932"/>
    <w:p w:rsidR="00FE78AB" w:rsidRPr="00523863" w:rsidRDefault="00FE78AB" w:rsidP="00FE78AB"/>
    <w:bookmarkEnd w:id="0"/>
    <w:p w:rsidR="00FE78AB" w:rsidRPr="00523863" w:rsidRDefault="00FE78AB" w:rsidP="001A7306">
      <w:pPr>
        <w:sectPr w:rsidR="00FE78AB" w:rsidRPr="00523863" w:rsidSect="00FE78A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A7306" w:rsidRPr="00523863" w:rsidRDefault="001A7306" w:rsidP="001A7306"/>
    <w:p w:rsidR="001A7306" w:rsidRPr="00523863" w:rsidRDefault="001A7306" w:rsidP="001A7306">
      <w:pPr>
        <w:pStyle w:val="PageHeadingNotTOC"/>
      </w:pPr>
      <w:bookmarkStart w:id="1" w:name="ProcPageAD"/>
      <w:r>
        <w:t>INFORMAZIONI SULL’APPROVAZIONE</w:t>
      </w:r>
      <w:r>
        <w:br/>
        <w:t>IN SEDE DI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1A7306" w:rsidRPr="0052386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A7306" w:rsidRPr="00523863" w:rsidRDefault="001A7306">
            <w:pPr>
              <w:autoSpaceDE w:val="0"/>
              <w:autoSpaceDN w:val="0"/>
              <w:adjustRightInd w:val="0"/>
              <w:rPr>
                <w:b/>
                <w:bCs/>
                <w:color w:val="000000"/>
                <w:sz w:val="20"/>
              </w:rPr>
            </w:pPr>
            <w:r>
              <w:rPr>
                <w:b/>
                <w:color w:val="000000"/>
                <w:sz w:val="20"/>
              </w:rPr>
              <w:t>Approvazione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A7306" w:rsidRPr="00523863" w:rsidRDefault="001A7306">
            <w:pPr>
              <w:autoSpaceDE w:val="0"/>
              <w:autoSpaceDN w:val="0"/>
              <w:adjustRightInd w:val="0"/>
              <w:rPr>
                <w:color w:val="000000"/>
                <w:sz w:val="20"/>
              </w:rPr>
            </w:pPr>
            <w:r>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A7306" w:rsidRPr="00523863" w:rsidRDefault="001A730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A7306" w:rsidRPr="00523863" w:rsidRDefault="001A730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A7306" w:rsidRPr="00523863" w:rsidRDefault="001A7306">
            <w:pPr>
              <w:autoSpaceDE w:val="0"/>
              <w:autoSpaceDN w:val="0"/>
              <w:adjustRightInd w:val="0"/>
              <w:rPr>
                <w:rFonts w:ascii="sans-serif" w:hAnsi="sans-serif" w:cs="sans-serif"/>
                <w:color w:val="000000"/>
                <w:szCs w:val="24"/>
              </w:rPr>
            </w:pPr>
          </w:p>
        </w:tc>
      </w:tr>
      <w:tr w:rsidR="001A7306" w:rsidRPr="0052386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A7306" w:rsidRPr="00523863" w:rsidRDefault="001A7306">
            <w:pPr>
              <w:autoSpaceDE w:val="0"/>
              <w:autoSpaceDN w:val="0"/>
              <w:adjustRightInd w:val="0"/>
              <w:rPr>
                <w:b/>
                <w:bCs/>
                <w:color w:val="000000"/>
                <w:sz w:val="20"/>
              </w:rPr>
            </w:pPr>
            <w:r>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A7306" w:rsidRPr="00523863" w:rsidRDefault="001A7306">
            <w:pPr>
              <w:autoSpaceDE w:val="0"/>
              <w:autoSpaceDN w:val="0"/>
              <w:adjustRightInd w:val="0"/>
              <w:rPr>
                <w:color w:val="000000"/>
                <w:sz w:val="20"/>
              </w:rPr>
            </w:pPr>
            <w:r>
              <w:rPr>
                <w:color w:val="000000"/>
                <w:sz w:val="20"/>
              </w:rPr>
              <w:t>+:</w:t>
            </w:r>
          </w:p>
          <w:p w:rsidR="001A7306" w:rsidRPr="00523863" w:rsidRDefault="001A7306">
            <w:pPr>
              <w:autoSpaceDE w:val="0"/>
              <w:autoSpaceDN w:val="0"/>
              <w:adjustRightInd w:val="0"/>
              <w:rPr>
                <w:color w:val="000000"/>
                <w:sz w:val="20"/>
              </w:rPr>
            </w:pPr>
            <w:r>
              <w:rPr>
                <w:color w:val="000000"/>
                <w:sz w:val="20"/>
              </w:rPr>
              <w:t>–:</w:t>
            </w:r>
          </w:p>
          <w:p w:rsidR="001A7306" w:rsidRPr="00523863" w:rsidRDefault="001A7306">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A7306" w:rsidRPr="00523863" w:rsidRDefault="001A7306">
            <w:pPr>
              <w:autoSpaceDE w:val="0"/>
              <w:autoSpaceDN w:val="0"/>
              <w:adjustRightInd w:val="0"/>
              <w:rPr>
                <w:color w:val="000000"/>
                <w:sz w:val="20"/>
              </w:rPr>
            </w:pPr>
            <w:r>
              <w:rPr>
                <w:color w:val="000000"/>
                <w:sz w:val="20"/>
              </w:rPr>
              <w:t>24</w:t>
            </w:r>
          </w:p>
          <w:p w:rsidR="001A7306" w:rsidRPr="00523863" w:rsidRDefault="001A7306">
            <w:pPr>
              <w:autoSpaceDE w:val="0"/>
              <w:autoSpaceDN w:val="0"/>
              <w:adjustRightInd w:val="0"/>
              <w:rPr>
                <w:color w:val="000000"/>
                <w:sz w:val="20"/>
              </w:rPr>
            </w:pPr>
            <w:r>
              <w:rPr>
                <w:color w:val="000000"/>
                <w:sz w:val="20"/>
              </w:rPr>
              <w:t>1</w:t>
            </w:r>
          </w:p>
          <w:p w:rsidR="001A7306" w:rsidRPr="00523863" w:rsidRDefault="001A7306">
            <w:pPr>
              <w:autoSpaceDE w:val="0"/>
              <w:autoSpaceDN w:val="0"/>
              <w:adjustRightInd w:val="0"/>
              <w:rPr>
                <w:color w:val="000000"/>
                <w:sz w:val="20"/>
              </w:rPr>
            </w:pPr>
            <w:r>
              <w:rPr>
                <w:color w:val="000000"/>
                <w:sz w:val="20"/>
              </w:rPr>
              <w:t>1</w:t>
            </w:r>
          </w:p>
        </w:tc>
      </w:tr>
      <w:tr w:rsidR="001A7306" w:rsidRPr="00523863">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A7306" w:rsidRPr="00523863" w:rsidRDefault="001A7306">
            <w:pPr>
              <w:autoSpaceDE w:val="0"/>
              <w:autoSpaceDN w:val="0"/>
              <w:adjustRightInd w:val="0"/>
              <w:rPr>
                <w:b/>
                <w:bCs/>
                <w:color w:val="000000"/>
                <w:sz w:val="20"/>
              </w:rPr>
            </w:pPr>
            <w:r>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A7306" w:rsidRPr="00523863" w:rsidRDefault="001A7306">
            <w:pPr>
              <w:autoSpaceDE w:val="0"/>
              <w:autoSpaceDN w:val="0"/>
              <w:adjustRightInd w:val="0"/>
              <w:rPr>
                <w:color w:val="000000"/>
                <w:sz w:val="20"/>
              </w:rPr>
            </w:pPr>
            <w:r>
              <w:rPr>
                <w:color w:val="000000"/>
                <w:sz w:val="20"/>
              </w:rPr>
              <w:t>Clara Aguilera, João Albuquerque, Pietro Bartolo, Izaskun Bilbao Barandica, Isabel Carvalhais, Maria da Graça Carvalho, Asger Christensen, Rosanna Conte, Rosa D’Amato, Francisco Guerreiro, Anja Haga, Anja Hazekamp, Jan Huitema, Ladislav Ilčić, Pierre Karleskind, Predrag Fred Matić, Francisco José Millán Mon, João Pimenta Lopes, Caroline Roose, Bert-Jan Ruissen, Marc Tarabella, Theodoros Zagorakis</w:t>
            </w:r>
          </w:p>
        </w:tc>
      </w:tr>
      <w:tr w:rsidR="001A7306" w:rsidRPr="001D2261">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A7306" w:rsidRPr="00523863" w:rsidRDefault="001A7306">
            <w:pPr>
              <w:autoSpaceDE w:val="0"/>
              <w:autoSpaceDN w:val="0"/>
              <w:adjustRightInd w:val="0"/>
              <w:rPr>
                <w:b/>
                <w:bCs/>
                <w:color w:val="000000"/>
                <w:sz w:val="20"/>
              </w:rPr>
            </w:pPr>
            <w:r>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A7306" w:rsidRPr="001D2261" w:rsidRDefault="001A7306" w:rsidP="00D86678">
            <w:pPr>
              <w:autoSpaceDE w:val="0"/>
              <w:autoSpaceDN w:val="0"/>
              <w:adjustRightInd w:val="0"/>
              <w:rPr>
                <w:color w:val="000000"/>
                <w:sz w:val="20"/>
                <w:lang w:val="pt-PT"/>
              </w:rPr>
            </w:pPr>
            <w:r w:rsidRPr="001D2261">
              <w:rPr>
                <w:color w:val="000000"/>
                <w:sz w:val="20"/>
                <w:lang w:val="pt-PT"/>
              </w:rPr>
              <w:t>Gabriel Mato, Cláudia Monteiro de Aguiar, Grace O’Sullivan</w:t>
            </w:r>
          </w:p>
        </w:tc>
      </w:tr>
      <w:tr w:rsidR="001A7306" w:rsidRPr="00523863">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A7306" w:rsidRPr="00523863" w:rsidRDefault="001A7306">
            <w:pPr>
              <w:autoSpaceDE w:val="0"/>
              <w:autoSpaceDN w:val="0"/>
              <w:adjustRightInd w:val="0"/>
              <w:rPr>
                <w:b/>
                <w:bCs/>
                <w:color w:val="000000"/>
                <w:sz w:val="20"/>
              </w:rPr>
            </w:pPr>
            <w:r>
              <w:rPr>
                <w:b/>
                <w:color w:val="000000"/>
                <w:sz w:val="20"/>
              </w:rPr>
              <w:t>Supplenti (art. 209, par. 7)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A7306" w:rsidRPr="00523863" w:rsidRDefault="001A7306">
            <w:pPr>
              <w:autoSpaceDE w:val="0"/>
              <w:autoSpaceDN w:val="0"/>
              <w:adjustRightInd w:val="0"/>
              <w:rPr>
                <w:color w:val="000000"/>
                <w:sz w:val="20"/>
              </w:rPr>
            </w:pPr>
            <w:r>
              <w:rPr>
                <w:color w:val="000000"/>
                <w:sz w:val="20"/>
              </w:rPr>
              <w:t>Christian Doleschal</w:t>
            </w:r>
          </w:p>
        </w:tc>
      </w:tr>
    </w:tbl>
    <w:p w:rsidR="001A7306" w:rsidRPr="00523863" w:rsidRDefault="001A7306"/>
    <w:bookmarkEnd w:id="1"/>
    <w:p w:rsidR="00FE78AB" w:rsidRPr="00523863" w:rsidRDefault="00FE78AB" w:rsidP="00FE78AB">
      <w:pPr>
        <w:sectPr w:rsidR="00FE78AB" w:rsidRPr="00523863" w:rsidSect="00FE78A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E78AB" w:rsidRPr="00523863" w:rsidRDefault="00FE78AB" w:rsidP="00FE78AB"/>
    <w:p w:rsidR="00FE78AB" w:rsidRPr="00523863" w:rsidRDefault="00FE78AB" w:rsidP="00C36610">
      <w:pPr>
        <w:pStyle w:val="PageHeadingNotTOC"/>
      </w:pPr>
      <w:bookmarkStart w:id="2" w:name="RollCallPageAD"/>
      <w:r>
        <w:t>VOTAZIONE FINALE PER APPELLO NOMINALE</w:t>
      </w:r>
      <w:r>
        <w:br/>
        <w:t>IN SEDE DI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E78AB" w:rsidRPr="00523863" w:rsidTr="007A7258">
        <w:trPr>
          <w:cantSplit/>
        </w:trPr>
        <w:tc>
          <w:tcPr>
            <w:tcW w:w="1701" w:type="dxa"/>
            <w:shd w:val="pct10" w:color="000000" w:fill="FFFFFF"/>
            <w:vAlign w:val="center"/>
          </w:tcPr>
          <w:p w:rsidR="00FE78AB" w:rsidRPr="00523863" w:rsidRDefault="00FE78AB" w:rsidP="007A7258">
            <w:pPr>
              <w:pStyle w:val="RollCallVotes"/>
            </w:pPr>
            <w:r>
              <w:t>24</w:t>
            </w:r>
          </w:p>
        </w:tc>
        <w:tc>
          <w:tcPr>
            <w:tcW w:w="7371" w:type="dxa"/>
            <w:shd w:val="pct10" w:color="000000" w:fill="FFFFFF"/>
          </w:tcPr>
          <w:p w:rsidR="00FE78AB" w:rsidRPr="00523863" w:rsidRDefault="00FE78AB" w:rsidP="007A7258">
            <w:pPr>
              <w:pStyle w:val="RollCallSymbols14pt"/>
            </w:pPr>
            <w:r>
              <w:t>+</w:t>
            </w:r>
          </w:p>
        </w:tc>
      </w:tr>
      <w:tr w:rsidR="00FE78AB" w:rsidRPr="00523863" w:rsidTr="007A7258">
        <w:trPr>
          <w:cantSplit/>
        </w:trPr>
        <w:tc>
          <w:tcPr>
            <w:tcW w:w="1701" w:type="dxa"/>
            <w:shd w:val="clear" w:color="auto" w:fill="FFFFFF"/>
          </w:tcPr>
          <w:p w:rsidR="00FE78AB" w:rsidRPr="00523863" w:rsidRDefault="00FE78AB" w:rsidP="007A7258">
            <w:pPr>
              <w:pStyle w:val="RollCallTable"/>
            </w:pPr>
            <w:r>
              <w:t>ECR</w:t>
            </w:r>
          </w:p>
        </w:tc>
        <w:tc>
          <w:tcPr>
            <w:tcW w:w="7371" w:type="dxa"/>
            <w:shd w:val="clear" w:color="auto" w:fill="FFFFFF"/>
          </w:tcPr>
          <w:p w:rsidR="00FE78AB" w:rsidRPr="00523863" w:rsidRDefault="00FE78AB" w:rsidP="007A7258">
            <w:pPr>
              <w:pStyle w:val="RollCallTable"/>
            </w:pPr>
            <w:r>
              <w:t>Ladislav Ilčić, Bert-Jan Ruissen</w:t>
            </w:r>
          </w:p>
        </w:tc>
      </w:tr>
      <w:tr w:rsidR="00FE78AB" w:rsidRPr="00523863" w:rsidTr="007A7258">
        <w:trPr>
          <w:cantSplit/>
        </w:trPr>
        <w:tc>
          <w:tcPr>
            <w:tcW w:w="1701" w:type="dxa"/>
            <w:shd w:val="clear" w:color="auto" w:fill="FFFFFF"/>
          </w:tcPr>
          <w:p w:rsidR="00FE78AB" w:rsidRPr="00523863" w:rsidRDefault="00FE78AB" w:rsidP="007A7258">
            <w:pPr>
              <w:pStyle w:val="RollCallTable"/>
            </w:pPr>
            <w:r>
              <w:t>NI</w:t>
            </w:r>
          </w:p>
        </w:tc>
        <w:tc>
          <w:tcPr>
            <w:tcW w:w="7371" w:type="dxa"/>
            <w:shd w:val="clear" w:color="auto" w:fill="FFFFFF"/>
          </w:tcPr>
          <w:p w:rsidR="00FE78AB" w:rsidRPr="00523863" w:rsidRDefault="00FE78AB" w:rsidP="007A7258">
            <w:pPr>
              <w:pStyle w:val="RollCallTable"/>
            </w:pPr>
            <w:r>
              <w:t>Marc Tarabella</w:t>
            </w:r>
          </w:p>
        </w:tc>
      </w:tr>
      <w:tr w:rsidR="00FE78AB" w:rsidRPr="00523863" w:rsidTr="007A7258">
        <w:trPr>
          <w:cantSplit/>
        </w:trPr>
        <w:tc>
          <w:tcPr>
            <w:tcW w:w="1701" w:type="dxa"/>
            <w:shd w:val="clear" w:color="auto" w:fill="FFFFFF"/>
          </w:tcPr>
          <w:p w:rsidR="00FE78AB" w:rsidRPr="00523863" w:rsidRDefault="00FE78AB" w:rsidP="007A7258">
            <w:pPr>
              <w:pStyle w:val="RollCallTable"/>
            </w:pPr>
            <w:r>
              <w:t>PPE</w:t>
            </w:r>
          </w:p>
        </w:tc>
        <w:tc>
          <w:tcPr>
            <w:tcW w:w="7371" w:type="dxa"/>
            <w:shd w:val="clear" w:color="auto" w:fill="FFFFFF"/>
          </w:tcPr>
          <w:p w:rsidR="00FE78AB" w:rsidRPr="00523863" w:rsidRDefault="00FE78AB" w:rsidP="007A7258">
            <w:pPr>
              <w:pStyle w:val="RollCallTable"/>
            </w:pPr>
            <w:r>
              <w:t>Maria da Graça Carvalho, Christian Doleschal, Anja Haga, Gabriel Mato, Francisco José Millán Mon, Cláudia Monteiro de Aguiar, Theodoros Zagorakis</w:t>
            </w:r>
          </w:p>
        </w:tc>
      </w:tr>
      <w:tr w:rsidR="00FE78AB" w:rsidRPr="001D2261" w:rsidTr="007A7258">
        <w:trPr>
          <w:cantSplit/>
        </w:trPr>
        <w:tc>
          <w:tcPr>
            <w:tcW w:w="1701" w:type="dxa"/>
            <w:shd w:val="clear" w:color="auto" w:fill="FFFFFF"/>
          </w:tcPr>
          <w:p w:rsidR="00FE78AB" w:rsidRPr="00523863" w:rsidRDefault="00FE78AB" w:rsidP="007A7258">
            <w:pPr>
              <w:pStyle w:val="RollCallTable"/>
            </w:pPr>
            <w:r>
              <w:t>Renew</w:t>
            </w:r>
          </w:p>
        </w:tc>
        <w:tc>
          <w:tcPr>
            <w:tcW w:w="7371" w:type="dxa"/>
            <w:shd w:val="clear" w:color="auto" w:fill="FFFFFF"/>
          </w:tcPr>
          <w:p w:rsidR="00FE78AB" w:rsidRPr="001D2261" w:rsidRDefault="00FE78AB" w:rsidP="007A7258">
            <w:pPr>
              <w:pStyle w:val="RollCallTable"/>
              <w:rPr>
                <w:lang w:val="nl-NL"/>
              </w:rPr>
            </w:pPr>
            <w:r w:rsidRPr="001D2261">
              <w:rPr>
                <w:lang w:val="nl-NL"/>
              </w:rPr>
              <w:t>Izaskun Bilbao Barandica, Asger Christensen, Jan Huitema, Pierre Karleskind</w:t>
            </w:r>
          </w:p>
        </w:tc>
      </w:tr>
      <w:tr w:rsidR="00FE78AB" w:rsidRPr="001D2261" w:rsidTr="007A7258">
        <w:trPr>
          <w:cantSplit/>
        </w:trPr>
        <w:tc>
          <w:tcPr>
            <w:tcW w:w="1701" w:type="dxa"/>
            <w:shd w:val="clear" w:color="auto" w:fill="FFFFFF"/>
          </w:tcPr>
          <w:p w:rsidR="00FE78AB" w:rsidRPr="00523863" w:rsidRDefault="00FE78AB" w:rsidP="007A7258">
            <w:pPr>
              <w:pStyle w:val="RollCallTable"/>
            </w:pPr>
            <w:r>
              <w:t>S&amp;D</w:t>
            </w:r>
          </w:p>
        </w:tc>
        <w:tc>
          <w:tcPr>
            <w:tcW w:w="7371" w:type="dxa"/>
            <w:shd w:val="clear" w:color="auto" w:fill="FFFFFF"/>
          </w:tcPr>
          <w:p w:rsidR="00FE78AB" w:rsidRPr="001D2261" w:rsidRDefault="00FE78AB" w:rsidP="007A7258">
            <w:pPr>
              <w:pStyle w:val="RollCallTable"/>
              <w:rPr>
                <w:lang w:val="pt-PT"/>
              </w:rPr>
            </w:pPr>
            <w:r w:rsidRPr="001D2261">
              <w:rPr>
                <w:lang w:val="pt-PT"/>
              </w:rPr>
              <w:t>Clara Aguilera, João Albuquerque, Pietro Bartolo, Isabel Carvalhais, Predrag Fred Matić</w:t>
            </w:r>
          </w:p>
        </w:tc>
      </w:tr>
      <w:tr w:rsidR="00FE78AB" w:rsidRPr="00523863" w:rsidTr="007A7258">
        <w:trPr>
          <w:cantSplit/>
        </w:trPr>
        <w:tc>
          <w:tcPr>
            <w:tcW w:w="1701" w:type="dxa"/>
            <w:shd w:val="clear" w:color="auto" w:fill="FFFFFF"/>
          </w:tcPr>
          <w:p w:rsidR="00FE78AB" w:rsidRPr="00523863" w:rsidRDefault="00FE78AB" w:rsidP="007A7258">
            <w:pPr>
              <w:pStyle w:val="RollCallTable"/>
            </w:pPr>
            <w:r>
              <w:t>The Left</w:t>
            </w:r>
          </w:p>
        </w:tc>
        <w:tc>
          <w:tcPr>
            <w:tcW w:w="7371" w:type="dxa"/>
            <w:shd w:val="clear" w:color="auto" w:fill="FFFFFF"/>
          </w:tcPr>
          <w:p w:rsidR="00FE78AB" w:rsidRPr="00523863" w:rsidRDefault="00FE78AB" w:rsidP="007A7258">
            <w:pPr>
              <w:pStyle w:val="RollCallTable"/>
            </w:pPr>
            <w:r>
              <w:t>Anja Hazekamp</w:t>
            </w:r>
          </w:p>
        </w:tc>
      </w:tr>
      <w:tr w:rsidR="00FE78AB" w:rsidRPr="00523863" w:rsidTr="007A7258">
        <w:trPr>
          <w:cantSplit/>
        </w:trPr>
        <w:tc>
          <w:tcPr>
            <w:tcW w:w="1701" w:type="dxa"/>
            <w:shd w:val="clear" w:color="auto" w:fill="FFFFFF"/>
          </w:tcPr>
          <w:p w:rsidR="00FE78AB" w:rsidRPr="00523863" w:rsidRDefault="00FE78AB" w:rsidP="007A7258">
            <w:pPr>
              <w:pStyle w:val="RollCallTable"/>
            </w:pPr>
            <w:r>
              <w:t>Verts/ALE</w:t>
            </w:r>
          </w:p>
        </w:tc>
        <w:tc>
          <w:tcPr>
            <w:tcW w:w="7371" w:type="dxa"/>
            <w:shd w:val="clear" w:color="auto" w:fill="FFFFFF"/>
          </w:tcPr>
          <w:p w:rsidR="00FE78AB" w:rsidRPr="00523863" w:rsidRDefault="00FE78AB" w:rsidP="007A7258">
            <w:pPr>
              <w:pStyle w:val="RollCallTable"/>
            </w:pPr>
            <w:r>
              <w:t>Rosa D'Amato, Francisco Guerreiro, Grace O'Sullivan, Caroline Roose</w:t>
            </w:r>
          </w:p>
        </w:tc>
      </w:tr>
    </w:tbl>
    <w:p w:rsidR="00FE78AB" w:rsidRPr="00523863" w:rsidRDefault="00FE78AB" w:rsidP="00FE78A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E78AB" w:rsidRPr="00523863" w:rsidTr="007A7258">
        <w:trPr>
          <w:cantSplit/>
        </w:trPr>
        <w:tc>
          <w:tcPr>
            <w:tcW w:w="1701" w:type="dxa"/>
            <w:shd w:val="pct10" w:color="000000" w:fill="FFFFFF"/>
            <w:vAlign w:val="center"/>
          </w:tcPr>
          <w:p w:rsidR="00FE78AB" w:rsidRPr="00523863" w:rsidRDefault="00FE78AB" w:rsidP="007A7258">
            <w:pPr>
              <w:pStyle w:val="RollCallVotes"/>
            </w:pPr>
            <w:r>
              <w:t>1</w:t>
            </w:r>
          </w:p>
        </w:tc>
        <w:tc>
          <w:tcPr>
            <w:tcW w:w="7371" w:type="dxa"/>
            <w:shd w:val="pct10" w:color="000000" w:fill="FFFFFF"/>
          </w:tcPr>
          <w:p w:rsidR="00FE78AB" w:rsidRPr="00523863" w:rsidRDefault="00FE78AB" w:rsidP="007A7258">
            <w:pPr>
              <w:pStyle w:val="RollCallSymbols14pt"/>
            </w:pPr>
            <w:r>
              <w:t>-</w:t>
            </w:r>
          </w:p>
        </w:tc>
      </w:tr>
      <w:tr w:rsidR="00FE78AB" w:rsidRPr="00523863" w:rsidTr="007A7258">
        <w:trPr>
          <w:cantSplit/>
        </w:trPr>
        <w:tc>
          <w:tcPr>
            <w:tcW w:w="1701" w:type="dxa"/>
            <w:shd w:val="clear" w:color="auto" w:fill="FFFFFF"/>
          </w:tcPr>
          <w:p w:rsidR="00FE78AB" w:rsidRPr="00523863" w:rsidRDefault="00FE78AB" w:rsidP="007A7258">
            <w:pPr>
              <w:pStyle w:val="RollCallTable"/>
            </w:pPr>
            <w:r>
              <w:t>The Left</w:t>
            </w:r>
          </w:p>
        </w:tc>
        <w:tc>
          <w:tcPr>
            <w:tcW w:w="7371" w:type="dxa"/>
            <w:shd w:val="clear" w:color="auto" w:fill="FFFFFF"/>
          </w:tcPr>
          <w:p w:rsidR="00FE78AB" w:rsidRPr="00523863" w:rsidRDefault="00FE78AB" w:rsidP="007A7258">
            <w:pPr>
              <w:pStyle w:val="RollCallTable"/>
            </w:pPr>
            <w:r>
              <w:t>João Pimenta Lopes</w:t>
            </w:r>
          </w:p>
        </w:tc>
      </w:tr>
    </w:tbl>
    <w:p w:rsidR="00FE78AB" w:rsidRPr="00523863" w:rsidRDefault="00FE78AB" w:rsidP="00FE78A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FE78AB" w:rsidRPr="00523863" w:rsidTr="007A7258">
        <w:trPr>
          <w:cantSplit/>
        </w:trPr>
        <w:tc>
          <w:tcPr>
            <w:tcW w:w="1701" w:type="dxa"/>
            <w:shd w:val="pct10" w:color="000000" w:fill="FFFFFF"/>
            <w:vAlign w:val="center"/>
          </w:tcPr>
          <w:p w:rsidR="00FE78AB" w:rsidRPr="00523863" w:rsidRDefault="00FE78AB" w:rsidP="007A7258">
            <w:pPr>
              <w:pStyle w:val="RollCallVotes"/>
            </w:pPr>
            <w:r>
              <w:t>1</w:t>
            </w:r>
          </w:p>
        </w:tc>
        <w:tc>
          <w:tcPr>
            <w:tcW w:w="7371" w:type="dxa"/>
            <w:shd w:val="pct10" w:color="000000" w:fill="FFFFFF"/>
          </w:tcPr>
          <w:p w:rsidR="00FE78AB" w:rsidRPr="00523863" w:rsidRDefault="00FE78AB" w:rsidP="007A7258">
            <w:pPr>
              <w:pStyle w:val="RollCallSymbols14pt"/>
            </w:pPr>
            <w:r>
              <w:t>0</w:t>
            </w:r>
          </w:p>
        </w:tc>
      </w:tr>
      <w:tr w:rsidR="00FE78AB" w:rsidRPr="00523863" w:rsidTr="007A7258">
        <w:trPr>
          <w:cantSplit/>
        </w:trPr>
        <w:tc>
          <w:tcPr>
            <w:tcW w:w="1701" w:type="dxa"/>
            <w:shd w:val="clear" w:color="auto" w:fill="FFFFFF"/>
          </w:tcPr>
          <w:p w:rsidR="00FE78AB" w:rsidRPr="00523863" w:rsidRDefault="00FE78AB" w:rsidP="007A7258">
            <w:pPr>
              <w:pStyle w:val="RollCallTable"/>
            </w:pPr>
            <w:r>
              <w:t>ID</w:t>
            </w:r>
          </w:p>
        </w:tc>
        <w:tc>
          <w:tcPr>
            <w:tcW w:w="7371" w:type="dxa"/>
            <w:shd w:val="clear" w:color="auto" w:fill="FFFFFF"/>
          </w:tcPr>
          <w:p w:rsidR="00FE78AB" w:rsidRPr="00523863" w:rsidRDefault="00FE78AB" w:rsidP="007A7258">
            <w:pPr>
              <w:pStyle w:val="RollCallTable"/>
            </w:pPr>
            <w:r>
              <w:t>Rosanna Conte</w:t>
            </w:r>
          </w:p>
        </w:tc>
      </w:tr>
    </w:tbl>
    <w:p w:rsidR="00FE78AB" w:rsidRPr="00523863" w:rsidRDefault="00FE78AB" w:rsidP="00147FBF">
      <w:pPr>
        <w:pStyle w:val="Normal12a"/>
      </w:pPr>
    </w:p>
    <w:p w:rsidR="00FE78AB" w:rsidRPr="00523863" w:rsidRDefault="00FE78AB" w:rsidP="00B735E3">
      <w:r>
        <w:t>Significato dei simboli utilizzati:</w:t>
      </w:r>
    </w:p>
    <w:p w:rsidR="00FE78AB" w:rsidRPr="00523863" w:rsidRDefault="00FE78AB" w:rsidP="003858C5">
      <w:pPr>
        <w:pStyle w:val="RollCallTabs"/>
      </w:pPr>
      <w:r>
        <w:t>+</w:t>
      </w:r>
      <w:r>
        <w:tab/>
        <w:t>:</w:t>
      </w:r>
      <w:r>
        <w:tab/>
        <w:t>favorevoli</w:t>
      </w:r>
    </w:p>
    <w:p w:rsidR="00FE78AB" w:rsidRPr="00523863" w:rsidRDefault="00FE78AB" w:rsidP="003858C5">
      <w:pPr>
        <w:pStyle w:val="RollCallTabs"/>
      </w:pPr>
      <w:r>
        <w:t>-</w:t>
      </w:r>
      <w:r>
        <w:tab/>
        <w:t>:</w:t>
      </w:r>
      <w:r>
        <w:tab/>
        <w:t>contrari</w:t>
      </w:r>
    </w:p>
    <w:p w:rsidR="00FE78AB" w:rsidRPr="00523863" w:rsidRDefault="00FE78AB" w:rsidP="003858C5">
      <w:pPr>
        <w:pStyle w:val="RollCallTabs"/>
      </w:pPr>
      <w:r>
        <w:t>0</w:t>
      </w:r>
      <w:r>
        <w:tab/>
        <w:t>:</w:t>
      </w:r>
      <w:r>
        <w:tab/>
        <w:t>astenuti</w:t>
      </w:r>
    </w:p>
    <w:p w:rsidR="00FE78AB" w:rsidRPr="00523863" w:rsidRDefault="00FE78AB" w:rsidP="00207509"/>
    <w:p w:rsidR="002E6F98" w:rsidRPr="00523863" w:rsidRDefault="002E6F98" w:rsidP="00FE78AB">
      <w:bookmarkStart w:id="3" w:name="_GoBack"/>
      <w:bookmarkEnd w:id="2"/>
      <w:bookmarkEnd w:id="3"/>
    </w:p>
    <w:sectPr w:rsidR="002E6F98" w:rsidRPr="00523863" w:rsidSect="00FE78A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6B90" w:rsidRPr="00523863" w:rsidRDefault="00D96B90">
      <w:r w:rsidRPr="00523863">
        <w:separator/>
      </w:r>
    </w:p>
  </w:endnote>
  <w:endnote w:type="continuationSeparator" w:id="0">
    <w:p w:rsidR="00D96B90" w:rsidRPr="00523863" w:rsidRDefault="00D96B90">
      <w:r w:rsidRPr="005238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MS Gothic"/>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E61" w:rsidRPr="00523863" w:rsidRDefault="00E27E61" w:rsidP="00E27E61">
    <w:pPr>
      <w:pStyle w:val="EPFooter"/>
    </w:pPr>
    <w:r w:rsidRPr="00523863">
      <w:t>PE</w:t>
    </w:r>
    <w:r w:rsidRPr="00523863">
      <w:rPr>
        <w:rStyle w:val="HideTWBExt"/>
      </w:rPr>
      <w:t>&lt;NoPE&gt;</w:t>
    </w:r>
    <w:r w:rsidRPr="00523863">
      <w:t>756.035</w:t>
    </w:r>
    <w:r w:rsidRPr="00523863">
      <w:rPr>
        <w:rStyle w:val="HideTWBExt"/>
      </w:rPr>
      <w:t>&lt;/NoPE&gt;&lt;Version&gt;</w:t>
    </w:r>
    <w:r w:rsidRPr="00523863">
      <w:t>v05-00</w:t>
    </w:r>
    <w:r w:rsidRPr="00523863">
      <w:rPr>
        <w:rStyle w:val="HideTWBExt"/>
      </w:rPr>
      <w:t>&lt;/Version&gt;</w:t>
    </w:r>
    <w:r w:rsidRPr="00523863">
      <w:tab/>
    </w:r>
    <w:r w:rsidRPr="00523863">
      <w:fldChar w:fldCharType="begin"/>
    </w:r>
    <w:r w:rsidRPr="00523863">
      <w:instrText xml:space="preserve"> PAGE  \* MERGEFORMAT </w:instrText>
    </w:r>
    <w:r w:rsidRPr="00523863">
      <w:fldChar w:fldCharType="separate"/>
    </w:r>
    <w:r w:rsidR="008D5327">
      <w:rPr>
        <w:noProof/>
      </w:rPr>
      <w:t>8</w:t>
    </w:r>
    <w:r w:rsidRPr="00523863">
      <w:fldChar w:fldCharType="end"/>
    </w:r>
    <w:r w:rsidRPr="00523863">
      <w:t>/</w:t>
    </w:r>
    <w:r w:rsidR="008D5327">
      <w:fldChar w:fldCharType="begin"/>
    </w:r>
    <w:r w:rsidR="008D5327">
      <w:instrText xml:space="preserve"> NUMPAGES  \* MERGEFORMAT </w:instrText>
    </w:r>
    <w:r w:rsidR="008D5327">
      <w:fldChar w:fldCharType="separate"/>
    </w:r>
    <w:r w:rsidR="008D5327">
      <w:rPr>
        <w:noProof/>
      </w:rPr>
      <w:t>8</w:t>
    </w:r>
    <w:r w:rsidR="008D5327">
      <w:rPr>
        <w:noProof/>
      </w:rPr>
      <w:fldChar w:fldCharType="end"/>
    </w:r>
    <w:r w:rsidRPr="00523863">
      <w:tab/>
    </w:r>
    <w:r w:rsidRPr="00523863">
      <w:rPr>
        <w:rStyle w:val="HideTWBExt"/>
      </w:rPr>
      <w:t>&lt;PathFdR&gt;</w:t>
    </w:r>
    <w:r w:rsidRPr="00523863">
      <w:t>AD\1295229IT.docx</w:t>
    </w:r>
    <w:r w:rsidRPr="00523863">
      <w:rPr>
        <w:rStyle w:val="HideTWBExt"/>
      </w:rPr>
      <w:t>&lt;/PathFdR&gt;</w:t>
    </w:r>
  </w:p>
  <w:p w:rsidR="002E2F2E" w:rsidRPr="00523863" w:rsidRDefault="00E27E61" w:rsidP="00E27E61">
    <w:pPr>
      <w:pStyle w:val="EPFooter2"/>
    </w:pPr>
    <w:r w:rsidRPr="00523863">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E61" w:rsidRPr="00523863" w:rsidRDefault="00E27E61" w:rsidP="00E27E61">
    <w:pPr>
      <w:pStyle w:val="EPFooter"/>
    </w:pPr>
    <w:r w:rsidRPr="00523863">
      <w:rPr>
        <w:rStyle w:val="HideTWBExt"/>
      </w:rPr>
      <w:t>&lt;PathFdR&gt;</w:t>
    </w:r>
    <w:r w:rsidRPr="00523863">
      <w:t>AD\1295229IT.docx</w:t>
    </w:r>
    <w:r w:rsidRPr="00523863">
      <w:rPr>
        <w:rStyle w:val="HideTWBExt"/>
      </w:rPr>
      <w:t>&lt;/PathFdR&gt;</w:t>
    </w:r>
    <w:r w:rsidRPr="00523863">
      <w:tab/>
    </w:r>
    <w:r w:rsidRPr="00523863">
      <w:fldChar w:fldCharType="begin"/>
    </w:r>
    <w:r w:rsidRPr="00523863">
      <w:instrText xml:space="preserve"> PAGE  \* MERGEFORMAT </w:instrText>
    </w:r>
    <w:r w:rsidRPr="00523863">
      <w:fldChar w:fldCharType="separate"/>
    </w:r>
    <w:r w:rsidR="008D5327">
      <w:rPr>
        <w:noProof/>
      </w:rPr>
      <w:t>7</w:t>
    </w:r>
    <w:r w:rsidRPr="00523863">
      <w:fldChar w:fldCharType="end"/>
    </w:r>
    <w:r w:rsidRPr="00523863">
      <w:t>/</w:t>
    </w:r>
    <w:r w:rsidR="008D5327">
      <w:fldChar w:fldCharType="begin"/>
    </w:r>
    <w:r w:rsidR="008D5327">
      <w:instrText xml:space="preserve"> NUMPAGES  \* MERGEFORMAT </w:instrText>
    </w:r>
    <w:r w:rsidR="008D5327">
      <w:fldChar w:fldCharType="separate"/>
    </w:r>
    <w:r w:rsidR="008D5327">
      <w:rPr>
        <w:noProof/>
      </w:rPr>
      <w:t>8</w:t>
    </w:r>
    <w:r w:rsidR="008D5327">
      <w:rPr>
        <w:noProof/>
      </w:rPr>
      <w:fldChar w:fldCharType="end"/>
    </w:r>
    <w:r w:rsidRPr="00523863">
      <w:tab/>
      <w:t>PE</w:t>
    </w:r>
    <w:r w:rsidRPr="00523863">
      <w:rPr>
        <w:rStyle w:val="HideTWBExt"/>
      </w:rPr>
      <w:t>&lt;NoPE&gt;</w:t>
    </w:r>
    <w:r w:rsidRPr="00523863">
      <w:t>756.035</w:t>
    </w:r>
    <w:r w:rsidRPr="00523863">
      <w:rPr>
        <w:rStyle w:val="HideTWBExt"/>
      </w:rPr>
      <w:t>&lt;/NoPE&gt;&lt;Version&gt;</w:t>
    </w:r>
    <w:r w:rsidRPr="00523863">
      <w:t>v05-00</w:t>
    </w:r>
    <w:r w:rsidRPr="00523863">
      <w:rPr>
        <w:rStyle w:val="HideTWBExt"/>
      </w:rPr>
      <w:t>&lt;/Version&gt;</w:t>
    </w:r>
  </w:p>
  <w:p w:rsidR="002E2F2E" w:rsidRPr="00523863" w:rsidRDefault="00E27E61" w:rsidP="00E27E61">
    <w:pPr>
      <w:pStyle w:val="EPFooter2"/>
    </w:pPr>
    <w:r w:rsidRPr="00523863">
      <w:tab/>
    </w:r>
    <w:r w:rsidRPr="00523863">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E61" w:rsidRPr="00523863" w:rsidRDefault="00E27E61" w:rsidP="00E27E61">
    <w:pPr>
      <w:pStyle w:val="EPFooter"/>
    </w:pPr>
    <w:r w:rsidRPr="00523863">
      <w:rPr>
        <w:rStyle w:val="HideTWBExt"/>
      </w:rPr>
      <w:t>&lt;PathFdR&gt;</w:t>
    </w:r>
    <w:r w:rsidRPr="00523863">
      <w:t>AD\1295229IT.docx</w:t>
    </w:r>
    <w:r w:rsidRPr="00523863">
      <w:rPr>
        <w:rStyle w:val="HideTWBExt"/>
      </w:rPr>
      <w:t>&lt;/PathFdR&gt;</w:t>
    </w:r>
    <w:r w:rsidRPr="00523863">
      <w:tab/>
    </w:r>
    <w:r w:rsidRPr="00523863">
      <w:tab/>
      <w:t>PE</w:t>
    </w:r>
    <w:r w:rsidRPr="00523863">
      <w:rPr>
        <w:rStyle w:val="HideTWBExt"/>
      </w:rPr>
      <w:t>&lt;NoPE&gt;</w:t>
    </w:r>
    <w:r w:rsidRPr="00523863">
      <w:t>756.035</w:t>
    </w:r>
    <w:r w:rsidRPr="00523863">
      <w:rPr>
        <w:rStyle w:val="HideTWBExt"/>
      </w:rPr>
      <w:t>&lt;/NoPE&gt;&lt;Version&gt;</w:t>
    </w:r>
    <w:r w:rsidRPr="00523863">
      <w:t>v05-00</w:t>
    </w:r>
    <w:r w:rsidRPr="00523863">
      <w:rPr>
        <w:rStyle w:val="HideTWBExt"/>
      </w:rPr>
      <w:t>&lt;/Version&gt;</w:t>
    </w:r>
  </w:p>
  <w:p w:rsidR="002E2F2E" w:rsidRPr="00523863" w:rsidRDefault="00E27E61" w:rsidP="00E27E61">
    <w:pPr>
      <w:pStyle w:val="EPFooter2"/>
    </w:pPr>
    <w:r w:rsidRPr="00523863">
      <w:t>IT</w:t>
    </w:r>
    <w:r w:rsidRPr="00523863">
      <w:tab/>
    </w:r>
    <w:r w:rsidRPr="00523863">
      <w:rPr>
        <w:b w:val="0"/>
        <w:i/>
        <w:color w:val="C0C0C0"/>
        <w:sz w:val="22"/>
      </w:rPr>
      <w:t>Unita nella diversità</w:t>
    </w:r>
    <w:r w:rsidRPr="00523863">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6B90" w:rsidRPr="00523863" w:rsidRDefault="00D96B90">
      <w:r w:rsidRPr="00523863">
        <w:separator/>
      </w:r>
    </w:p>
  </w:footnote>
  <w:footnote w:type="continuationSeparator" w:id="0">
    <w:p w:rsidR="00D96B90" w:rsidRPr="00523863" w:rsidRDefault="00D96B90">
      <w:r w:rsidRPr="0052386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678" w:rsidRDefault="00D866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678" w:rsidRDefault="00D866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678" w:rsidRDefault="00D866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JMNU" w:val="1"/>
    <w:docVar w:name="CODEMNU" w:val=" 3"/>
    <w:docVar w:name="COM2KEY" w:val="BUDG"/>
    <w:docVar w:name="COMKEY" w:val="PECH"/>
    <w:docVar w:name="CONTRIBUTIONMNU" w:val=" 2"/>
    <w:docVar w:name="FONCTIONMNU" w:val=" 1"/>
    <w:docVar w:name="LastEditedSection" w:val=" 4"/>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155630 HideTWBInt;}{_x000d__x000a_\s18\ql \fi-567\li567\ri0\sa240\nowidctlpar\wrapdefault\aspalpha\aspnum\faauto\adjustright\rin0\lin567\itap0 \rtlch\fcs1 \af0\afs20\alang1025 \ltrch\fcs0 \fs24\lang1040\langfe2057\cgrid\langnp1040\langfenp2057 _x000d__x000a_\sbasedon0 \snext18 \spriority0 \styrsid15155630 NormalHanging12a;}}{\*\rsidtbl \rsid24658\rsid223860\rsid735077\rsid1718133\rsid2892074\rsid3565327\rsid4666813\rsid6641733\rsid7823322\rsid9636012\rsid10377208\rsid11215221\rsid11549030\rsid12154954_x000d__x000a_\rsid14382809\rsid14424199\rsid15155630\rsid15158380\rsid15204470\rsid15285974\rsid15950462\rsid16324206\rsid16662270}{\mmathPr\mmathFont34\mbrkBin0\mbrkBinSub0\msmallFrac0\mdispDef1\mlMargin0\mrMargin0\mdefJc1\mwrapIndent1440\mintLim0\mnaryLim1}{\info_x000d__x000a_{\author FELICETTI Chiara}{\operator FELICETTI Chiara}{\creatim\yr2024\mo1\dy23\hr17\min7}{\revtim\yr2024\mo1\dy23\hr17\min7}{\version1}{\edmins0}{\nofpages1}{\nofwords2}{\nofchars16}{\nofcharsws17}{\vern109}}{\*\xmlnstbl {\xmlns1 http://schemas.microsoft_x000d__x000a_.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90\pgbrdrhead\pgbrdrfoot\splytwnine\ftnlytwnine\htmautsp\nolnhtadjtbl\useltbaln\alntblind\lytcalctblwd\lyttblrtgr\lnbrkrule\nobrkwrptbl\snaptogridincell\allowfieldendsel\wrppunct_x000d__x000a_\asianbrkrule\nojkernpunct\rsidroot15155630\newtblstyruls\nogrowautofit\usenormstyforlist\noindnmbrts\felnbrelev\nocxsptable\indrlsweleven\noafcnsttbl\afelev\utinl\hwelev\spltpgpar\notcvasp\notbrkcnstfrctbl\notvatxbx\krnprsnet\cachedcolbal _x000d__x000a_\nouicompat \fet0{\*\wgrffmtfilter 013f}\nofeaturethrottle1\ilfomacatclnup0{\*\template C:\\Users\\CFELIC~1\\AppData\\Local\\Temp\\Blank1.dotx}{\*\ftnsep \ltrpar \pard\plain \ltrpar_x000d__x000a_\ql \li0\ri0\widctlpar\wrapdefault\aspalpha\aspnum\faauto\adjustright\rin0\lin0\itap0 \rtlch\fcs1 \af0\afs20\alang1025 \ltrch\fcs0 \fs24\lang2057\langfe2057\cgrid\langnp2057\langfenp2057 {\rtlch\fcs1 \af0 \ltrch\fcs0 \insrsid15158380 \chftnsep _x000d__x000a_\par }}{\*\ftnsepc \ltrpar \pard\plain \ltrpar\ql \li0\ri0\widctlpar\wrapdefault\aspalpha\aspnum\faauto\adjustright\rin0\lin0\itap0 \rtlch\fcs1 \af0\afs20\alang1025 \ltrch\fcs0 \fs24\lang2057\langfe2057\cgrid\langnp2057\langfenp2057 {\rtlch\fcs1 \af0 _x000d__x000a_\ltrch\fcs0 \insrsid15158380 \chftnsepc _x000d__x000a_\par }}{\*\aftnsep \ltrpar \pard\plain \ltrpar\ql \li0\ri0\widctlpar\wrapdefault\aspalpha\aspnum\faauto\adjustright\rin0\lin0\itap0 \rtlch\fcs1 \af0\afs20\alang1025 \ltrch\fcs0 \fs24\lang2057\langfe2057\cgrid\langnp2057\langfenp2057 {\rtlch\fcs1 \af0 _x000d__x000a_\ltrch\fcs0 \insrsid15158380 \chftnsep _x000d__x000a_\par }}{\*\aftnsepc \ltrpar \pard\plain \ltrpar\ql \li0\ri0\widctlpar\wrapdefault\aspalpha\aspnum\faauto\adjustright\rin0\lin0\itap0 \rtlch\fcs1 \af0\afs20\alang1025 \ltrch\fcs0 \fs24\lang2057\langfe2057\cgrid\langnp2057\langfenp2057 {\rtlch\fcs1 \af0 _x000d__x000a_\ltrch\fcs0 \insrsid151583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15155630 \rtlch\fcs1 \af0\afs20\alang1025 \ltrch\fcs0 \fs24\lang1040\langfe2057\cgrid\langnp1040\langfenp2057 {\rtlch\fcs1 \af0 _x000d__x000a_\ltrch\fcs0 \insrsid15155630\charrsid14248848 {\*\bkmkstart restart}#}{\rtlch\fcs1 \af1 \ltrch\fcs0 \cs17\v\f1\fs20\cf15\insrsid15155630\charrsid14248848 NRMSG}{\rtlch\fcs1 \af0 \ltrch\fcs0 \insrsid15155630\charrsid14248848 #.\tab #}{\rtlch\fcs1 \af1 _x000d__x000a_\ltrch\fcs0 \cs17\v\f1\fs20\cf15\insrsid15155630\charrsid14248848 TESTO}{\rtlch\fcs1 \af0 \ltrch\fcs0 \insrsid15155630\charrsid14248848 #}{\rtlch\fcs1 \af0 \ltrch\fcs0 \insrsid15155630\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25_x000d__x000a_355316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47481 NormalHanging12a;}}{\*\rsidtbl \rsid24658\rsid147481\rsid223860\rsid735077\rsid1718133\rsid2892074\rsid3565327\rsid4666813\rsid5390328\rsid6641733_x000d__x000a_\rsid7823322\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FELICETTI Chiara}{\operator FELICETTI Chiara}{\creatim\yr2024\mo1\dy23\hr17\min8}{\revtim\yr2024\mo1\dy23\hr17\min8}{\version1}{\edmins0}{\nofpages1}{\nofwords5}{\nofchars30}{\nofcharsws34}_x000d__x000a_{\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90\pgbrdrhead\pgbrdrfoot\splytwnine\ftnlytwnine\htmautsp\nolnhtadjtbl\useltbaln\alntblind\lytcalctblwd\lyttblrtgr\lnbrkrule\nobrkwrptbl\snaptogridincell\allowfieldendsel\wrppunct_x000d__x000a_\asianbrkrule\nojkernpunct\rsidroot147481\newtblstyruls\nogrowautofit\usenormstyforlist\noindnmbrts\felnbrelev\nocxsptable\indrlsweleven\noafcnsttbl\afelev\utinl\hwelev\spltpgpar\notcvasp\notbrkcnstfrctbl\notvatxbx\krnprsnet\cachedcolbal \nouicompat \fet0_x000d__x000a_{\*\wgrffmtfilter 013f}\nofeaturethrottle1\ilfomacatclnup0{\*\template C:\\Users\\CFELIC~1\\AppData\\Local\\Temp\\Blank1.dotx}{\*\ftnsep \ltrpar \pard\plain \ltrpar\ql \li0\ri0\widctlpar\wrapdefault\aspalpha\aspnum\faauto\adjustright\rin0\lin0\itap0 _x000d__x000a_\rtlch\fcs1 \af0\afs20\alang1025 \ltrch\fcs0 \fs24\lang2057\langfe2057\cgrid\langnp2057\langfenp2057 {\rtlch\fcs1 \af0 \ltrch\fcs0 \insrsid5390328 \chftnsep _x000d__x000a_\par }}{\*\ftnsepc \ltrpar \pard\plain \ltrpar\ql \li0\ri0\widctlpar\wrapdefault\aspalpha\aspnum\faauto\adjustright\rin0\lin0\itap0 \rtlch\fcs1 \af0\afs20\alang1025 \ltrch\fcs0 \fs24\lang2057\langfe2057\cgrid\langnp2057\langfenp2057 {\rtlch\fcs1 \af0 _x000d__x000a_\ltrch\fcs0 \insrsid5390328 \chftnsepc _x000d__x000a_\par }}{\*\aftnsep \ltrpar \pard\plain \ltrpar\ql \li0\ri0\widctlpar\wrapdefault\aspalpha\aspnum\faauto\adjustright\rin0\lin0\itap0 \rtlch\fcs1 \af0\afs20\alang1025 \ltrch\fcs0 \fs24\lang2057\langfe2057\cgrid\langnp2057\langfenp2057 {\rtlch\fcs1 \af0 _x000d__x000a_\ltrch\fcs0 \insrsid5390328 \chftnsep _x000d__x000a_\par }}{\*\aftnsepc \ltrpar \pard\plain \ltrpar\ql \li0\ri0\widctlpar\wrapdefault\aspalpha\aspnum\faauto\adjustright\rin0\lin0\itap0 \rtlch\fcs1 \af0\afs20\alang1025 \ltrch\fcs0 \fs24\lang2057\langfe2057\cgrid\langnp2057\langfenp2057 {\rtlch\fcs1 \af0 _x000d__x000a_\ltrch\fcs0 \insrsid539032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47481 \rtlch\fcs1 \af0\afs20\alang1025 \ltrch\fcs0 \fs24\lang2057\langfe2057\cgrid\langnp2057\langfenp2057 {\rtlch\fcs1 \af0 \ltrch\fcs0 _x000d__x000a_\insrsid147481\charrsid1525456 {\*\bkmkstart restart}[ZSUGGESTIONNR]\tab [ZSUGGESTIONTEXT]}{\rtlch\fcs1 \af0 \ltrch\fcs0 \insrsid147481\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c_x000d__x000a_8156164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95"/>
    <w:docVar w:name="TXTLANGUE" w:val="IT"/>
    <w:docVar w:name="TXTLANGUEMIN" w:val="it"/>
    <w:docVar w:name="TXTNRPE" w:val="756.035"/>
    <w:docVar w:name="TXTPEorAP" w:val="PE"/>
    <w:docVar w:name="TXTROUTE" w:val="AD\1295229IT.docx"/>
    <w:docVar w:name="TXTVERSION" w:val="05-00"/>
  </w:docVars>
  <w:rsids>
    <w:rsidRoot w:val="00D96B90"/>
    <w:rsid w:val="00070794"/>
    <w:rsid w:val="000E7EBF"/>
    <w:rsid w:val="00124F60"/>
    <w:rsid w:val="00135121"/>
    <w:rsid w:val="00140BE6"/>
    <w:rsid w:val="00147F4E"/>
    <w:rsid w:val="0016635E"/>
    <w:rsid w:val="001746D0"/>
    <w:rsid w:val="001A7306"/>
    <w:rsid w:val="001B7393"/>
    <w:rsid w:val="001D2261"/>
    <w:rsid w:val="001D2ED9"/>
    <w:rsid w:val="001F21C1"/>
    <w:rsid w:val="002D28A7"/>
    <w:rsid w:val="002E2F2E"/>
    <w:rsid w:val="002E6F98"/>
    <w:rsid w:val="00325BCB"/>
    <w:rsid w:val="00331944"/>
    <w:rsid w:val="00332AD9"/>
    <w:rsid w:val="00347D2C"/>
    <w:rsid w:val="0037356F"/>
    <w:rsid w:val="00390EB2"/>
    <w:rsid w:val="00396A0E"/>
    <w:rsid w:val="003E2402"/>
    <w:rsid w:val="004C28FB"/>
    <w:rsid w:val="004C44C0"/>
    <w:rsid w:val="00523863"/>
    <w:rsid w:val="0052544E"/>
    <w:rsid w:val="005940C3"/>
    <w:rsid w:val="00594C48"/>
    <w:rsid w:val="005B2F11"/>
    <w:rsid w:val="005C0BDF"/>
    <w:rsid w:val="005D60C6"/>
    <w:rsid w:val="006102E7"/>
    <w:rsid w:val="00640C1B"/>
    <w:rsid w:val="00657AFB"/>
    <w:rsid w:val="00681A25"/>
    <w:rsid w:val="00695760"/>
    <w:rsid w:val="006D5BF7"/>
    <w:rsid w:val="00745B66"/>
    <w:rsid w:val="008313E7"/>
    <w:rsid w:val="00854CAC"/>
    <w:rsid w:val="008A32C5"/>
    <w:rsid w:val="008C6203"/>
    <w:rsid w:val="008D5327"/>
    <w:rsid w:val="008D61E7"/>
    <w:rsid w:val="008F7002"/>
    <w:rsid w:val="00914DA4"/>
    <w:rsid w:val="0099493F"/>
    <w:rsid w:val="00A16BEA"/>
    <w:rsid w:val="00A312B3"/>
    <w:rsid w:val="00A72C35"/>
    <w:rsid w:val="00A92E1E"/>
    <w:rsid w:val="00AE180F"/>
    <w:rsid w:val="00B362F7"/>
    <w:rsid w:val="00B5456B"/>
    <w:rsid w:val="00B74B53"/>
    <w:rsid w:val="00BC26E4"/>
    <w:rsid w:val="00BD1EAA"/>
    <w:rsid w:val="00C52739"/>
    <w:rsid w:val="00C827FF"/>
    <w:rsid w:val="00CD34AC"/>
    <w:rsid w:val="00D86678"/>
    <w:rsid w:val="00D96B90"/>
    <w:rsid w:val="00DE19FF"/>
    <w:rsid w:val="00E27E61"/>
    <w:rsid w:val="00E81BA6"/>
    <w:rsid w:val="00E856D2"/>
    <w:rsid w:val="00E929A7"/>
    <w:rsid w:val="00F97C04"/>
    <w:rsid w:val="00FC6460"/>
    <w:rsid w:val="00FD0D14"/>
    <w:rsid w:val="00FD4BC4"/>
    <w:rsid w:val="00FE78AB"/>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chartTrackingRefBased/>
  <w15:docId w15:val="{5E55170E-7C20-4BC4-968B-D6A9EDE47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character" w:customStyle="1" w:styleId="NormalHanging12aChar">
    <w:name w:val="NormalHanging12a Char"/>
    <w:basedOn w:val="DefaultParagraphFont"/>
    <w:link w:val="NormalHanging12a"/>
    <w:locked/>
    <w:rsid w:val="00F97C04"/>
    <w:rPr>
      <w:sz w:val="24"/>
      <w:lang w:val="it-IT"/>
    </w:rPr>
  </w:style>
  <w:style w:type="paragraph" w:styleId="Footer">
    <w:name w:val="footer"/>
    <w:basedOn w:val="Normal"/>
    <w:link w:val="FooterChar"/>
    <w:semiHidden/>
    <w:rsid w:val="00F97C04"/>
    <w:pPr>
      <w:tabs>
        <w:tab w:val="center" w:pos="4513"/>
        <w:tab w:val="right" w:pos="9026"/>
      </w:tabs>
    </w:pPr>
  </w:style>
  <w:style w:type="character" w:customStyle="1" w:styleId="FooterChar">
    <w:name w:val="Footer Char"/>
    <w:basedOn w:val="DefaultParagraphFont"/>
    <w:link w:val="Footer"/>
    <w:semiHidden/>
    <w:rsid w:val="00F97C04"/>
    <w:rPr>
      <w:sz w:val="24"/>
      <w:lang w:val="it-IT"/>
    </w:rPr>
  </w:style>
  <w:style w:type="paragraph" w:customStyle="1" w:styleId="Normal24a">
    <w:name w:val="Normal24a"/>
    <w:basedOn w:val="Normal"/>
    <w:rsid w:val="00FE78AB"/>
    <w:pPr>
      <w:spacing w:after="480"/>
    </w:pPr>
  </w:style>
  <w:style w:type="paragraph" w:customStyle="1" w:styleId="NormalBoldCenter">
    <w:name w:val="NormalBoldCenter"/>
    <w:basedOn w:val="Normal"/>
    <w:rsid w:val="00FE78AB"/>
    <w:pPr>
      <w:jc w:val="center"/>
    </w:pPr>
    <w:rPr>
      <w:b/>
    </w:rPr>
  </w:style>
  <w:style w:type="paragraph" w:customStyle="1" w:styleId="RollCallSymbols14pt">
    <w:name w:val="RollCallSymbols14pt"/>
    <w:basedOn w:val="Normal"/>
    <w:rsid w:val="00FE78A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E78AB"/>
    <w:pPr>
      <w:tabs>
        <w:tab w:val="center" w:pos="284"/>
        <w:tab w:val="left" w:pos="426"/>
      </w:tabs>
    </w:pPr>
    <w:rPr>
      <w:snapToGrid w:val="0"/>
      <w:lang w:eastAsia="en-US"/>
    </w:rPr>
  </w:style>
  <w:style w:type="paragraph" w:customStyle="1" w:styleId="RollCallVotes">
    <w:name w:val="RollCallVotes"/>
    <w:basedOn w:val="Normal"/>
    <w:rsid w:val="00FE78AB"/>
    <w:pPr>
      <w:spacing w:before="120" w:after="120"/>
      <w:jc w:val="center"/>
    </w:pPr>
    <w:rPr>
      <w:b/>
      <w:bCs/>
      <w:snapToGrid w:val="0"/>
      <w:sz w:val="16"/>
      <w:lang w:eastAsia="en-US"/>
    </w:rPr>
  </w:style>
  <w:style w:type="paragraph" w:customStyle="1" w:styleId="RollCallTable">
    <w:name w:val="RollCallTable"/>
    <w:basedOn w:val="Normal"/>
    <w:rsid w:val="00FE78AB"/>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1365</Words>
  <Characters>8105</Characters>
  <Application>Microsoft Office Word</Application>
  <DocSecurity>0</DocSecurity>
  <Lines>189</Lines>
  <Paragraphs>77</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2024-02-08T12:46:00Z</dcterms:created>
  <dcterms:modified xsi:type="dcterms:W3CDTF">2024-02-08T12:46:00Z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9.16.1 Build [20230915]</vt:lpwstr>
  </property>
  <property fmtid="{D5CDD505-2E9C-101B-9397-08002B2CF9AE}" pid="4" name="LastEdited with">
    <vt:lpwstr>9.17.1 Build [20240101]</vt:lpwstr>
  </property>
  <property fmtid="{D5CDD505-2E9C-101B-9397-08002B2CF9AE}" pid="5" name="&lt;FdR&gt;">
    <vt:lpwstr>1295229</vt:lpwstr>
  </property>
  <property fmtid="{D5CDD505-2E9C-101B-9397-08002B2CF9AE}" pid="6" name="&lt;Type&gt;">
    <vt:lpwstr>AD</vt:lpwstr>
  </property>
  <property fmtid="{D5CDD505-2E9C-101B-9397-08002B2CF9AE}" pid="7" name="&lt;ModelCod&gt;">
    <vt:lpwstr>\\eiciLUXpr1\pdocep$\DocEP\DOCS\General\PA\PA_NonLeg\PA_NonLeg.dotx(18/09/2023 10:25:02)</vt:lpwstr>
  </property>
  <property fmtid="{D5CDD505-2E9C-101B-9397-08002B2CF9AE}" pid="8" name="&lt;ModelTra&gt;">
    <vt:lpwstr>\\eiciLUXpr1\pdocep$\DocEP\TRANSFIL\IT\PA_NonLeg.IT(18/09/2023 10:08:02)</vt:lpwstr>
  </property>
  <property fmtid="{D5CDD505-2E9C-101B-9397-08002B2CF9AE}" pid="9" name="&lt;Model&gt;">
    <vt:lpwstr>PA_NonLeg</vt:lpwstr>
  </property>
  <property fmtid="{D5CDD505-2E9C-101B-9397-08002B2CF9AE}" pid="10" name="FooterPath">
    <vt:lpwstr>AD\1295229IT.docx</vt:lpwstr>
  </property>
  <property fmtid="{D5CDD505-2E9C-101B-9397-08002B2CF9AE}" pid="11" name="PE number">
    <vt:lpwstr>756.035</vt:lpwstr>
  </property>
  <property fmtid="{D5CDD505-2E9C-101B-9397-08002B2CF9AE}" pid="12" name="Bookout">
    <vt:lpwstr>OK - 2024/02/08 13:46</vt:lpwstr>
  </property>
  <property fmtid="{D5CDD505-2E9C-101B-9397-08002B2CF9AE}" pid="13" name="SDLStudio">
    <vt:lpwstr/>
  </property>
</Properties>
</file>