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21780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62297F" w:rsidRDefault="00DB3762" w:rsidP="00C85D0F">
            <w:pPr>
              <w:pStyle w:val="EPName"/>
            </w:pPr>
            <w:r>
              <w:t>Parlament Europejski</w:t>
            </w:r>
          </w:p>
          <w:p w:rsidR="00854CAC" w:rsidRPr="0062297F" w:rsidRDefault="00DB3762" w:rsidP="00B10994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854CAC" w:rsidRPr="0062297F" w:rsidRDefault="00DB3762" w:rsidP="00C85D0F">
            <w:pPr>
              <w:pStyle w:val="EPLogo"/>
            </w:pPr>
            <w:r w:rsidRPr="0062297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62297F" w:rsidRDefault="001746D0" w:rsidP="001746D0">
      <w:pPr>
        <w:pStyle w:val="LineTop"/>
      </w:pPr>
    </w:p>
    <w:p w:rsidR="001746D0" w:rsidRPr="0062297F" w:rsidRDefault="00DB3762" w:rsidP="001746D0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{PECH}</w:t>
      </w:r>
      <w:r>
        <w:t>Komisja Rybołówstwa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1746D0" w:rsidRPr="0062297F" w:rsidRDefault="001746D0" w:rsidP="001746D0">
      <w:pPr>
        <w:pStyle w:val="LineBottom"/>
      </w:pPr>
    </w:p>
    <w:p w:rsidR="002E2F2E" w:rsidRPr="0062297F" w:rsidRDefault="00DB3762">
      <w:pPr>
        <w:pStyle w:val="CoverReference"/>
      </w:pPr>
      <w:r>
        <w:rPr>
          <w:rStyle w:val="HideTWBExt"/>
          <w:b w:val="0"/>
        </w:rPr>
        <w:t>&lt;RefProc&gt;</w:t>
      </w:r>
      <w:r>
        <w:t>2023/2150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:rsidR="002E2F2E" w:rsidRPr="0062297F" w:rsidRDefault="00DB3762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{25/01/2024}</w:t>
      </w:r>
      <w:r>
        <w:t>25.1.2024</w:t>
      </w:r>
      <w:r>
        <w:rPr>
          <w:rStyle w:val="HideTWBExt"/>
        </w:rPr>
        <w:t>&lt;/Date&gt;</w:t>
      </w:r>
    </w:p>
    <w:p w:rsidR="002E2F2E" w:rsidRPr="0062297F" w:rsidRDefault="00DB3762">
      <w:pPr>
        <w:pStyle w:val="CoverDocType24a"/>
      </w:pPr>
      <w:r>
        <w:rPr>
          <w:rStyle w:val="HideTWBExt"/>
          <w:b w:val="0"/>
        </w:rPr>
        <w:t>&lt;TitreType&gt;</w:t>
      </w:r>
      <w:r>
        <w:t>OPINIA</w:t>
      </w:r>
      <w:bookmarkStart w:id="0" w:name="_GoBack"/>
      <w:bookmarkEnd w:id="0"/>
      <w:r>
        <w:rPr>
          <w:rStyle w:val="HideTWBExt"/>
          <w:b w:val="0"/>
        </w:rPr>
        <w:t>&lt;/TitreType&gt;</w:t>
      </w:r>
    </w:p>
    <w:p w:rsidR="002E2F2E" w:rsidRPr="0062297F" w:rsidRDefault="00DB3762">
      <w:pPr>
        <w:pStyle w:val="CoverNormal24a"/>
      </w:pPr>
      <w:r>
        <w:rPr>
          <w:rStyle w:val="HideTWBExt"/>
        </w:rPr>
        <w:t>&lt;CommissionResp&gt;</w:t>
      </w:r>
      <w:r>
        <w:t>Komisji Rybołówstwa</w:t>
      </w:r>
      <w:r>
        <w:rPr>
          <w:rStyle w:val="HideTWBExt"/>
        </w:rPr>
        <w:t>&lt;/CommissionResp&gt;</w:t>
      </w:r>
    </w:p>
    <w:p w:rsidR="002E2F2E" w:rsidRPr="0062297F" w:rsidRDefault="00DB3762">
      <w:pPr>
        <w:pStyle w:val="CoverNormal24a"/>
      </w:pPr>
      <w:r>
        <w:rPr>
          <w:rStyle w:val="HideTWBExt"/>
        </w:rPr>
        <w:t>&lt;CommissionInt&gt;</w:t>
      </w:r>
      <w:r>
        <w:t>dla Komisji Kontroli Budżetowej</w:t>
      </w:r>
      <w:r>
        <w:rPr>
          <w:rStyle w:val="HideTWBExt"/>
        </w:rPr>
        <w:t>&lt;/CommissionInt&gt;</w:t>
      </w:r>
    </w:p>
    <w:p w:rsidR="001B17EF" w:rsidRPr="0062297F" w:rsidRDefault="00DB3762" w:rsidP="00CF0298">
      <w:pPr>
        <w:ind w:left="1417"/>
      </w:pPr>
      <w:r>
        <w:rPr>
          <w:rStyle w:val="HideTWBExt"/>
        </w:rPr>
        <w:t>&lt;Titre&gt;</w:t>
      </w:r>
      <w:r>
        <w:t>w sprawie absolutorium z wykonania budżetu Europejskiej Agencji Kontroli Rybołówstwa (EFCA) za rok budżetowy 2022</w:t>
      </w:r>
    </w:p>
    <w:p w:rsidR="002E2F2E" w:rsidRPr="0062297F" w:rsidRDefault="00DB3762">
      <w:pPr>
        <w:pStyle w:val="CoverNormal"/>
      </w:pPr>
      <w:r>
        <w:rPr>
          <w:rStyle w:val="HideTWBExt"/>
        </w:rPr>
        <w:t>&lt;/Titre&gt;</w:t>
      </w:r>
    </w:p>
    <w:p w:rsidR="002E2F2E" w:rsidRPr="0062297F" w:rsidRDefault="00DB3762">
      <w:pPr>
        <w:pStyle w:val="CoverNormal24a"/>
      </w:pPr>
      <w:r>
        <w:rPr>
          <w:rStyle w:val="HideTWBExt"/>
        </w:rPr>
        <w:t>&lt;DocRef&gt;</w:t>
      </w:r>
      <w:r>
        <w:t>(2023/2150(DEC))</w:t>
      </w:r>
      <w:r>
        <w:rPr>
          <w:rStyle w:val="HideTWBExt"/>
        </w:rPr>
        <w:t>&lt;/DocRef&gt;</w:t>
      </w:r>
    </w:p>
    <w:p w:rsidR="002E2F2E" w:rsidRPr="0062297F" w:rsidRDefault="00DB3762">
      <w:pPr>
        <w:pStyle w:val="CoverNormal24a"/>
      </w:pPr>
      <w:r>
        <w:t xml:space="preserve">Sprawozdawca komisji opiniodawczej: </w:t>
      </w:r>
      <w:r>
        <w:rPr>
          <w:rStyle w:val="HideTWBExt"/>
        </w:rPr>
        <w:t>&lt;Depute&gt;</w:t>
      </w:r>
      <w:r>
        <w:t>Pierre Karleskind</w:t>
      </w:r>
      <w:r>
        <w:rPr>
          <w:rStyle w:val="HideTWBExt"/>
        </w:rPr>
        <w:t>&lt;/Depute&gt;</w:t>
      </w:r>
    </w:p>
    <w:p w:rsidR="002E2F2E" w:rsidRPr="0062297F" w:rsidRDefault="00DB3762" w:rsidP="00E856D2">
      <w:pPr>
        <w:widowControl/>
        <w:tabs>
          <w:tab w:val="center" w:pos="4677"/>
        </w:tabs>
      </w:pPr>
      <w:r>
        <w:br w:type="page"/>
      </w:r>
      <w:r>
        <w:lastRenderedPageBreak/>
        <w:t>PA_NonLeg</w:t>
      </w:r>
    </w:p>
    <w:p w:rsidR="002E2F2E" w:rsidRPr="0062297F" w:rsidRDefault="00DB3762">
      <w:pPr>
        <w:pStyle w:val="PageHeadingNotTOC"/>
      </w:pPr>
      <w:r>
        <w:br w:type="page"/>
      </w:r>
      <w:r>
        <w:lastRenderedPageBreak/>
        <w:t>WSKAZÓWKI</w:t>
      </w:r>
    </w:p>
    <w:p w:rsidR="002E2F2E" w:rsidRPr="0062297F" w:rsidRDefault="00DB3762" w:rsidP="008313E7">
      <w:pPr>
        <w:pStyle w:val="Normal12a"/>
      </w:pPr>
      <w:r>
        <w:t>Komisja Rybołówstwa zwraca się do Komisji Kontroli Budżetowej, jako komisji przedmiotowo właściwej, o uwzględnienie w końcowym tekście projektu rezolucji następują</w:t>
      </w:r>
      <w:r>
        <w:t>cych wskazówek:</w:t>
      </w:r>
    </w:p>
    <w:p w:rsidR="00B10994" w:rsidRPr="0062297F" w:rsidRDefault="00DB3762" w:rsidP="00B10994">
      <w:pPr>
        <w:pStyle w:val="NormalHanging12a"/>
      </w:pPr>
      <w:r>
        <w:t>1.</w:t>
      </w:r>
      <w:r>
        <w:tab/>
        <w:t>przyjmuje do wiadomości sprawozdanie Trybunału Obrachunkowego („Trybunał”) dotyczące sprawozdania finansowego Europejskiej Agencji Kontroli Rybołówstwa („Agencja”) za rok budżetowy 2022, roczne sprawozdanie z działalności Agencji za 2022</w:t>
      </w:r>
      <w:r>
        <w:t> r. oraz analizę i ocenę tego sprawozdania dokonane przez jej zarząd;</w:t>
      </w:r>
    </w:p>
    <w:p w:rsidR="00B10994" w:rsidRPr="0062297F" w:rsidRDefault="00DB3762" w:rsidP="00B10994">
      <w:pPr>
        <w:pStyle w:val="NormalHanging12a"/>
      </w:pPr>
      <w:r>
        <w:t>2.</w:t>
      </w:r>
      <w:r>
        <w:tab/>
        <w:t>przyjmuje z zadowoleniem oświadczenie Trybunału, że sprawozdanie finansowe Agencji za rok zakończony 31 grudnia 2021 r. jest zgodne z rozporządzeniem finansowym Unii oraz z zasadami r</w:t>
      </w:r>
      <w:r>
        <w:t>achunkowości przyjętymi przez księgowego Komisji; przyjmuje do wiadomości uwagi Trybunału dotyczące zamówień publicznych, systemów zarządzania i kontroli oraz stosowania przeniesień środków;</w:t>
      </w:r>
    </w:p>
    <w:p w:rsidR="00F828BD" w:rsidRPr="0062297F" w:rsidRDefault="00DB3762" w:rsidP="00F828BD">
      <w:pPr>
        <w:pStyle w:val="NormalHanging12a"/>
      </w:pPr>
      <w:r>
        <w:t>3.</w:t>
      </w:r>
      <w:r>
        <w:tab/>
        <w:t>zauważa, że rok budżetowy 2022 charakteryzował się odbudową po</w:t>
      </w:r>
      <w:r>
        <w:t xml:space="preserve"> pandemii COVID-19 w poprzednich dwóch latach budżetowych przy jednoczesnym dalszym wzroście budżetu i zasobów EFCA na dodatkowe zadania i projekty, jak przewidziano w jednolitym dokumencie programowym na 2022 r.; zwraca uwagę, że wojna w Ukrainie może mie</w:t>
      </w:r>
      <w:r>
        <w:t>ć wpływ na ujęcie i wycenę niektórych aktywów i zobowiązań w bilansie, a także na niektóre przychody i wydatki ujęte w sprawozdaniu z finansowych wyników działalności za kolejne okresy sprawozdawcze;</w:t>
      </w:r>
    </w:p>
    <w:p w:rsidR="00F828BD" w:rsidRPr="0062297F" w:rsidRDefault="00DB3762" w:rsidP="00F828BD">
      <w:pPr>
        <w:pStyle w:val="NormalHanging12a"/>
      </w:pPr>
      <w:r>
        <w:t>4.</w:t>
      </w:r>
      <w:r>
        <w:tab/>
        <w:t>stwierdza, że Agencja otrzymała wkład w wysokości 29,</w:t>
      </w:r>
      <w:r>
        <w:t>34 mln EUR z budżetu ogólnego Unii na 2022 r., co stanowi wzrost o 40 % w porównaniu z 2021 r.; zwraca uwagę, że zarówno roczny budżet Agencji, jak i liczba personelu są jednymi z najniższych wśród agencji Unii, nawet przy zwiększonym planie zatrudnienia;</w:t>
      </w:r>
    </w:p>
    <w:p w:rsidR="00F828BD" w:rsidRPr="0062297F" w:rsidRDefault="00DB3762" w:rsidP="00F828BD">
      <w:pPr>
        <w:pStyle w:val="NormalHanging12a"/>
      </w:pPr>
      <w:r>
        <w:t>5.</w:t>
      </w:r>
      <w:r>
        <w:tab/>
        <w:t>przyjmuje do wiadomości, że w roku budżetowym 2022 Agencja była w stanie zrealizować 95,4 % swojego rocznego programu prac; zwraca uwagę, że Agencja była w stanie prowadzić operacje i wykonywać budżet zgodnie z planem, przy czym ogólne wykonanie budżetu</w:t>
      </w:r>
      <w:r>
        <w:t xml:space="preserve"> wyniosło 99,4 % pod względem zobowiązań i 57,8 % pod względem płatności (wartość ta jest znacznie niższa niż w poprzednim roku); przyjmuje do wiadomości wyjaśnienie Agencji, że zmniejszenie to wynika głównie z luki czasowej związanej z uruchomieniem trzec</w:t>
      </w:r>
      <w:r>
        <w:t>h jednostek patrolujących rybołówstwo morskie;</w:t>
      </w:r>
    </w:p>
    <w:p w:rsidR="00B10994" w:rsidRPr="0062297F" w:rsidRDefault="00DB3762" w:rsidP="00B10994">
      <w:pPr>
        <w:pStyle w:val="NormalHanging12a"/>
      </w:pPr>
      <w:r>
        <w:t>6.</w:t>
      </w:r>
      <w:r>
        <w:tab/>
        <w:t>przypomina o istotnym wkładzie Agencji we wdrażanie wspólnej polityki rybołówstwa (WPRyb), w szczególności kontroli rybołówstwa i walki z nielegalnymi, nieraportowanymi i nieuregulowanymi połowami; z zadowo</w:t>
      </w:r>
      <w:r>
        <w:t>leniem przyjmuje wzmocnienie floty czarterowanych przez Agencję pełnomorskich jednostek patrolowych w celu prowadzenia kontroli i inspekcji połowów na wodach Unii i wodach międzynarodowych oraz wspierania organów krajowych; podkreśla udział Agencji w główn</w:t>
      </w:r>
      <w:r>
        <w:t>ych koalicjach międzynarodowych przeciwko nielegalnym połowom, takich jak operacja PESCAO;</w:t>
      </w:r>
    </w:p>
    <w:p w:rsidR="00B10994" w:rsidRPr="0062297F" w:rsidRDefault="00DB3762" w:rsidP="00B10994">
      <w:pPr>
        <w:pStyle w:val="NormalHanging12a"/>
      </w:pPr>
      <w:r>
        <w:t>7.</w:t>
      </w:r>
      <w:r>
        <w:tab/>
        <w:t xml:space="preserve">podkreśla, że to państwa członkowskie są w pierwszym rzędzie odpowiedzialne za </w:t>
      </w:r>
      <w:r>
        <w:lastRenderedPageBreak/>
        <w:t>kontrolę działalności połowowej, a zadania Agencji mają charakter wspierający; zazn</w:t>
      </w:r>
      <w:r>
        <w:t>acza, że w związku z niedawno przyjętym przeglądem rozporządzenia w sprawie kontroli rybołówstwa Agencja będzie musiała zapewniać większe wsparcie; podkreśla będącą istotnym problemem niespójność, która polega na tym, że rosną zobowiązania, ale nie towarzy</w:t>
      </w:r>
      <w:r>
        <w:t>szą im wystarczające zasoby; w związku z powyższym zwraca uwagę na potrzebę zapewnienia wystarczających zasobów finansowych i ludzkich Agencji w nadchodzących latach;</w:t>
      </w:r>
    </w:p>
    <w:p w:rsidR="00B22175" w:rsidRPr="0062297F" w:rsidRDefault="00DB3762" w:rsidP="00802770">
      <w:pPr>
        <w:ind w:left="567" w:hanging="567"/>
        <w:jc w:val="both"/>
      </w:pPr>
      <w:r>
        <w:t>8.</w:t>
      </w:r>
      <w:r>
        <w:tab/>
        <w:t xml:space="preserve">zauważa, że w 2022 r. Agencja zgłosiła 47 592 inspekcji (na morzu i na lądzie), które </w:t>
      </w:r>
      <w:r>
        <w:t>doprowadziły do wykrycia 5167 podejrzewanych naruszeń, co oznacza spadek liczby inspekcji o 11 % i wzrost liczby podejrzewanych naruszeń o 28 % w porównaniu z danymi z 2021 r.; zwraca uwagę, że obserwowany spadek niekoniecznie jest związany ze zmniejszenie</w:t>
      </w:r>
      <w:r>
        <w:t>m wysiłków kontrolnych państw członkowskich; zwraca się do Agencji o przedstawienie bardziej szczegółowych informacji na temat przyczyn tych zmian; przypomina, że inspekcje i inne działania następcze odgrywają kluczową rolę nie tylko we właściwym zarządzan</w:t>
      </w:r>
      <w:r>
        <w:t>iu zasobami rybnymi, ale również w zapewnieniu rybakom w Unii równych warunków działania;</w:t>
      </w:r>
    </w:p>
    <w:p w:rsidR="00440C88" w:rsidRPr="0062297F" w:rsidRDefault="00440C88" w:rsidP="00802770">
      <w:pPr>
        <w:ind w:left="567" w:hanging="567"/>
        <w:jc w:val="both"/>
      </w:pPr>
    </w:p>
    <w:p w:rsidR="00B10994" w:rsidRPr="0062297F" w:rsidRDefault="00DB3762" w:rsidP="00B10994">
      <w:pPr>
        <w:pStyle w:val="NormalHanging12a"/>
      </w:pPr>
      <w:r>
        <w:t>9.</w:t>
      </w:r>
      <w:r>
        <w:tab/>
        <w:t>w odniesieniu do walki z nielegalnymi, nieraportowanymi i nieuregulowanymi połowami podkreśla, że ważną rolą agencji jest zachęcanie do szerszego i zharmonizowane</w:t>
      </w:r>
      <w:r>
        <w:t>go stosowania unijnych systemów kontroli wprowadzonych w celu zwalczania nielegalnych połowów;</w:t>
      </w:r>
    </w:p>
    <w:p w:rsidR="00B10994" w:rsidRPr="0062297F" w:rsidRDefault="00DB3762" w:rsidP="00B10994">
      <w:pPr>
        <w:pStyle w:val="NormalHanging12a"/>
      </w:pPr>
      <w:r>
        <w:t>10.</w:t>
      </w:r>
      <w:r>
        <w:tab/>
        <w:t>odnotowuje, że Agencja stale współpracuje z Europejską Agencją Straży Granicznej i Przybrzeżnej (Frontex) i Europejską Agencją Bezpieczeństwa Morskiego (EMSA</w:t>
      </w:r>
      <w:r>
        <w:t>) przy udzielaniu wsparcia organom krajowym pełniącym funkcję straży przybrzeżnej zgodnie z art. 8 rozporządzenia (UE) 2019/473; uważa, że współpraca ta jest dobrym przykładem synergii między agencjami Unii i powinna być źródłem inspiracji dla agencji w in</w:t>
      </w:r>
      <w:r>
        <w:t>nych obszarach; wzywa Agencję do kontynuowania wysiłków w tym zakresie i uważa, że należy również zacieśnić współpracę między Agencją a Europejską Agencją Środowiska;</w:t>
      </w:r>
    </w:p>
    <w:p w:rsidR="00B10994" w:rsidRPr="0062297F" w:rsidRDefault="00DB3762" w:rsidP="00B10994">
      <w:pPr>
        <w:pStyle w:val="NormalHanging12a"/>
      </w:pPr>
      <w:r>
        <w:t>11.</w:t>
      </w:r>
      <w:r>
        <w:tab/>
        <w:t>podkreśla rolę Agencji w oferowaniu państwom trzecim działań w zakresie budowania zdo</w:t>
      </w:r>
      <w:r>
        <w:t>lności i szkoleń oraz jej kluczową rolę w zapewnianiu równych warunków działania z wszystkimi państwami nadbrzeżnymi;</w:t>
      </w:r>
    </w:p>
    <w:p w:rsidR="00F828BD" w:rsidRPr="0062297F" w:rsidRDefault="00DB3762" w:rsidP="00F828BD">
      <w:pPr>
        <w:pStyle w:val="NormalHanging12a"/>
      </w:pPr>
      <w:r>
        <w:t>12.</w:t>
      </w:r>
      <w:r>
        <w:tab/>
        <w:t>przyjmuje do wiadomości, że do 31 grudnia 2022 r. plan zatrudnienia zrealizowano w pełni – przyjęto 74 na 77 przewidzianych w budżecie</w:t>
      </w:r>
      <w:r>
        <w:t xml:space="preserve"> Unii pracowników na czas określony; odnotowuje wzrost wydatków na personel o 2,1 mln EUR w porównaniu z 2021 r.;</w:t>
      </w:r>
    </w:p>
    <w:p w:rsidR="00F828BD" w:rsidRPr="0062297F" w:rsidRDefault="00DB3762" w:rsidP="00F828BD">
      <w:pPr>
        <w:pStyle w:val="NormalHanging12a"/>
      </w:pPr>
      <w:r>
        <w:t>13.</w:t>
      </w:r>
      <w:r>
        <w:tab/>
        <w:t>zwraca uwagę na politykę Agencji polegającą na promowaniu równego traktowania pracowników oraz celu równowagi płci, zarówno pod względem l</w:t>
      </w:r>
      <w:r>
        <w:t>iczby, grupy zaszeregowania, jak i poziomu odpowiedzialności; ubolewa, że kobiety stanowią jedynie 38 % personelu zatrudnionego w grupie zaszeregowania AD 8 lub wyższej, co oznacza, że sytuacja nie zmieniła się od 2021 r.; zwraca uwagę, że należy uczynić w</w:t>
      </w:r>
      <w:r>
        <w:t>ięcej, aby osiągnąć parytet na szczeblu kierowniczym; ponawia apel do Agencji o zwiększenie wysiłków w prowadzonej przez nią polityce równowagi płci w celu osiągnięcia postępów w zakresie parytetu płci również na szczeblu kierowniczym;</w:t>
      </w:r>
    </w:p>
    <w:p w:rsidR="00F828BD" w:rsidRPr="0062297F" w:rsidRDefault="00DB3762" w:rsidP="00F828BD">
      <w:pPr>
        <w:pStyle w:val="NormalHanging12a"/>
      </w:pPr>
      <w:r>
        <w:lastRenderedPageBreak/>
        <w:t>14.</w:t>
      </w:r>
      <w:r>
        <w:tab/>
        <w:t>podkreśla równie</w:t>
      </w:r>
      <w:r>
        <w:t>ż znaczenie zrównoważonej reprezentacji geograficznej wśród pracowników, aby osiągnąć jeden z podstawowych celów Komisji, tj. być blisko obywateli i odzwierciedlać różnorodność państw członkowskich;</w:t>
      </w:r>
    </w:p>
    <w:p w:rsidR="00B10994" w:rsidRPr="0062297F" w:rsidRDefault="00DB3762" w:rsidP="00B10994">
      <w:pPr>
        <w:pStyle w:val="NormalHanging12a"/>
      </w:pPr>
      <w:r>
        <w:t>15.</w:t>
      </w:r>
      <w:r>
        <w:tab/>
        <w:t xml:space="preserve">wzywa Agencję do dalszego regularnego aktualizowania </w:t>
      </w:r>
      <w:r>
        <w:t xml:space="preserve">i publicznego udostępniania informacji na temat odpowiednich spotkań dyrektorów wykonawczych i personelu z organizacjami lub osobami samozatrudnionymi zaangażowanymi w kształtowanie i wdrażanie polityki Unii, aby zapewnić pełną przejrzystość i zaufanie do </w:t>
      </w:r>
      <w:r>
        <w:t>działalności Agencji;</w:t>
      </w:r>
    </w:p>
    <w:p w:rsidR="00B10994" w:rsidRPr="0062297F" w:rsidRDefault="00DB3762" w:rsidP="00B10994">
      <w:pPr>
        <w:pStyle w:val="NormalHanging12a"/>
      </w:pPr>
      <w:r>
        <w:t>16.</w:t>
      </w:r>
      <w:r>
        <w:tab/>
        <w:t>proponuje, by udzielić dyrektor wykonawczej Agencji absolutorium z wykonania budżetu Agencji za rok budżetowy 2022.</w:t>
      </w:r>
    </w:p>
    <w:p w:rsidR="003E481A" w:rsidRPr="0062297F" w:rsidRDefault="003E481A">
      <w:pPr>
        <w:widowControl/>
        <w:sectPr w:rsidR="003E481A" w:rsidRPr="0062297F" w:rsidSect="005E1C7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3E481A" w:rsidRPr="0062297F" w:rsidRDefault="00DB3762" w:rsidP="002B2C72">
      <w:pPr>
        <w:pStyle w:val="PageHeadingNotTOC"/>
        <w:rPr>
          <w:noProof/>
        </w:rPr>
      </w:pPr>
      <w:bookmarkStart w:id="1" w:name="FootprintPageAD"/>
      <w:r>
        <w:lastRenderedPageBreak/>
        <w:t>ZAŁĄCZNIK: PODMIOTY LUB OSOBY,</w:t>
      </w:r>
      <w:r>
        <w:br/>
        <w:t>OD KTÓRYCH SPRAWOZDAWCA OTRZYMAŁ INFORMACJE</w:t>
      </w:r>
    </w:p>
    <w:p w:rsidR="003E481A" w:rsidRPr="0062297F" w:rsidRDefault="00DB3762" w:rsidP="00037518">
      <w:pPr>
        <w:pStyle w:val="Normal24a"/>
      </w:pPr>
      <w:r>
        <w:rPr>
          <w:rStyle w:val="HideTWBExt"/>
        </w:rPr>
        <w:t>&lt;FootprintIntro&gt;</w:t>
      </w:r>
      <w:r>
        <w:t xml:space="preserve">Sprawozdawca </w:t>
      </w:r>
      <w:r>
        <w:t>oświadcza na własną odpowiedzialność, że nie otrzymał informacji od żadnego podmiotu ani osoby, które należałoby wymienić w tym załączniku zgodnie z art. </w:t>
      </w:r>
      <w:r>
        <w:t>8 załącznika I do Regulaminu.</w:t>
      </w:r>
      <w:r>
        <w:rPr>
          <w:rStyle w:val="HideTWBExt"/>
        </w:rPr>
        <w:t>&lt;/FootprintIntro&gt;</w:t>
      </w:r>
    </w:p>
    <w:p w:rsidR="003E481A" w:rsidRPr="0062297F" w:rsidRDefault="003E481A" w:rsidP="00AD5932"/>
    <w:p w:rsidR="003E481A" w:rsidRPr="0062297F" w:rsidRDefault="003E481A" w:rsidP="000D415D"/>
    <w:bookmarkEnd w:id="1"/>
    <w:p w:rsidR="00FE4012" w:rsidRPr="0062297F" w:rsidRDefault="00DB3762" w:rsidP="00FE4012">
      <w:r>
        <w:br w:type="page"/>
      </w:r>
    </w:p>
    <w:p w:rsidR="005417FB" w:rsidRPr="0062297F" w:rsidRDefault="005417FB" w:rsidP="005417FB">
      <w:pPr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b/>
          <w:bCs/>
          <w:color w:val="000000"/>
          <w:szCs w:val="24"/>
        </w:rPr>
      </w:pPr>
    </w:p>
    <w:p w:rsidR="005E1C74" w:rsidRPr="005E1C74" w:rsidRDefault="005E1C74" w:rsidP="005E1C74"/>
    <w:p w:rsidR="005E1C74" w:rsidRDefault="00DB3762" w:rsidP="005E1C74">
      <w:pPr>
        <w:pStyle w:val="PageHeadingNotTOC"/>
      </w:pPr>
      <w:bookmarkStart w:id="2" w:name="ProcPageAD"/>
      <w:r>
        <w:t>INFORMACJE O PRZYJĘCIU PRZEZ KOMISJĘ OPINIODAWCZĄ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821780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E1C74" w:rsidRDefault="00DB376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Data przyjęcia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E1C74" w:rsidRDefault="00DB3762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23.1.2024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E1C74" w:rsidRDefault="005E1C7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E1C74" w:rsidRDefault="005E1C7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E1C74" w:rsidRDefault="005E1C7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821780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E1C74" w:rsidRDefault="00DB376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Wynik głosowania końcowego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E1C74" w:rsidRDefault="00DB3762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:rsidR="005E1C74" w:rsidRDefault="00DB3762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:rsidR="005E1C74" w:rsidRDefault="00DB3762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E1C74" w:rsidRDefault="00DB3762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</w:t>
            </w:r>
          </w:p>
          <w:p w:rsidR="005E1C74" w:rsidRDefault="00DB3762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  <w:p w:rsidR="005E1C74" w:rsidRDefault="00DB3762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21780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E1C74" w:rsidRDefault="00DB376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Posłowie obecni podczas głosowania końcowego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E1C74" w:rsidRDefault="00DB3762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Clara Aguilera, João Albuquerque, Pietro Bartolo, Izaskun Bilbao Barandica, Isabel Carvalhais, Maria da Graça Carvalho, Asger </w:t>
            </w:r>
            <w:r>
              <w:rPr>
                <w:color w:val="000000"/>
                <w:sz w:val="20"/>
              </w:rPr>
              <w:t>Christensen, Rosanna Conte, Rosa D’Amato, Francisco Guerreiro, Anja Haga, Anja Hazekamp, Jan Huitema, Ladislav Ilčić, Pierre Karleskind, Predrag Fred Matić, Francisco José Millán Mon, João Pimenta Lopes, Caroline Roose, Bert-Jan Ruissen, Marc Tarabella, Th</w:t>
            </w:r>
            <w:r>
              <w:rPr>
                <w:color w:val="000000"/>
                <w:sz w:val="20"/>
              </w:rPr>
              <w:t>eodoros Zagorakis</w:t>
            </w:r>
          </w:p>
        </w:tc>
      </w:tr>
      <w:tr w:rsidR="00821780" w:rsidRPr="00DB3762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E1C74" w:rsidRDefault="00DB376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Zastępcy obecni podczas głosowania końcowego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E1C74" w:rsidRPr="00DB3762" w:rsidRDefault="00DB3762">
            <w:pPr>
              <w:autoSpaceDE w:val="0"/>
              <w:autoSpaceDN w:val="0"/>
              <w:adjustRightInd w:val="0"/>
              <w:rPr>
                <w:color w:val="000000"/>
                <w:sz w:val="20"/>
                <w:lang w:val="pt-PT"/>
              </w:rPr>
            </w:pPr>
            <w:r w:rsidRPr="00DB3762">
              <w:rPr>
                <w:color w:val="000000"/>
                <w:sz w:val="20"/>
                <w:lang w:val="pt-PT"/>
              </w:rPr>
              <w:t>Gabriel Mato, Cláudia Monteiro de Aguiar, Grace O’Sullivan</w:t>
            </w:r>
          </w:p>
        </w:tc>
      </w:tr>
      <w:tr w:rsidR="00821780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E1C74" w:rsidRDefault="00DB376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Zastępcy (art. 209 ust. 7) obecni podczas głosowania końcowego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E1C74" w:rsidRDefault="00DB3762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Christian Doleschal</w:t>
            </w:r>
          </w:p>
        </w:tc>
      </w:tr>
    </w:tbl>
    <w:p w:rsidR="005E1C74" w:rsidRPr="005E1C74" w:rsidRDefault="005E1C74" w:rsidP="005E1C74"/>
    <w:bookmarkEnd w:id="2"/>
    <w:p w:rsidR="005E1C74" w:rsidRDefault="005E1C74" w:rsidP="005E1C74">
      <w:pPr>
        <w:sectPr w:rsidR="005E1C74" w:rsidSect="005E1C7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E1C74" w:rsidRPr="0099178F" w:rsidRDefault="00DB3762" w:rsidP="00C36610">
      <w:pPr>
        <w:pStyle w:val="PageHeadingNotTOC"/>
      </w:pPr>
      <w:bookmarkStart w:id="3" w:name="RollCallPageAD"/>
      <w:r>
        <w:t xml:space="preserve">GŁOSOWANIE </w:t>
      </w:r>
      <w:r>
        <w:t>KOŃCOWE W FORMIE GŁOSOWANIA IMIENNEGO W KOMISJI OPINIODAWCZEJ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821780" w:rsidTr="009A2932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5E1C74" w:rsidRPr="0062297F" w:rsidRDefault="00DB3762" w:rsidP="009A2932">
            <w:pPr>
              <w:pStyle w:val="RollCallVotes"/>
            </w:pPr>
            <w:r>
              <w:t>24</w:t>
            </w:r>
          </w:p>
        </w:tc>
        <w:tc>
          <w:tcPr>
            <w:tcW w:w="7371" w:type="dxa"/>
            <w:shd w:val="pct10" w:color="000000" w:fill="FFFFFF"/>
          </w:tcPr>
          <w:p w:rsidR="005E1C74" w:rsidRPr="0062297F" w:rsidRDefault="00DB3762" w:rsidP="009A2932">
            <w:pPr>
              <w:pStyle w:val="RollCallSymbols14pt"/>
            </w:pPr>
            <w:r>
              <w:t>+</w:t>
            </w:r>
          </w:p>
        </w:tc>
      </w:tr>
      <w:tr w:rsidR="00821780" w:rsidTr="009A2932">
        <w:trPr>
          <w:cantSplit/>
        </w:trPr>
        <w:tc>
          <w:tcPr>
            <w:tcW w:w="1701" w:type="dxa"/>
            <w:shd w:val="clear" w:color="auto" w:fill="FFFFFF"/>
          </w:tcPr>
          <w:p w:rsidR="005E1C74" w:rsidRPr="0062297F" w:rsidRDefault="00DB3762" w:rsidP="009A2932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5E1C74" w:rsidRPr="0062297F" w:rsidRDefault="00DB3762" w:rsidP="009A2932">
            <w:pPr>
              <w:pStyle w:val="RollCallTable"/>
            </w:pPr>
            <w:r>
              <w:t>Ladislav Ilčić, Bert-Jan Ruissen</w:t>
            </w:r>
          </w:p>
        </w:tc>
      </w:tr>
      <w:tr w:rsidR="00821780" w:rsidTr="009A2932">
        <w:trPr>
          <w:cantSplit/>
        </w:trPr>
        <w:tc>
          <w:tcPr>
            <w:tcW w:w="1701" w:type="dxa"/>
            <w:shd w:val="clear" w:color="auto" w:fill="FFFFFF"/>
          </w:tcPr>
          <w:p w:rsidR="005E1C74" w:rsidRPr="0062297F" w:rsidRDefault="00DB3762" w:rsidP="009A2932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:rsidR="005E1C74" w:rsidRPr="0062297F" w:rsidRDefault="00DB3762" w:rsidP="009A2932">
            <w:pPr>
              <w:pStyle w:val="RollCallTable"/>
            </w:pPr>
            <w:r>
              <w:t>Marc Tarabella</w:t>
            </w:r>
          </w:p>
        </w:tc>
      </w:tr>
      <w:tr w:rsidR="00821780" w:rsidTr="009A2932">
        <w:trPr>
          <w:cantSplit/>
        </w:trPr>
        <w:tc>
          <w:tcPr>
            <w:tcW w:w="1701" w:type="dxa"/>
            <w:shd w:val="clear" w:color="auto" w:fill="FFFFFF"/>
          </w:tcPr>
          <w:p w:rsidR="005E1C74" w:rsidRPr="0062297F" w:rsidRDefault="00DB3762" w:rsidP="009A2932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:rsidR="005E1C74" w:rsidRPr="0062297F" w:rsidRDefault="00DB3762" w:rsidP="009A2932">
            <w:pPr>
              <w:pStyle w:val="RollCallTable"/>
            </w:pPr>
            <w:r>
              <w:t xml:space="preserve">Maria da Graça Carvalho, Christian Doleschal, Anja Haga, Gabriel Mato, Francisco José Millán Mon, Cláudia Monteiro de Aguiar, </w:t>
            </w:r>
            <w:r>
              <w:t>Theodoros Zagorakis</w:t>
            </w:r>
          </w:p>
        </w:tc>
      </w:tr>
      <w:tr w:rsidR="00821780" w:rsidRPr="00DB3762" w:rsidTr="009A2932">
        <w:trPr>
          <w:cantSplit/>
        </w:trPr>
        <w:tc>
          <w:tcPr>
            <w:tcW w:w="1701" w:type="dxa"/>
            <w:shd w:val="clear" w:color="auto" w:fill="FFFFFF"/>
          </w:tcPr>
          <w:p w:rsidR="005E1C74" w:rsidRPr="0062297F" w:rsidRDefault="00DB3762" w:rsidP="009A2932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:rsidR="005E1C74" w:rsidRPr="00DB3762" w:rsidRDefault="00DB3762" w:rsidP="009A2932">
            <w:pPr>
              <w:pStyle w:val="RollCallTable"/>
              <w:rPr>
                <w:lang w:val="nl-NL"/>
              </w:rPr>
            </w:pPr>
            <w:r w:rsidRPr="00DB3762">
              <w:rPr>
                <w:lang w:val="nl-NL"/>
              </w:rPr>
              <w:t>Izaskun Bilbao Barandica, Asger Christensen, Jan Huitema, Pierre Karleskind</w:t>
            </w:r>
          </w:p>
        </w:tc>
      </w:tr>
      <w:tr w:rsidR="00821780" w:rsidRPr="00DB3762" w:rsidTr="009A2932">
        <w:trPr>
          <w:cantSplit/>
        </w:trPr>
        <w:tc>
          <w:tcPr>
            <w:tcW w:w="1701" w:type="dxa"/>
            <w:shd w:val="clear" w:color="auto" w:fill="FFFFFF"/>
          </w:tcPr>
          <w:p w:rsidR="005E1C74" w:rsidRPr="0062297F" w:rsidRDefault="00DB3762" w:rsidP="009A2932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:rsidR="005E1C74" w:rsidRPr="00DB3762" w:rsidRDefault="00DB3762" w:rsidP="009A2932">
            <w:pPr>
              <w:pStyle w:val="RollCallTable"/>
              <w:rPr>
                <w:lang w:val="pt-PT"/>
              </w:rPr>
            </w:pPr>
            <w:r w:rsidRPr="00DB3762">
              <w:rPr>
                <w:lang w:val="pt-PT"/>
              </w:rPr>
              <w:t>Clara Aguilera, João Albuquerque, Pietro Bartolo, Isabel Carvalhais, Predrag Fred Matić</w:t>
            </w:r>
          </w:p>
        </w:tc>
      </w:tr>
      <w:tr w:rsidR="00821780" w:rsidTr="009A2932">
        <w:trPr>
          <w:cantSplit/>
        </w:trPr>
        <w:tc>
          <w:tcPr>
            <w:tcW w:w="1701" w:type="dxa"/>
            <w:shd w:val="clear" w:color="auto" w:fill="FFFFFF"/>
          </w:tcPr>
          <w:p w:rsidR="005E1C74" w:rsidRPr="0062297F" w:rsidRDefault="00DB3762" w:rsidP="009A2932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:rsidR="005E1C74" w:rsidRPr="0062297F" w:rsidRDefault="00DB3762" w:rsidP="009A2932">
            <w:pPr>
              <w:pStyle w:val="RollCallTable"/>
            </w:pPr>
            <w:r>
              <w:t>Anja Hazekamp</w:t>
            </w:r>
          </w:p>
        </w:tc>
      </w:tr>
      <w:tr w:rsidR="00821780" w:rsidRPr="00DB3762" w:rsidTr="009A2932">
        <w:trPr>
          <w:cantSplit/>
        </w:trPr>
        <w:tc>
          <w:tcPr>
            <w:tcW w:w="1701" w:type="dxa"/>
            <w:shd w:val="clear" w:color="auto" w:fill="FFFFFF"/>
          </w:tcPr>
          <w:p w:rsidR="005E1C74" w:rsidRPr="0062297F" w:rsidRDefault="00DB3762" w:rsidP="009A2932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5E1C74" w:rsidRPr="00DB3762" w:rsidRDefault="00DB3762" w:rsidP="009A2932">
            <w:pPr>
              <w:pStyle w:val="RollCallTable"/>
              <w:rPr>
                <w:lang w:val="it-IT"/>
              </w:rPr>
            </w:pPr>
            <w:r w:rsidRPr="00DB3762">
              <w:rPr>
                <w:lang w:val="it-IT"/>
              </w:rPr>
              <w:t xml:space="preserve">Rosa D'Amato, Francisco </w:t>
            </w:r>
            <w:r w:rsidRPr="00DB3762">
              <w:rPr>
                <w:lang w:val="it-IT"/>
              </w:rPr>
              <w:t>Guerreiro, Grace O'Sullivan, Caroline Roose</w:t>
            </w:r>
          </w:p>
        </w:tc>
      </w:tr>
    </w:tbl>
    <w:p w:rsidR="005E1C74" w:rsidRPr="005E1C74" w:rsidRDefault="005E1C74" w:rsidP="005E1C74">
      <w:pPr>
        <w:rPr>
          <w:lang w:val="it-IT"/>
        </w:rPr>
      </w:pP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821780" w:rsidTr="009A2932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5E1C74" w:rsidRPr="0062297F" w:rsidRDefault="00DB3762" w:rsidP="009A2932">
            <w:pPr>
              <w:pStyle w:val="RollCallVotes"/>
            </w:pPr>
            <w:r>
              <w:t>1</w:t>
            </w:r>
          </w:p>
        </w:tc>
        <w:tc>
          <w:tcPr>
            <w:tcW w:w="7371" w:type="dxa"/>
            <w:shd w:val="pct10" w:color="000000" w:fill="FFFFFF"/>
          </w:tcPr>
          <w:p w:rsidR="005E1C74" w:rsidRPr="0062297F" w:rsidRDefault="00DB3762" w:rsidP="009A2932">
            <w:pPr>
              <w:pStyle w:val="RollCallSymbols14pt"/>
            </w:pPr>
            <w:r>
              <w:t>-</w:t>
            </w:r>
          </w:p>
        </w:tc>
      </w:tr>
      <w:tr w:rsidR="00821780" w:rsidTr="009A2932">
        <w:trPr>
          <w:cantSplit/>
        </w:trPr>
        <w:tc>
          <w:tcPr>
            <w:tcW w:w="1701" w:type="dxa"/>
            <w:shd w:val="clear" w:color="auto" w:fill="FFFFFF"/>
          </w:tcPr>
          <w:p w:rsidR="005E1C74" w:rsidRPr="0062297F" w:rsidRDefault="00DB3762" w:rsidP="009A2932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:rsidR="005E1C74" w:rsidRPr="0062297F" w:rsidRDefault="00DB3762" w:rsidP="009A2932">
            <w:pPr>
              <w:pStyle w:val="RollCallTable"/>
            </w:pPr>
            <w:r>
              <w:t>João Pimenta Lopes</w:t>
            </w:r>
          </w:p>
        </w:tc>
      </w:tr>
    </w:tbl>
    <w:p w:rsidR="005E1C74" w:rsidRPr="0062297F" w:rsidRDefault="005E1C74" w:rsidP="005E1C74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821780" w:rsidTr="009A2932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5E1C74" w:rsidRPr="0062297F" w:rsidRDefault="00DB3762" w:rsidP="009A2932">
            <w:pPr>
              <w:pStyle w:val="RollCallVotes"/>
            </w:pPr>
            <w:r>
              <w:t>1</w:t>
            </w:r>
          </w:p>
        </w:tc>
        <w:tc>
          <w:tcPr>
            <w:tcW w:w="7371" w:type="dxa"/>
            <w:shd w:val="pct10" w:color="000000" w:fill="FFFFFF"/>
          </w:tcPr>
          <w:p w:rsidR="005E1C74" w:rsidRPr="0062297F" w:rsidRDefault="00DB3762" w:rsidP="009A2932">
            <w:pPr>
              <w:pStyle w:val="RollCallSymbols14pt"/>
            </w:pPr>
            <w:r>
              <w:t>0</w:t>
            </w:r>
          </w:p>
        </w:tc>
      </w:tr>
      <w:tr w:rsidR="00821780" w:rsidTr="009A2932">
        <w:trPr>
          <w:cantSplit/>
        </w:trPr>
        <w:tc>
          <w:tcPr>
            <w:tcW w:w="1701" w:type="dxa"/>
            <w:shd w:val="clear" w:color="auto" w:fill="FFFFFF"/>
          </w:tcPr>
          <w:p w:rsidR="005E1C74" w:rsidRPr="0062297F" w:rsidRDefault="00DB3762" w:rsidP="009A2932">
            <w:pPr>
              <w:pStyle w:val="RollCallTable"/>
            </w:pPr>
            <w:r>
              <w:t>ID</w:t>
            </w:r>
          </w:p>
        </w:tc>
        <w:tc>
          <w:tcPr>
            <w:tcW w:w="7371" w:type="dxa"/>
            <w:shd w:val="clear" w:color="auto" w:fill="FFFFFF"/>
          </w:tcPr>
          <w:p w:rsidR="005E1C74" w:rsidRPr="0062297F" w:rsidRDefault="00DB3762" w:rsidP="009A2932">
            <w:pPr>
              <w:pStyle w:val="RollCallTable"/>
            </w:pPr>
            <w:r>
              <w:t>Rosanna Conte</w:t>
            </w:r>
          </w:p>
        </w:tc>
      </w:tr>
    </w:tbl>
    <w:p w:rsidR="005E1C74" w:rsidRDefault="005E1C74" w:rsidP="00147FBF">
      <w:pPr>
        <w:pStyle w:val="Normal12a"/>
      </w:pPr>
    </w:p>
    <w:p w:rsidR="005E1C74" w:rsidRDefault="00DB3762" w:rsidP="00B735E3">
      <w:r>
        <w:t>Objaśnienie używanych znaków:</w:t>
      </w:r>
    </w:p>
    <w:p w:rsidR="005E1C74" w:rsidRDefault="00DB3762" w:rsidP="003858C5">
      <w:pPr>
        <w:pStyle w:val="RollCallTabs"/>
      </w:pPr>
      <w:r>
        <w:t>+</w:t>
      </w:r>
      <w:r>
        <w:tab/>
        <w:t>:</w:t>
      </w:r>
      <w:r>
        <w:tab/>
        <w:t>za</w:t>
      </w:r>
    </w:p>
    <w:p w:rsidR="005E1C74" w:rsidRDefault="00DB3762" w:rsidP="003858C5">
      <w:pPr>
        <w:pStyle w:val="RollCallTabs"/>
      </w:pPr>
      <w:r>
        <w:t>-</w:t>
      </w:r>
      <w:r>
        <w:tab/>
        <w:t>:</w:t>
      </w:r>
      <w:r>
        <w:tab/>
        <w:t>przeciw</w:t>
      </w:r>
    </w:p>
    <w:p w:rsidR="005E1C74" w:rsidRDefault="00DB3762" w:rsidP="003858C5">
      <w:pPr>
        <w:pStyle w:val="RollCallTabs"/>
      </w:pPr>
      <w:r>
        <w:t>0</w:t>
      </w:r>
      <w:r>
        <w:tab/>
        <w:t>:</w:t>
      </w:r>
      <w:r>
        <w:tab/>
        <w:t>wstrzymało się</w:t>
      </w:r>
    </w:p>
    <w:p w:rsidR="005E1C74" w:rsidRDefault="005E1C74" w:rsidP="00207509"/>
    <w:bookmarkEnd w:id="3"/>
    <w:p w:rsidR="002E6F98" w:rsidRPr="005E1C74" w:rsidRDefault="002E6F98" w:rsidP="005E1C74"/>
    <w:sectPr w:rsidR="002E6F98" w:rsidRPr="005E1C74" w:rsidSect="005E1C7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B3762">
      <w:r>
        <w:separator/>
      </w:r>
    </w:p>
  </w:endnote>
  <w:endnote w:type="continuationSeparator" w:id="0">
    <w:p w:rsidR="00000000" w:rsidRDefault="00DB3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335" w:rsidRPr="0062297F" w:rsidRDefault="00DB3762" w:rsidP="00DC5335">
    <w:pPr>
      <w:pStyle w:val="EPFooter"/>
    </w:pPr>
    <w:r w:rsidRPr="0062297F">
      <w:t>PE</w:t>
    </w:r>
    <w:r w:rsidRPr="0062297F">
      <w:rPr>
        <w:rStyle w:val="HideTWBExt"/>
      </w:rPr>
      <w:t>&lt;NoPE&gt;</w:t>
    </w:r>
    <w:r w:rsidRPr="0062297F">
      <w:t>756.035</w:t>
    </w:r>
    <w:r w:rsidRPr="0062297F">
      <w:rPr>
        <w:rStyle w:val="HideTWBExt"/>
      </w:rPr>
      <w:t>&lt;/NoPE&gt;&lt;Version&gt;</w:t>
    </w:r>
    <w:r w:rsidRPr="0062297F">
      <w:t>v05-00</w:t>
    </w:r>
    <w:r w:rsidRPr="0062297F">
      <w:rPr>
        <w:rStyle w:val="HideTWBExt"/>
      </w:rPr>
      <w:t>&lt;/Version&gt;</w:t>
    </w:r>
    <w:r w:rsidRPr="0062297F">
      <w:tab/>
    </w:r>
    <w:r w:rsidRPr="0062297F">
      <w:fldChar w:fldCharType="begin"/>
    </w:r>
    <w:r w:rsidRPr="0062297F">
      <w:instrText xml:space="preserve"> PAGE  \* MERGEFORMAT </w:instrText>
    </w:r>
    <w:r w:rsidRPr="0062297F">
      <w:fldChar w:fldCharType="separate"/>
    </w:r>
    <w:r>
      <w:rPr>
        <w:noProof/>
      </w:rPr>
      <w:t>8</w:t>
    </w:r>
    <w:r w:rsidRPr="0062297F">
      <w:fldChar w:fldCharType="end"/>
    </w:r>
    <w:r w:rsidRPr="0062297F">
      <w:t>/</w:t>
    </w:r>
    <w:r w:rsidR="005E1C74">
      <w:fldChar w:fldCharType="begin"/>
    </w:r>
    <w:r>
      <w:instrText xml:space="preserve"> NUMPAGES  \* MERGEFORMAT </w:instrText>
    </w:r>
    <w:r w:rsidR="005E1C74">
      <w:fldChar w:fldCharType="separate"/>
    </w:r>
    <w:r>
      <w:rPr>
        <w:noProof/>
      </w:rPr>
      <w:t>8</w:t>
    </w:r>
    <w:r w:rsidR="005E1C74">
      <w:rPr>
        <w:noProof/>
      </w:rPr>
      <w:fldChar w:fldCharType="end"/>
    </w:r>
    <w:r w:rsidRPr="0062297F">
      <w:tab/>
    </w:r>
    <w:r w:rsidRPr="0062297F">
      <w:rPr>
        <w:rStyle w:val="HideTWBExt"/>
      </w:rPr>
      <w:t>&lt;PathFdR&gt;</w:t>
    </w:r>
    <w:r w:rsidRPr="0062297F">
      <w:t>AD\1295229PL.docx</w:t>
    </w:r>
    <w:r w:rsidRPr="0062297F">
      <w:rPr>
        <w:rStyle w:val="HideTWBExt"/>
      </w:rPr>
      <w:t>&lt;/PathFdR&gt;</w:t>
    </w:r>
  </w:p>
  <w:p w:rsidR="002E2F2E" w:rsidRPr="0062297F" w:rsidRDefault="00DB3762" w:rsidP="00DC5335">
    <w:pPr>
      <w:pStyle w:val="EPFooter2"/>
    </w:pPr>
    <w:r w:rsidRPr="0062297F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335" w:rsidRPr="0062297F" w:rsidRDefault="00DB3762" w:rsidP="00DC5335">
    <w:pPr>
      <w:pStyle w:val="EPFooter"/>
    </w:pPr>
    <w:r w:rsidRPr="0062297F">
      <w:rPr>
        <w:rStyle w:val="HideTWBExt"/>
      </w:rPr>
      <w:t>&lt;PathFdR&gt;</w:t>
    </w:r>
    <w:r w:rsidRPr="0062297F">
      <w:t>AD\1295229PL.docx</w:t>
    </w:r>
    <w:r w:rsidRPr="0062297F">
      <w:rPr>
        <w:rStyle w:val="HideTWBExt"/>
      </w:rPr>
      <w:t>&lt;/PathFdR&gt;</w:t>
    </w:r>
    <w:r w:rsidRPr="0062297F">
      <w:tab/>
    </w:r>
    <w:r w:rsidRPr="0062297F">
      <w:fldChar w:fldCharType="begin"/>
    </w:r>
    <w:r w:rsidRPr="0062297F">
      <w:instrText xml:space="preserve"> PAGE  \* MERGEFORMAT </w:instrText>
    </w:r>
    <w:r w:rsidRPr="0062297F">
      <w:fldChar w:fldCharType="separate"/>
    </w:r>
    <w:r>
      <w:rPr>
        <w:noProof/>
      </w:rPr>
      <w:t>8</w:t>
    </w:r>
    <w:r w:rsidRPr="0062297F">
      <w:fldChar w:fldCharType="end"/>
    </w:r>
    <w:r w:rsidRPr="0062297F">
      <w:t>/</w:t>
    </w:r>
    <w:r w:rsidR="005E1C74">
      <w:fldChar w:fldCharType="begin"/>
    </w:r>
    <w:r>
      <w:instrText xml:space="preserve"> NUMPAGES  \* MERGEFORMAT </w:instrText>
    </w:r>
    <w:r w:rsidR="005E1C74">
      <w:fldChar w:fldCharType="separate"/>
    </w:r>
    <w:r>
      <w:rPr>
        <w:noProof/>
      </w:rPr>
      <w:t>8</w:t>
    </w:r>
    <w:r w:rsidR="005E1C74">
      <w:rPr>
        <w:noProof/>
      </w:rPr>
      <w:fldChar w:fldCharType="end"/>
    </w:r>
    <w:r w:rsidRPr="0062297F">
      <w:tab/>
      <w:t>PE</w:t>
    </w:r>
    <w:r w:rsidRPr="0062297F">
      <w:rPr>
        <w:rStyle w:val="HideTWBExt"/>
      </w:rPr>
      <w:t>&lt;NoPE&gt;</w:t>
    </w:r>
    <w:r w:rsidRPr="0062297F">
      <w:t>756.035</w:t>
    </w:r>
    <w:r w:rsidRPr="0062297F">
      <w:rPr>
        <w:rStyle w:val="HideTWBExt"/>
      </w:rPr>
      <w:t>&lt;/NoPE&gt;&lt;Version&gt;</w:t>
    </w:r>
    <w:r w:rsidRPr="0062297F">
      <w:t>v05-00</w:t>
    </w:r>
    <w:r w:rsidRPr="0062297F">
      <w:rPr>
        <w:rStyle w:val="HideTWBExt"/>
      </w:rPr>
      <w:t>&lt;/Version&gt;</w:t>
    </w:r>
  </w:p>
  <w:p w:rsidR="002E2F2E" w:rsidRPr="0062297F" w:rsidRDefault="00DB3762" w:rsidP="00DC5335">
    <w:pPr>
      <w:pStyle w:val="EPFooter2"/>
    </w:pPr>
    <w:r w:rsidRPr="0062297F">
      <w:tab/>
    </w:r>
    <w:r w:rsidRPr="0062297F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335" w:rsidRPr="0062297F" w:rsidRDefault="00DB3762" w:rsidP="00DC5335">
    <w:pPr>
      <w:pStyle w:val="EPFooter"/>
    </w:pPr>
    <w:r w:rsidRPr="0062297F">
      <w:rPr>
        <w:rStyle w:val="HideTWBExt"/>
      </w:rPr>
      <w:t>&lt;PathFdR&gt;</w:t>
    </w:r>
    <w:r w:rsidRPr="0062297F">
      <w:t>AD\1295229PL.docx</w:t>
    </w:r>
    <w:r w:rsidRPr="0062297F">
      <w:rPr>
        <w:rStyle w:val="HideTWBExt"/>
      </w:rPr>
      <w:t>&lt;/PathFdR&gt;</w:t>
    </w:r>
    <w:r w:rsidRPr="0062297F">
      <w:tab/>
    </w:r>
    <w:r w:rsidRPr="0062297F">
      <w:tab/>
      <w:t>PE</w:t>
    </w:r>
    <w:r w:rsidRPr="0062297F">
      <w:rPr>
        <w:rStyle w:val="HideTWBExt"/>
      </w:rPr>
      <w:t>&lt;NoPE&gt;</w:t>
    </w:r>
    <w:r w:rsidRPr="0062297F">
      <w:t>756.035</w:t>
    </w:r>
    <w:r w:rsidRPr="0062297F">
      <w:rPr>
        <w:rStyle w:val="HideTWBExt"/>
      </w:rPr>
      <w:t>&lt;/NoPE&gt;&lt;Version&gt;</w:t>
    </w:r>
    <w:r w:rsidRPr="0062297F">
      <w:t>v05-00</w:t>
    </w:r>
    <w:r w:rsidRPr="0062297F">
      <w:rPr>
        <w:rStyle w:val="HideTWBExt"/>
      </w:rPr>
      <w:t>&lt;/Version&gt;</w:t>
    </w:r>
  </w:p>
  <w:p w:rsidR="002E2F2E" w:rsidRPr="0062297F" w:rsidRDefault="00DB3762" w:rsidP="00DC5335">
    <w:pPr>
      <w:pStyle w:val="EPFooter2"/>
    </w:pPr>
    <w:r w:rsidRPr="0062297F">
      <w:t>PL</w:t>
    </w:r>
    <w:r w:rsidRPr="0062297F">
      <w:tab/>
    </w:r>
    <w:r w:rsidRPr="0062297F">
      <w:rPr>
        <w:b w:val="0"/>
        <w:i/>
        <w:color w:val="C0C0C0"/>
        <w:sz w:val="22"/>
      </w:rPr>
      <w:t>Zjednoczona w różnorodności</w:t>
    </w:r>
    <w:r w:rsidRPr="0062297F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B3762">
      <w:r>
        <w:separator/>
      </w:r>
    </w:p>
  </w:footnote>
  <w:footnote w:type="continuationSeparator" w:id="0">
    <w:p w:rsidR="00000000" w:rsidRDefault="00DB3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C74" w:rsidRDefault="005E1C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C74" w:rsidRDefault="005E1C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C74" w:rsidRDefault="005E1C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DOCDECMNU" w:val=" 1"/>
    <w:docVar w:name="AUTHORMFMNU" w:val=" 1"/>
    <w:docVar w:name="CJMNU" w:val="1"/>
    <w:docVar w:name="CODEMNU" w:val=" 7"/>
    <w:docVar w:name="COM2KEY" w:val="BUDG"/>
    <w:docVar w:name="COMKEY" w:val="PECH"/>
    <w:docVar w:name="CONTRIBUTIONMNU" w:val=" 2"/>
    <w:docVar w:name="FONCTIONMNU" w:val=" 1"/>
    <w:docVar w:name="LastAMInserted" w:val="6"/>
    <w:docVar w:name="LastEditedSection" w:val=" 3"/>
    <w:docVar w:name="NumberAMInserted" w:val="6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26\fbidi \froman\fcharset238\fprq2 Times New Roman CE;}{\f327\fbidi \froman\fcharset204\fprq2 Times New Roman Cyr;}_x000d__x000a_{\f329\fbidi \froman\fcharset161\fprq2 Times New Roman Greek;}{\f330\fbidi \froman\fcharset162\fprq2 Times New Roman Tur;}{\f331\fbidi \froman\fcharset177\fprq2 Times New Roman (Hebrew);}{\f332\fbidi \froman\fcharset178\fprq2 Times New Roman (Arabic);}_x000d__x000a_{\f333\fbidi \froman\fcharset186\fprq2 Times New Roman Baltic;}{\f334\fbidi \froman\fcharset163\fprq2 Times New Roman (Vietnamese);}{\f336\fbidi \fswiss\fcharset238\fprq2 Arial CE;}{\f337\fbidi \fswiss\fcharset204\fprq2 Arial Cyr;}_x000d__x000a_{\f339\fbidi \fswiss\fcharset161\fprq2 Arial Greek;}{\f340\fbidi \fswiss\fcharset162\fprq2 Arial Tur;}{\f341\fbidi \fswiss\fcharset177\fprq2 Arial (Hebrew);}{\f342\fbidi \fswiss\fcharset178\fprq2 Arial (Arabic);}_x000d__x000a_{\f343\fbidi \fswiss\fcharset186\fprq2 Arial Baltic;}{\f344\fbidi \fswiss\fcharset163\fprq2 Arial (Vietnamese);}{\f666\fbidi \froman\fcharset238\fprq2 Cambria Math CE;}{\f667\fbidi \froman\fcharset204\fprq2 Cambria Math Cyr;}_x000d__x000a_{\f669\fbidi \froman\fcharset161\fprq2 Cambria Math Greek;}{\f670\fbidi \froman\fcharset162\fprq2 Cambria Math Tur;}{\f673\fbidi \froman\fcharset186\fprq2 Cambria Math Baltic;}{\f67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7873064 HideTWBInt;}{_x000d__x000a_\s18\ql \fi-567\li567\ri0\sa240\nowidctlpar\wrapdefault\aspalpha\aspnum\faauto\adjustright\rin0\lin567\itap0 \rtlch\fcs1 \af0\afs20\alang1025 \ltrch\fcs0 \fs24\lang2057\langfe2057\cgrid\langnp2057\langfenp2057 _x000d__x000a_\sbasedon0 \snext18 \spriority0 \styrsid7873064 NormalHanging12a;}}{\*\rsidtbl \rsid24658\rsid223860\rsid735077\rsid1718133\rsid2850709\rsid2892074\rsid3565327\rsid4666813\rsid6641733\rsid7823322\rsid7873064\rsid9636012\rsid10377208\rsid11215221_x000d__x000a_\rsid11549030\rsid12154954\rsid14382809\rsid14424199\rsid15204470\rsid15285974\rsid15950462\rsid16324206\rsid16662270}{\mmathPr\mmathFont34\mbrkBin0\mbrkBinSub0\msmallFrac0\mdispDef1\mlMargin0\mrMargin0\mdefJc1\mwrapIndent1440\mintLim0\mnaryLim1}{\info_x000d__x000a_{\author NENICKOVA Sylvia}{\operator NENICKOVA Sylvia}{\creatim\yr2024\mo1\dy19\hr12\min54}{\revtim\yr2024\mo1\dy19\hr12\min54}{\version1}{\edmins0}{\nofpages1}{\nofwords2}{\nofchars11}{\nofcharsws12}{\vern109}}{\*\xmlnstbl {\xmlns1 http://schemas.microso_x000d__x000a_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87306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SNENIC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85070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85070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85070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85070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7873064 \rtlch\fcs1 \af0\afs20\alang1025 \ltrch\fcs0 \fs24\lang2057\langfe2057\cgrid\langnp2057\langfenp2057 {\rtlch\fcs1 \af0 _x000d__x000a_\ltrch\fcs0 \insrsid7873064\charrsid16146164 {\*\bkmkstart restart}#}{\rtlch\fcs1 \af1 \ltrch\fcs0 \cs17\v\f1\fs20\cf15\insrsid7873064\charrsid16146164 NRMSG}{\rtlch\fcs1 \af0 \ltrch\fcs0 \insrsid7873064\charrsid16146164 #.\tab ##}{\rtlch\fcs1 \af0 _x000d__x000a_\ltrch\fcs0 \insrsid7873064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8_x000d__x000a_d833ce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26\fbidi \froman\fcharset238\fprq2 Times New Roman CE;}{\f327\fbidi \froman\fcharset204\fprq2 Times New Roman Cyr;}_x000d__x000a_{\f329\fbidi \froman\fcharset161\fprq2 Times New Roman Greek;}{\f330\fbidi \froman\fcharset162\fprq2 Times New Roman Tur;}{\f331\fbidi \froman\fcharset177\fprq2 Times New Roman (Hebrew);}{\f332\fbidi \froman\fcharset178\fprq2 Times New Roman (Arabic);}_x000d__x000a_{\f333\fbidi \froman\fcharset186\fprq2 Times New Roman Baltic;}{\f334\fbidi \froman\fcharset163\fprq2 Times New Roman (Vietnamese);}{\f666\fbidi \froman\fcharset238\fprq2 Cambria Math CE;}{\f667\fbidi \froman\fcharset204\fprq2 Cambria Math Cyr;}_x000d__x000a_{\f669\fbidi \froman\fcharset161\fprq2 Cambria Math Greek;}{\f670\fbidi \froman\fcharset162\fprq2 Cambria Math Tur;}{\f673\fbidi \froman\fcharset186\fprq2 Cambria Math Baltic;}{\f67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s17\ql \fi-567\li567\ri0\sa240\nowidctlpar\wrapdefault\aspalpha\aspnum\faauto\adjustright\rin0\lin567\itap0 \rtlch\fcs1 \af0\afs20\alang1025 \ltrch\fcs0 _x000d__x000a_\fs24\lang2057\langfe2057\cgrid\langnp2057\langfenp2057 \sbasedon0 \snext17 \spriority0 \styrsid12387714 NormalHanging12a;}}{\*\rsidtbl \rsid24658\rsid223860\rsid735077\rsid1718133\rsid2892074\rsid3565327\rsid4666813\rsid6641733\rsid7823322\rsid9636012_x000d__x000a_\rsid10377208\rsid11215221\rsid11549030\rsid11554268\rsid12154954\rsid12387714\rsid14382809\rsid14424199\rsid15204470\rsid15285974\rsid15950462\rsid16324206\rsid16662270}{\mmathPr\mmathFont34\mbrkBin0\mbrkBinSub0\msmallFrac0\mdispDef1\mlMargin0\mrMargin0_x000d__x000a_\mdefJc1\mwrapIndent1440\mintLim0\mnaryLim1}{\info{\author NENICKOVA Sylvia}{\operator NENICKOVA Sylvia}{\creatim\yr2024\mo1\dy19\hr12\min54}{\revtim\yr2024\mo1\dy19\hr12\min54}{\version1}{\edmins0}{\nofpages1}{\nofwords5}{\nofchars30}{\nofcharsws34}_x000d__x000a_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38771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SNENIC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55426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55426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55426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55426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7\ql \fi-567\li567\ri0\sa240\nowidctlpar\wrapdefault\aspalpha\aspnum\faauto\adjustright\rin0\lin567\itap0\pararsid12387714 \rtlch\fcs1 \af0\afs20\alang1025 \ltrch\fcs0 \fs24\lang2057\langfe2057\cgrid\langnp2057\langfenp2057 {\rtlch\fcs1 \af0 _x000d__x000a_\ltrch\fcs0 \insrsid12387714\charrsid1525456 {\*\bkmkstart restart}[ZSUGGESTIONNR]\tab [ZSUGGESTIONTEXT]}{\rtlch\fcs1 \af0 \ltrch\fcs0 \insrsid12387714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ab_x000d__x000a_5836ce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NonLeg"/>
    <w:docVar w:name="strSubDir" w:val="1295"/>
    <w:docVar w:name="TXTLANGUE" w:val="PL"/>
    <w:docVar w:name="TXTLANGUEMIN" w:val="pl"/>
    <w:docVar w:name="TXTNRPE" w:val="756.035"/>
    <w:docVar w:name="TXTNRPROC" w:val="2023/2150"/>
    <w:docVar w:name="TXTPEorAP" w:val="PE"/>
    <w:docVar w:name="TXTROUTE" w:val="AD\1295229PL.docx"/>
    <w:docVar w:name="TXTTITLE" w:val="of the European Fisheries Control Agency for the financial year 2022"/>
    <w:docVar w:name="TXTVERSION" w:val="05-00"/>
  </w:docVars>
  <w:rsids>
    <w:rsidRoot w:val="00F65EF4"/>
    <w:rsid w:val="00005C7E"/>
    <w:rsid w:val="0000698F"/>
    <w:rsid w:val="00024879"/>
    <w:rsid w:val="00026116"/>
    <w:rsid w:val="00037518"/>
    <w:rsid w:val="00080114"/>
    <w:rsid w:val="00084968"/>
    <w:rsid w:val="000D415D"/>
    <w:rsid w:val="000D5CCB"/>
    <w:rsid w:val="000E0CEE"/>
    <w:rsid w:val="000E7EBF"/>
    <w:rsid w:val="00124F60"/>
    <w:rsid w:val="00135121"/>
    <w:rsid w:val="00140BE6"/>
    <w:rsid w:val="00147F4E"/>
    <w:rsid w:val="00147FBF"/>
    <w:rsid w:val="0016302D"/>
    <w:rsid w:val="0016635E"/>
    <w:rsid w:val="001746D0"/>
    <w:rsid w:val="00186F8F"/>
    <w:rsid w:val="001B17EF"/>
    <w:rsid w:val="001B7393"/>
    <w:rsid w:val="001D2ED9"/>
    <w:rsid w:val="001F21C1"/>
    <w:rsid w:val="00207509"/>
    <w:rsid w:val="00243CFF"/>
    <w:rsid w:val="002B2C72"/>
    <w:rsid w:val="002D28A7"/>
    <w:rsid w:val="002E2F2E"/>
    <w:rsid w:val="002E6F98"/>
    <w:rsid w:val="00325BCB"/>
    <w:rsid w:val="00331944"/>
    <w:rsid w:val="00332AD9"/>
    <w:rsid w:val="003408A7"/>
    <w:rsid w:val="00347D2C"/>
    <w:rsid w:val="00367768"/>
    <w:rsid w:val="0037356F"/>
    <w:rsid w:val="003858C5"/>
    <w:rsid w:val="00390EB2"/>
    <w:rsid w:val="00396A0E"/>
    <w:rsid w:val="003E2402"/>
    <w:rsid w:val="003E481A"/>
    <w:rsid w:val="00417526"/>
    <w:rsid w:val="00421A6E"/>
    <w:rsid w:val="00440C88"/>
    <w:rsid w:val="004C28FB"/>
    <w:rsid w:val="004C44C0"/>
    <w:rsid w:val="004D5D62"/>
    <w:rsid w:val="004F21A8"/>
    <w:rsid w:val="0052544E"/>
    <w:rsid w:val="005417FB"/>
    <w:rsid w:val="005940C3"/>
    <w:rsid w:val="00594C48"/>
    <w:rsid w:val="005B2F11"/>
    <w:rsid w:val="005C0BDF"/>
    <w:rsid w:val="005C44F5"/>
    <w:rsid w:val="005D60C6"/>
    <w:rsid w:val="005E1C74"/>
    <w:rsid w:val="006102E7"/>
    <w:rsid w:val="00615055"/>
    <w:rsid w:val="0062297F"/>
    <w:rsid w:val="00640C1B"/>
    <w:rsid w:val="00655A3A"/>
    <w:rsid w:val="00657AFB"/>
    <w:rsid w:val="006D5BF7"/>
    <w:rsid w:val="0074576A"/>
    <w:rsid w:val="007856FA"/>
    <w:rsid w:val="007A7D77"/>
    <w:rsid w:val="007E2D79"/>
    <w:rsid w:val="00802770"/>
    <w:rsid w:val="00813E26"/>
    <w:rsid w:val="00816E85"/>
    <w:rsid w:val="00821780"/>
    <w:rsid w:val="008313E7"/>
    <w:rsid w:val="00854CAC"/>
    <w:rsid w:val="008A32C5"/>
    <w:rsid w:val="008A4A5F"/>
    <w:rsid w:val="008C6203"/>
    <w:rsid w:val="008D578F"/>
    <w:rsid w:val="008D61E7"/>
    <w:rsid w:val="008F7002"/>
    <w:rsid w:val="00902EC5"/>
    <w:rsid w:val="0096573E"/>
    <w:rsid w:val="0099178F"/>
    <w:rsid w:val="0099493F"/>
    <w:rsid w:val="009A2932"/>
    <w:rsid w:val="009C6E8C"/>
    <w:rsid w:val="00A045C7"/>
    <w:rsid w:val="00A16BEA"/>
    <w:rsid w:val="00A201E5"/>
    <w:rsid w:val="00A312B3"/>
    <w:rsid w:val="00A72C35"/>
    <w:rsid w:val="00AD5932"/>
    <w:rsid w:val="00AE180F"/>
    <w:rsid w:val="00B00772"/>
    <w:rsid w:val="00B10994"/>
    <w:rsid w:val="00B121FE"/>
    <w:rsid w:val="00B22175"/>
    <w:rsid w:val="00B31243"/>
    <w:rsid w:val="00B362F7"/>
    <w:rsid w:val="00B5456B"/>
    <w:rsid w:val="00B735E3"/>
    <w:rsid w:val="00B74B53"/>
    <w:rsid w:val="00BC26E4"/>
    <w:rsid w:val="00BD1EAA"/>
    <w:rsid w:val="00C16975"/>
    <w:rsid w:val="00C16D51"/>
    <w:rsid w:val="00C36610"/>
    <w:rsid w:val="00C52739"/>
    <w:rsid w:val="00C809EB"/>
    <w:rsid w:val="00C827FF"/>
    <w:rsid w:val="00C85D0F"/>
    <w:rsid w:val="00CD34AC"/>
    <w:rsid w:val="00CE2416"/>
    <w:rsid w:val="00CF0298"/>
    <w:rsid w:val="00D920ED"/>
    <w:rsid w:val="00DB1F90"/>
    <w:rsid w:val="00DB3762"/>
    <w:rsid w:val="00DC5335"/>
    <w:rsid w:val="00DE19FF"/>
    <w:rsid w:val="00DE723A"/>
    <w:rsid w:val="00E51281"/>
    <w:rsid w:val="00E81BA6"/>
    <w:rsid w:val="00E856D2"/>
    <w:rsid w:val="00E929A7"/>
    <w:rsid w:val="00E96835"/>
    <w:rsid w:val="00ED22F0"/>
    <w:rsid w:val="00ED6F87"/>
    <w:rsid w:val="00F33649"/>
    <w:rsid w:val="00F63B65"/>
    <w:rsid w:val="00F65EF4"/>
    <w:rsid w:val="00F828BD"/>
    <w:rsid w:val="00FC6460"/>
    <w:rsid w:val="00FD0D14"/>
    <w:rsid w:val="00FD4BC4"/>
    <w:rsid w:val="00FE4012"/>
    <w:rsid w:val="00FE57BC"/>
    <w:rsid w:val="00FE6947"/>
    <w:rsid w:val="00FF1135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F79F43"/>
  <w15:chartTrackingRefBased/>
  <w15:docId w15:val="{A4A2BEF9-5015-4B68-813C-79803BB6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B10994"/>
    <w:rPr>
      <w:sz w:val="24"/>
    </w:rPr>
  </w:style>
  <w:style w:type="paragraph" w:styleId="Footer">
    <w:name w:val="footer"/>
    <w:basedOn w:val="Normal"/>
    <w:link w:val="FooterChar"/>
    <w:semiHidden/>
    <w:rsid w:val="00FE57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E57BC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7E2D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E2D79"/>
    <w:rPr>
      <w:rFonts w:ascii="Segoe UI" w:hAnsi="Segoe UI" w:cs="Segoe UI"/>
      <w:sz w:val="18"/>
      <w:szCs w:val="18"/>
    </w:rPr>
  </w:style>
  <w:style w:type="paragraph" w:customStyle="1" w:styleId="Normal24a">
    <w:name w:val="Normal24a"/>
    <w:basedOn w:val="Normal"/>
    <w:rsid w:val="003E481A"/>
    <w:pPr>
      <w:spacing w:after="480"/>
    </w:pPr>
  </w:style>
  <w:style w:type="paragraph" w:customStyle="1" w:styleId="NormalBoldCenter">
    <w:name w:val="NormalBoldCenter"/>
    <w:basedOn w:val="Normal"/>
    <w:rsid w:val="003E481A"/>
    <w:pPr>
      <w:jc w:val="center"/>
    </w:pPr>
    <w:rPr>
      <w:b/>
    </w:rPr>
  </w:style>
  <w:style w:type="paragraph" w:customStyle="1" w:styleId="RollCallSymbols14pt">
    <w:name w:val="RollCallSymbols14pt"/>
    <w:basedOn w:val="Normal"/>
    <w:rsid w:val="000D415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D415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D415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D415D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639E1-11AB-4B62-AB0D-D4382D3E9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1181</Words>
  <Characters>7563</Characters>
  <Application>Microsoft Office Word</Application>
  <DocSecurity>0</DocSecurity>
  <Lines>190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creator>European Parliament</dc:creator>
  <cp:lastModifiedBy>European Parliament</cp:lastModifiedBy>
  <cp:revision>2</cp:revision>
  <cp:lastPrinted>2004-10-28T10:33:00Z</cp:lastPrinted>
  <dcterms:created xsi:type="dcterms:W3CDTF">2024-02-07T09:08:00Z</dcterms:created>
  <dcterms:modified xsi:type="dcterms:W3CDTF">2024-02-07T09:08:00Z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1295229</vt:lpwstr>
  </property>
  <property fmtid="{D5CDD505-2E9C-101B-9397-08002B2CF9AE}" pid="4" name="&lt;Model&gt;">
    <vt:lpwstr>PA_NonLeg</vt:lpwstr>
  </property>
  <property fmtid="{D5CDD505-2E9C-101B-9397-08002B2CF9AE}" pid="5" name="&lt;ModelCod&gt;">
    <vt:lpwstr>\\eiciBRUpr1\pdocep$\DocEP\DOCS\General\PA\PA_NonLeg\PA_NonLeg.dotx(18/09/2023 10:25:02)</vt:lpwstr>
  </property>
  <property fmtid="{D5CDD505-2E9C-101B-9397-08002B2CF9AE}" pid="6" name="&lt;ModelTra&gt;">
    <vt:lpwstr>\\eiciBRUpr1\pdocep$\DocEP\TRANSFIL\EN\PA_NonLeg.EN(18/09/2023 10:08:01)</vt:lpwstr>
  </property>
  <property fmtid="{D5CDD505-2E9C-101B-9397-08002B2CF9AE}" pid="7" name="&lt;Type&gt;">
    <vt:lpwstr>AD</vt:lpwstr>
  </property>
  <property fmtid="{D5CDD505-2E9C-101B-9397-08002B2CF9AE}" pid="8" name="Created with">
    <vt:lpwstr>9.16.1 Build [20230920]</vt:lpwstr>
  </property>
  <property fmtid="{D5CDD505-2E9C-101B-9397-08002B2CF9AE}" pid="9" name="FooterPath">
    <vt:lpwstr>AD\1295229PL.docx</vt:lpwstr>
  </property>
  <property fmtid="{D5CDD505-2E9C-101B-9397-08002B2CF9AE}" pid="10" name="LastEdited with">
    <vt:lpwstr>9.17.1 Build [20240111]</vt:lpwstr>
  </property>
  <property fmtid="{D5CDD505-2E9C-101B-9397-08002B2CF9AE}" pid="11" name="PE number">
    <vt:lpwstr>756.035</vt:lpwstr>
  </property>
  <property fmtid="{D5CDD505-2E9C-101B-9397-08002B2CF9AE}" pid="12" name="SDLStudio">
    <vt:lpwstr/>
  </property>
  <property fmtid="{D5CDD505-2E9C-101B-9397-08002B2CF9AE}" pid="13" name="SendToEpades">
    <vt:lpwstr>OK - 2024/01/25 13:38</vt:lpwstr>
  </property>
  <property fmtid="{D5CDD505-2E9C-101B-9397-08002B2CF9AE}" pid="14" name="Bookout">
    <vt:lpwstr>OK - 2024/02/07 10:08</vt:lpwstr>
  </property>
</Properties>
</file>