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D4C6B" w:rsidTr="00C85D0F">
        <w:trPr>
          <w:trHeight w:hRule="exact" w:val="1418"/>
        </w:trPr>
        <w:tc>
          <w:tcPr>
            <w:tcW w:w="6804" w:type="dxa"/>
            <w:shd w:val="clear" w:color="auto" w:fill="auto"/>
            <w:vAlign w:val="center"/>
          </w:tcPr>
          <w:p w:rsidR="00BA3E40" w:rsidRPr="00DE79FA" w:rsidRDefault="008A0CBA" w:rsidP="00C85D0F">
            <w:pPr>
              <w:pStyle w:val="EPName"/>
            </w:pPr>
            <w:bookmarkStart w:id="0" w:name="_GoBack"/>
            <w:bookmarkEnd w:id="0"/>
            <w:r>
              <w:t>Europos Parlamentas</w:t>
            </w:r>
          </w:p>
          <w:p w:rsidR="00BA3E40" w:rsidRPr="00DE79FA" w:rsidRDefault="008A0CBA" w:rsidP="00C85D0F">
            <w:pPr>
              <w:pStyle w:val="EPTerm"/>
            </w:pPr>
            <w:r>
              <w:t>2024-2029</w:t>
            </w:r>
          </w:p>
        </w:tc>
        <w:tc>
          <w:tcPr>
            <w:tcW w:w="2268" w:type="dxa"/>
            <w:shd w:val="clear" w:color="auto" w:fill="auto"/>
          </w:tcPr>
          <w:p w:rsidR="00BA3E40" w:rsidRPr="00DE79FA" w:rsidRDefault="008A0CBA" w:rsidP="00C85D0F">
            <w:pPr>
              <w:pStyle w:val="EPLogo"/>
            </w:pPr>
            <w:r w:rsidRPr="00DE79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E79FA" w:rsidRDefault="00F24D40" w:rsidP="00F24D40">
      <w:pPr>
        <w:pStyle w:val="LineTop"/>
      </w:pPr>
    </w:p>
    <w:p w:rsidR="00F24D40" w:rsidRPr="00DE79FA" w:rsidRDefault="008A0CBA" w:rsidP="00F24D40">
      <w:pPr>
        <w:pStyle w:val="EPBody"/>
      </w:pPr>
      <w:r>
        <w:rPr>
          <w:rStyle w:val="HideTWBExt"/>
        </w:rPr>
        <w:t>&lt;</w:t>
      </w:r>
      <w:r>
        <w:rPr>
          <w:rStyle w:val="HideTWBExt"/>
          <w:i w:val="0"/>
        </w:rPr>
        <w:t>Commission</w:t>
      </w:r>
      <w:r>
        <w:rPr>
          <w:rStyle w:val="HideTWBExt"/>
        </w:rPr>
        <w:t>&gt;</w:t>
      </w:r>
      <w:r>
        <w:rPr>
          <w:rStyle w:val="HideTWBInt"/>
          <w:color w:val="auto"/>
        </w:rPr>
        <w:t>{PECH}</w:t>
      </w:r>
      <w:r>
        <w:t>Žuvininkystės komitetas</w:t>
      </w:r>
      <w:r>
        <w:rPr>
          <w:rStyle w:val="HideTWBExt"/>
        </w:rPr>
        <w:t>&lt;/</w:t>
      </w:r>
      <w:r>
        <w:rPr>
          <w:rStyle w:val="HideTWBExt"/>
          <w:i w:val="0"/>
        </w:rPr>
        <w:t>Commission</w:t>
      </w:r>
      <w:r>
        <w:rPr>
          <w:rStyle w:val="HideTWBExt"/>
        </w:rPr>
        <w:t>&gt;</w:t>
      </w:r>
    </w:p>
    <w:p w:rsidR="00F24D40" w:rsidRPr="00DE79FA" w:rsidRDefault="00F24D40" w:rsidP="00F24D40">
      <w:pPr>
        <w:pStyle w:val="LineBottom"/>
      </w:pPr>
    </w:p>
    <w:p w:rsidR="00DB56E4" w:rsidRPr="00DE79FA" w:rsidRDefault="008A0CBA" w:rsidP="00DB56E4">
      <w:pPr>
        <w:pStyle w:val="CoverReference"/>
      </w:pPr>
      <w:r>
        <w:rPr>
          <w:rStyle w:val="HideTWBExt"/>
          <w:b w:val="0"/>
        </w:rPr>
        <w:t>&lt;RefProc&gt;</w:t>
      </w:r>
      <w:r>
        <w:t>2025/0090</w:t>
      </w:r>
      <w:r>
        <w:rPr>
          <w:rStyle w:val="HideTWBExt"/>
          <w:b w:val="0"/>
        </w:rPr>
        <w:t>&lt;/RefProc&gt;&lt;RefTypeProc&gt;</w:t>
      </w:r>
      <w:r>
        <w:t>(COD)</w:t>
      </w:r>
      <w:r>
        <w:rPr>
          <w:rStyle w:val="HideTWBExt"/>
          <w:b w:val="0"/>
        </w:rPr>
        <w:t>&lt;/RefTypeProc&gt;</w:t>
      </w:r>
    </w:p>
    <w:p w:rsidR="00DB56E4" w:rsidRPr="00DE79FA" w:rsidRDefault="008A0CBA" w:rsidP="00DB56E4">
      <w:pPr>
        <w:pStyle w:val="CoverDate"/>
      </w:pPr>
      <w:r>
        <w:rPr>
          <w:rStyle w:val="HideTWBExt"/>
        </w:rPr>
        <w:t>&lt;Date&gt;</w:t>
      </w:r>
      <w:r>
        <w:rPr>
          <w:rStyle w:val="HideTWBInt"/>
          <w:color w:val="auto"/>
        </w:rPr>
        <w:t>{17/10/2025}</w:t>
      </w:r>
      <w:r>
        <w:t>17.10.2025</w:t>
      </w:r>
      <w:r>
        <w:rPr>
          <w:rStyle w:val="HideTWBExt"/>
        </w:rPr>
        <w:t>&lt;/Date&gt;</w:t>
      </w:r>
    </w:p>
    <w:p w:rsidR="00DB56E4" w:rsidRPr="00DE79FA" w:rsidRDefault="008A0CBA" w:rsidP="00DB56E4">
      <w:pPr>
        <w:pStyle w:val="CoverDocType24a"/>
      </w:pPr>
      <w:r>
        <w:rPr>
          <w:rStyle w:val="HideTWBExt"/>
          <w:b w:val="0"/>
        </w:rPr>
        <w:t>&lt;TitreType&gt;</w:t>
      </w:r>
      <w:r>
        <w:t>NUOMONĖ</w:t>
      </w:r>
      <w:r>
        <w:rPr>
          <w:rStyle w:val="HideTWBExt"/>
          <w:b w:val="0"/>
        </w:rPr>
        <w:t>&lt;/TitreType&gt;</w:t>
      </w:r>
    </w:p>
    <w:p w:rsidR="00DB56E4" w:rsidRPr="00DE79FA" w:rsidRDefault="008A0CBA" w:rsidP="00DB56E4">
      <w:pPr>
        <w:pStyle w:val="CoverNormal24a"/>
      </w:pPr>
      <w:r>
        <w:rPr>
          <w:rStyle w:val="HideTWBExt"/>
        </w:rPr>
        <w:t>&lt;CommissionResp&gt;</w:t>
      </w:r>
      <w:r>
        <w:t xml:space="preserve">Žuvininkystės </w:t>
      </w:r>
      <w:r>
        <w:t>komiteto</w:t>
      </w:r>
      <w:r>
        <w:rPr>
          <w:rStyle w:val="HideTWBExt"/>
        </w:rPr>
        <w:t>&lt;/CommissionResp&gt;</w:t>
      </w:r>
    </w:p>
    <w:p w:rsidR="00DB56E4" w:rsidRPr="00DE79FA" w:rsidRDefault="008A0CBA" w:rsidP="00DB56E4">
      <w:pPr>
        <w:pStyle w:val="CoverNormal24a"/>
      </w:pPr>
      <w:r>
        <w:rPr>
          <w:rStyle w:val="HideTWBExt"/>
        </w:rPr>
        <w:t>&lt;CommissionInt&gt;</w:t>
      </w:r>
      <w:r>
        <w:t>pateikta Aplinkos, klimato ir maisto saugos komitetui</w:t>
      </w:r>
      <w:r>
        <w:rPr>
          <w:rStyle w:val="HideTWBExt"/>
        </w:rPr>
        <w:t>&lt;/CommissionInt&gt;</w:t>
      </w:r>
    </w:p>
    <w:p w:rsidR="00DB56E4" w:rsidRPr="00DE79FA" w:rsidRDefault="008A0CBA" w:rsidP="00DB56E4">
      <w:pPr>
        <w:pStyle w:val="CoverNormal"/>
      </w:pPr>
      <w:r>
        <w:rPr>
          <w:rStyle w:val="HideTWBExt"/>
        </w:rPr>
        <w:t>&lt;Titre&gt;</w:t>
      </w:r>
      <w:r>
        <w:t>dėl pasiūlymo dėl Europos Parlamento ir Tarybos direktyvos dėl jūrų biologinės įvairovės išsaugojimo ir tausaus jos naudojimo nacionalinei</w:t>
      </w:r>
      <w:r>
        <w:t xml:space="preserve"> jurisdikcijai nepriklausančiuose rajonuose</w:t>
      </w:r>
      <w:r>
        <w:rPr>
          <w:rStyle w:val="HideTWBExt"/>
        </w:rPr>
        <w:t>&lt;/Titre&gt;</w:t>
      </w:r>
    </w:p>
    <w:p w:rsidR="00DB56E4" w:rsidRPr="00DE79FA" w:rsidRDefault="008A0CBA" w:rsidP="00DB56E4">
      <w:pPr>
        <w:pStyle w:val="CoverNormal24a"/>
      </w:pPr>
      <w:r>
        <w:rPr>
          <w:rStyle w:val="HideTWBExt"/>
        </w:rPr>
        <w:t>&lt;DocRef&gt;</w:t>
      </w:r>
      <w:r>
        <w:t>(COM(2025)0173 – C10</w:t>
      </w:r>
      <w:r>
        <w:noBreakHyphen/>
        <w:t>0074/2025 – 2025/0090(COD))</w:t>
      </w:r>
      <w:r>
        <w:rPr>
          <w:rStyle w:val="HideTWBExt"/>
        </w:rPr>
        <w:t>&lt;/DocRef&gt;</w:t>
      </w:r>
    </w:p>
    <w:p w:rsidR="00DB56E4" w:rsidRPr="00DE79FA" w:rsidRDefault="008A0CBA" w:rsidP="00DB56E4">
      <w:pPr>
        <w:pStyle w:val="CoverNormal24a"/>
      </w:pPr>
      <w:r>
        <w:t xml:space="preserve">Nuomonės referentė: </w:t>
      </w:r>
      <w:r>
        <w:rPr>
          <w:rStyle w:val="HideTWBExt"/>
        </w:rPr>
        <w:t>&lt;Depute&gt;</w:t>
      </w:r>
      <w:bookmarkStart w:id="1" w:name="DocEPLastVariable"/>
      <w:bookmarkEnd w:id="1"/>
      <w:r>
        <w:t>Emma Fourreau</w:t>
      </w:r>
      <w:r>
        <w:rPr>
          <w:rStyle w:val="HideTWBExt"/>
        </w:rPr>
        <w:t>&lt;/Depute&gt;</w:t>
      </w:r>
    </w:p>
    <w:p w:rsidR="00487596" w:rsidRPr="00DE79FA" w:rsidRDefault="00487596" w:rsidP="00487596">
      <w:pPr>
        <w:pStyle w:val="CoverNormal"/>
      </w:pPr>
    </w:p>
    <w:p w:rsidR="00DB56E4" w:rsidRPr="00DE79FA" w:rsidRDefault="008A0CBA" w:rsidP="0004474F">
      <w:pPr>
        <w:tabs>
          <w:tab w:val="center" w:pos="4677"/>
        </w:tabs>
      </w:pPr>
      <w:r>
        <w:br w:type="page"/>
      </w:r>
      <w:r>
        <w:lastRenderedPageBreak/>
        <w:t>PA_Legam</w:t>
      </w:r>
    </w:p>
    <w:p w:rsidR="00DB56E4" w:rsidRPr="00DE79FA" w:rsidRDefault="008A0CBA" w:rsidP="00DB56E4">
      <w:pPr>
        <w:pStyle w:val="PageHeadingNotTOC"/>
      </w:pPr>
      <w:r>
        <w:br w:type="page"/>
      </w:r>
      <w:r>
        <w:lastRenderedPageBreak/>
        <w:t>TRUMPAS PAGRINDIMAS</w:t>
      </w:r>
    </w:p>
    <w:p w:rsidR="00C24ACB" w:rsidRPr="00715FEB" w:rsidRDefault="008A0CBA" w:rsidP="00C24ACB">
      <w:pPr>
        <w:pStyle w:val="Normal12a"/>
      </w:pPr>
      <w:r>
        <w:t xml:space="preserve">Vandenynai, bendras žmonijos išteklius, užima apie </w:t>
      </w:r>
      <w:r>
        <w:t>70 proc. pasaulio ploto. 2⁄3 vandenynų paviršiaus yra nacionalinei jurisdikcijai nepriklausančiuose rajonuose. Atvira jūra – tai unikalių rūšių jūrų gyvūnų ir ekosistemų buveinė, o jie susiduria su grėsmėmis, kylančiomis dėl žmogaus veiklos, pvz., peržvejo</w:t>
      </w:r>
      <w:r>
        <w:t xml:space="preserve">jimo, laivybos, taršos, gavybos pramonės ir didėjančio klimato kaitos poveikio. Dėl šių teritorijų taip pat vyksta geopolitinė konkurencija. Todėl šių teritorijų apsauga ir atvirosios jūros valdymo stiprinimas yra labai svarbūs veiksmai ne tik kovojant su </w:t>
      </w:r>
      <w:r>
        <w:t xml:space="preserve">jūrų biologinės įvairovės nykimu ir klimato kaita, bet ir užtikrinant ilgalaikį tvarų jūrų populiacijų valdymą, įskaitant žuvininkystės valdymą. </w:t>
      </w:r>
    </w:p>
    <w:p w:rsidR="00C24ACB" w:rsidRPr="00715FEB" w:rsidRDefault="008A0CBA" w:rsidP="00C24ACB">
      <w:pPr>
        <w:pStyle w:val="Normal12a"/>
      </w:pPr>
      <w:r>
        <w:t xml:space="preserve">„Laivas pasiekė krantą“ 2023 m. kovo 3 d. paskelbė JT ambasadorė vandenynų ir jūrų teisės klausimais. 2023 m. </w:t>
      </w:r>
      <w:r>
        <w:t>priimtas svarbus susitarimas „Jūrų biologinės įvairovės išsaugojimas ir tausus jos naudojimas nacionalinei jurisdikcijai nepriklausančiuose rajonuose“ (BBNJ) yra vienas didžiausių vandenynų srities diplomatijos laimėjimų ir daugiašališkumo sėkmė. Jis skirt</w:t>
      </w:r>
      <w:r>
        <w:t>as 4 svarbioms sritims: jūrų genetiniams ištekliams; priemonėms, pavyzdžiui, atskiriems rajonams skirtoms valdymo priemonėms; poveikio aplinkai vertinimams; bendradarbiavimui pajėgumų stiprinimo ir jūrų technologijų perdavimo srityje. Netrukus po to, kai 2</w:t>
      </w:r>
      <w:r>
        <w:t xml:space="preserve">025 m. JT konferencijoje dėl vandenynų bus padaryta pažanga, jis turėtų būti ratifikuotas. </w:t>
      </w:r>
    </w:p>
    <w:p w:rsidR="00C24ACB" w:rsidRPr="00715FEB" w:rsidRDefault="008A0CBA" w:rsidP="00C24ACB">
      <w:pPr>
        <w:pStyle w:val="Normal12a"/>
      </w:pPr>
      <w:r>
        <w:t>Todėl nuomonės referentė palankiai vertina Komisijos pasiūlymą dėl direktyvos siekiant BBNJ susitarimą integruoti į ES teisę. Ji pritaria tam, kad susitarimą reikia</w:t>
      </w:r>
      <w:r>
        <w:t xml:space="preserve"> skubiai perkelti į ES teisę, siekiant užtikrinti, kad ES laikytųsi savo tarptautinių įsipareigojimų įsigaliojimo metu. Komisijos požiūris – pasiūlymą apriboti tik BBNJ susitarimo perkėlimu į ES teisę yra tinkamas ir taip užtikrinamos vienodos sąlygos. Tai</w:t>
      </w:r>
      <w:r>
        <w:t>p pat pasiūlymas dera su bendra žuvininkystės politika (BŽP). BBNJ susitarimu nedaromas poveikis atitinkamoms teisinėms priemonėms ir sistemoms ir atitinkamoms pasaulinėms, regioninėms, subregioninėms ir sektorinėms įstaigoms, įskaitant regionines žvejybos</w:t>
      </w:r>
      <w:r>
        <w:t xml:space="preserve"> valdymo organizacijas, ir juo skatinamas suderinamumas ir koordinavimas su tomis priemonėmis, sistemomis ir įstaigomis. Pasiūlymu visų pirma siekiama užtikrinti valstybių narių ir Komisijos veiksmų koordinavimą. Toks koordinavimas ES lygmeniu bus labai sv</w:t>
      </w:r>
      <w:r>
        <w:t xml:space="preserve">arbus sėkmingam BŽP įgyvendinimui, be kita ko, siekiant išvengti BŽP pažeidimų ir užtikrinti nuoseklų požiūrį. </w:t>
      </w:r>
    </w:p>
    <w:p w:rsidR="00C24ACB" w:rsidRPr="00715FEB" w:rsidRDefault="008A0CBA" w:rsidP="00C24ACB">
      <w:pPr>
        <w:pStyle w:val="Normal12a"/>
      </w:pPr>
      <w:r>
        <w:t>Tam, kad pasiūlymas būtų geriau suderintas su BBNJ susitarimu, nuomonės referentė siūlo keletą tikslinių pakeitimų dėl nuostatų, patenkančių į Ž</w:t>
      </w:r>
      <w:r>
        <w:t>uvininkystės komiteto kompetencijos teikiant nuomonę sritį, t. y dėl:</w:t>
      </w:r>
    </w:p>
    <w:p w:rsidR="00C24ACB" w:rsidRPr="00715FEB" w:rsidRDefault="008A0CBA" w:rsidP="00C24ACB">
      <w:pPr>
        <w:pStyle w:val="Normal12a"/>
      </w:pPr>
      <w:r>
        <w:t>•</w:t>
      </w:r>
      <w:r>
        <w:tab/>
        <w:t>8 straipsnio 6 dalies dėl bendrųjų sąlygų, susijusių su poveikio aplinkai vertinimais. Nuomonės projekte pateikti pakeitimai, kuriais siekiama geriau atspindėti BBNJ susitarimo 29 stra</w:t>
      </w:r>
      <w:r>
        <w:t xml:space="preserve">ipsnio 4 dalyje nustatytą išimtį, taikomą tuo atveju, kai planuojamos veiklos poveikio aplinkai vertinimas jau atliktas pagal kitų atitinkamų pasaulinių, regioninių, subregioninių ir sektorinių įstaigų, įskaitant regionines žvejybos valdymo organizacijas, </w:t>
      </w:r>
      <w:r>
        <w:t>reikalavimus. Nors 8 straipsnio 6 dalį galima suprasti taip, kad minėta išimtis taikoma visomis aplinkybėmis, BBNJ susitarime nustatytos kelios įvykdytinos sąlygos;</w:t>
      </w:r>
    </w:p>
    <w:p w:rsidR="00C24ACB" w:rsidRPr="00715FEB" w:rsidRDefault="008A0CBA" w:rsidP="00C24ACB">
      <w:pPr>
        <w:pStyle w:val="Normal12a"/>
      </w:pPr>
      <w:r>
        <w:t>•</w:t>
      </w:r>
      <w:r>
        <w:tab/>
        <w:t xml:space="preserve">17 straipsnio 2 dalies dėl pasiūlymų dėl priemonių, pavyzdžiui, plotu grindžiamų valdymo </w:t>
      </w:r>
      <w:r>
        <w:t xml:space="preserve">priemonių, turinio. Pagal BBNJ susitarimą šalys bendradarbiauja ir konsultuojasi su atitinkamais suinteresuotaisiais subjektais. Pasiūlyme trūksta žodžio „bendradarbiauti“. Šis </w:t>
      </w:r>
      <w:r>
        <w:lastRenderedPageBreak/>
        <w:t>papildymas yra svarbus, be kita ko, kalbant apie žuvininkystės sektoriaus suint</w:t>
      </w:r>
      <w:r>
        <w:t>eresuotuosius subjektus;</w:t>
      </w:r>
    </w:p>
    <w:p w:rsidR="00C24ACB" w:rsidRPr="00715FEB" w:rsidRDefault="008A0CBA" w:rsidP="00C24ACB">
      <w:pPr>
        <w:pStyle w:val="Normal12a"/>
      </w:pPr>
      <w:r>
        <w:t>•</w:t>
      </w:r>
      <w:r>
        <w:tab/>
        <w:t xml:space="preserve">dėl 18 straipsnio dėl įgyvendinimo. Nuomonės referentė įtraukia kai kurias BBNJ susitarimo 25 straipsnio nuostatas (jų trūko) ir paaiškina atvejus, kai, be valstybių narių, Komisija atstovauja ES kai kuriuose atitinkamose </w:t>
      </w:r>
      <w:r>
        <w:t xml:space="preserve">pasaulinėse, regioninėse, subregioninėse ir sektorinėse įstaigose, visų pirma regioninėse žuvininkystės valdymo organizacijose; </w:t>
      </w:r>
    </w:p>
    <w:p w:rsidR="00C24ACB" w:rsidRPr="00715FEB" w:rsidRDefault="008A0CBA" w:rsidP="00C24ACB">
      <w:pPr>
        <w:pStyle w:val="Normal12a"/>
      </w:pPr>
      <w:r>
        <w:t>•</w:t>
      </w:r>
      <w:r>
        <w:tab/>
        <w:t>įtraukta konstatuojamoji dalis dėl BBNJ bendrųjų nuostatų, susijusių su tarptautiniu bendradarbiavimu, siekiant priminti ES į</w:t>
      </w:r>
      <w:r>
        <w:t>sipareigojimus pagal BBNJ susitarimą užtikrinti bendradarbiavimą ir suderinamumą su regioninių žvejybos valdymo organizacijų darbu ir Regioninės jūrų konvencija, atsižvelgiant į jų itin svarbų vaidmenį. Joje Komisija ir valstybės narės raginamos parengti b</w:t>
      </w:r>
      <w:r>
        <w:t xml:space="preserve">endrą koordinuotą požiūrį ir bendradarbiavimo mechanizmus. </w:t>
      </w:r>
    </w:p>
    <w:p w:rsidR="00C24ACB" w:rsidRPr="00715FEB" w:rsidRDefault="008A0CBA" w:rsidP="00C24ACB">
      <w:pPr>
        <w:pStyle w:val="Normal12a"/>
      </w:pPr>
      <w:r>
        <w:t>Taip pat nuomonės referentė ragina BBNJ susitarimą skubiai perkelti į ES teisę ir įgyvendinti. Ji mano, kad pakartotiniai išpuoliai prieš daugiašališkumą rodo, kad ES turi pakartoti, kad yra tvirt</w:t>
      </w:r>
      <w:r>
        <w:t xml:space="preserve">ai įsipareigojusi laikytis JT jūrų teisės konvencijos. </w:t>
      </w:r>
    </w:p>
    <w:p w:rsidR="00DB56E4" w:rsidRPr="00DE79FA" w:rsidRDefault="008A0CBA" w:rsidP="00DB56E4">
      <w:pPr>
        <w:pStyle w:val="AmHeadingPA"/>
      </w:pPr>
      <w:r>
        <w:t>PAKEITIMAI</w:t>
      </w:r>
    </w:p>
    <w:p w:rsidR="00DE79FA" w:rsidRPr="00DE79FA" w:rsidRDefault="008A0CBA" w:rsidP="00DE79FA">
      <w:pPr>
        <w:pStyle w:val="Normal12a"/>
      </w:pPr>
      <w:bookmarkStart w:id="2" w:name="IntroA"/>
      <w:r>
        <w:t>Žuvininkystės komitetas teikia atsakingam Aplinkos, klimato ir maisto saugos komitetui toliau pateikiamą tekstą:</w:t>
      </w:r>
    </w:p>
    <w:bookmarkEnd w:id="2"/>
    <w:p w:rsidR="00C24ACB" w:rsidRPr="00715FEB" w:rsidRDefault="008A0CBA" w:rsidP="00C24ACB">
      <w:r>
        <w:rPr>
          <w:rStyle w:val="HideTWBExt"/>
        </w:rPr>
        <w:t>&lt;RepeatBlock-Amend&gt;</w:t>
      </w:r>
    </w:p>
    <w:p w:rsidR="00C24ACB" w:rsidRPr="00715FEB" w:rsidRDefault="008A0CBA" w:rsidP="00C24ACB">
      <w:pPr>
        <w:pStyle w:val="AmNumberTabs"/>
      </w:pPr>
      <w:r>
        <w:rPr>
          <w:rStyle w:val="HideTWBExt"/>
        </w:rPr>
        <w:t>&lt;Amend&gt;</w:t>
      </w:r>
      <w:r>
        <w:t>Pakeitimas</w:t>
      </w:r>
      <w:r>
        <w:tab/>
      </w:r>
      <w:r>
        <w:tab/>
      </w:r>
      <w:r>
        <w:rPr>
          <w:rStyle w:val="HideTWBExt"/>
        </w:rPr>
        <w:t>&lt;NumAm&gt;</w:t>
      </w:r>
      <w:r>
        <w:t>1</w:t>
      </w:r>
      <w:r>
        <w:rPr>
          <w:rStyle w:val="HideTWBExt"/>
        </w:rPr>
        <w:t>&lt;/NumAm&gt;</w:t>
      </w:r>
    </w:p>
    <w:p w:rsidR="00C24ACB" w:rsidRPr="00715FEB" w:rsidRDefault="008A0CBA" w:rsidP="00C24ACB">
      <w:pPr>
        <w:pStyle w:val="NormalBold12b"/>
      </w:pPr>
      <w:r>
        <w:rPr>
          <w:rStyle w:val="HideTWBExt"/>
        </w:rPr>
        <w:t>&lt;DocAmend&gt;</w:t>
      </w:r>
      <w:r>
        <w:t>Pasiūlymas</w:t>
      </w:r>
      <w:r>
        <w:t xml:space="preserve"> dėl direktyvos</w:t>
      </w:r>
      <w:r>
        <w:rPr>
          <w:rStyle w:val="HideTWBExt"/>
        </w:rPr>
        <w:t>&lt;/DocAmend&gt;</w:t>
      </w:r>
    </w:p>
    <w:p w:rsidR="00C24ACB" w:rsidRPr="00715FEB" w:rsidRDefault="008A0CBA" w:rsidP="00C24ACB">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4C6B" w:rsidTr="003B4AE9">
        <w:trPr>
          <w:trHeight w:val="240"/>
          <w:jc w:val="center"/>
        </w:trPr>
        <w:tc>
          <w:tcPr>
            <w:tcW w:w="9752" w:type="dxa"/>
            <w:gridSpan w:val="2"/>
            <w:tcBorders>
              <w:top w:val="nil"/>
              <w:left w:val="nil"/>
              <w:bottom w:val="nil"/>
              <w:right w:val="nil"/>
            </w:tcBorders>
          </w:tcPr>
          <w:p w:rsidR="00C24ACB" w:rsidRPr="00715FEB" w:rsidRDefault="00C24ACB" w:rsidP="003B4AE9"/>
        </w:tc>
      </w:tr>
      <w:tr w:rsidR="005D4C6B" w:rsidTr="003B4AE9">
        <w:trPr>
          <w:trHeight w:val="240"/>
          <w:jc w:val="center"/>
        </w:trPr>
        <w:tc>
          <w:tcPr>
            <w:tcW w:w="4876" w:type="dxa"/>
            <w:tcBorders>
              <w:top w:val="nil"/>
              <w:left w:val="nil"/>
              <w:bottom w:val="nil"/>
              <w:right w:val="nil"/>
            </w:tcBorders>
            <w:hideMark/>
          </w:tcPr>
          <w:p w:rsidR="00C24ACB" w:rsidRPr="00715FEB" w:rsidRDefault="008A0CBA" w:rsidP="003B4AE9">
            <w:pPr>
              <w:pStyle w:val="AmColumnHeading"/>
            </w:pPr>
            <w:r>
              <w:t>Komisijos siūlomas tekstas</w:t>
            </w:r>
          </w:p>
        </w:tc>
        <w:tc>
          <w:tcPr>
            <w:tcW w:w="4876" w:type="dxa"/>
            <w:tcBorders>
              <w:top w:val="nil"/>
              <w:left w:val="nil"/>
              <w:bottom w:val="nil"/>
              <w:right w:val="nil"/>
            </w:tcBorders>
            <w:hideMark/>
          </w:tcPr>
          <w:p w:rsidR="00C24ACB" w:rsidRPr="00715FEB" w:rsidRDefault="008A0CBA" w:rsidP="003B4AE9">
            <w:pPr>
              <w:pStyle w:val="AmColumnHeading"/>
            </w:pPr>
            <w:r>
              <w:t>Pakeitimas</w:t>
            </w:r>
          </w:p>
        </w:tc>
      </w:tr>
      <w:tr w:rsidR="005D4C6B" w:rsidTr="003B4AE9">
        <w:trPr>
          <w:jc w:val="center"/>
        </w:trPr>
        <w:tc>
          <w:tcPr>
            <w:tcW w:w="4876" w:type="dxa"/>
            <w:tcBorders>
              <w:top w:val="nil"/>
              <w:left w:val="nil"/>
              <w:bottom w:val="nil"/>
              <w:right w:val="nil"/>
            </w:tcBorders>
          </w:tcPr>
          <w:p w:rsidR="00C24ACB" w:rsidRPr="00715FEB" w:rsidRDefault="00C24ACB" w:rsidP="003B4AE9">
            <w:pPr>
              <w:pStyle w:val="Normal6a"/>
            </w:pPr>
          </w:p>
        </w:tc>
        <w:tc>
          <w:tcPr>
            <w:tcW w:w="4876" w:type="dxa"/>
            <w:tcBorders>
              <w:top w:val="nil"/>
              <w:left w:val="nil"/>
              <w:bottom w:val="nil"/>
              <w:right w:val="nil"/>
            </w:tcBorders>
            <w:hideMark/>
          </w:tcPr>
          <w:p w:rsidR="00C24ACB" w:rsidRPr="00715FEB" w:rsidRDefault="008A0CBA" w:rsidP="003B4AE9">
            <w:pPr>
              <w:pStyle w:val="Normal6a"/>
            </w:pPr>
            <w:r>
              <w:rPr>
                <w:b/>
                <w:i/>
              </w:rPr>
              <w:t>(3a)</w:t>
            </w:r>
            <w:r>
              <w:tab/>
            </w:r>
            <w:r>
              <w:rPr>
                <w:b/>
                <w:i/>
              </w:rPr>
              <w:t xml:space="preserve">reikėtų pažymėti, kad valstybės narės išlaiko visišką suverenitetą nustatydamos jų jurisdikcijai priklausančią ar jų </w:t>
            </w:r>
            <w:r>
              <w:rPr>
                <w:b/>
                <w:i/>
              </w:rPr>
              <w:t>kontroliuojamą veiklą.</w:t>
            </w:r>
            <w:r>
              <w:t xml:space="preserve"> </w:t>
            </w:r>
            <w:r>
              <w:rPr>
                <w:b/>
                <w:i/>
              </w:rPr>
              <w:t>Ši direktyva neturi būti aiškinama taip, kad būtų ribojama jų galimybė pagal savo vidaus teisės sistemą ir tarptautinę teisę apibrėžti į jos taikymo sritį patenkančią veiklą;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(5)</w:t>
            </w:r>
            <w:r>
              <w:tab/>
            </w:r>
            <w:r>
              <w:t xml:space="preserve">Sąjunga yra įsipareigojusi dėti daugiau pastangų kovoti su klimato kaita ir įgyvendinti Paryžiaus susitarimą, priimtą pagal Jungtinių Tautų bendrąją klimato kaitos konvenciją (toliau – Paryžiaus susitarimas), </w:t>
            </w:r>
            <w:r>
              <w:rPr>
                <w:b/>
                <w:i/>
              </w:rPr>
              <w:t>remdamasi</w:t>
            </w:r>
            <w:r>
              <w:t xml:space="preserve"> jo principais ir patikimiausiomis tur</w:t>
            </w:r>
            <w:r>
              <w:t>imomis mokslinėmis žiniomis, atsižvelgiant į Paryžiaus susitarime nustatytą ilgalaikį temperatūros tikslą;</w:t>
            </w:r>
          </w:p>
        </w:tc>
        <w:tc>
          <w:tcPr>
            <w:tcW w:w="4876" w:type="dxa"/>
            <w:hideMark/>
          </w:tcPr>
          <w:p w:rsidR="00C24ACB" w:rsidRPr="00715FEB" w:rsidRDefault="008A0CBA" w:rsidP="003B4AE9">
            <w:pPr>
              <w:pStyle w:val="Normal6"/>
              <w:rPr>
                <w:szCs w:val="24"/>
              </w:rPr>
            </w:pPr>
            <w:r>
              <w:t>(5)</w:t>
            </w:r>
            <w:r>
              <w:tab/>
              <w:t>Sąjunga yra įsipareigojusi dėti daugiau pastangų kovoti su klimato kaita ir įgyvendinti Paryžiaus susitarimą, priimtą pagal Jungtinių Tautų bendr</w:t>
            </w:r>
            <w:r>
              <w:t>ąją klimato kaitos konvenciją (toliau – Paryžiaus susitarimas), remdamasi jo principais</w:t>
            </w:r>
            <w:r>
              <w:rPr>
                <w:b/>
                <w:i/>
              </w:rPr>
              <w:t>,</w:t>
            </w:r>
            <w:r>
              <w:t xml:space="preserve"> ir</w:t>
            </w:r>
            <w:r>
              <w:rPr>
                <w:b/>
                <w:i/>
              </w:rPr>
              <w:t xml:space="preserve">, be kita ko, </w:t>
            </w:r>
            <w:r>
              <w:rPr>
                <w:b/>
                <w:bCs/>
                <w:i/>
              </w:rPr>
              <w:t>didinti gebėjimą prisitaikyti prie neigiamo klimato kaitos poveikio ir skatinti atsparumą klimato kaitai ir vystymąsi užtikrinant mažą išmetamą šiltnam</w:t>
            </w:r>
            <w:r>
              <w:rPr>
                <w:b/>
                <w:bCs/>
                <w:i/>
              </w:rPr>
              <w:t>io efektą sukeliančių dujų kiekį, taip, kad nekiltų grėsmė maisto gamybai</w:t>
            </w:r>
            <w:r>
              <w:rPr>
                <w:b/>
                <w:i/>
              </w:rPr>
              <w:t xml:space="preserve">, </w:t>
            </w:r>
            <w:r>
              <w:rPr>
                <w:b/>
                <w:bCs/>
                <w:i/>
                <w:iCs/>
              </w:rPr>
              <w:t>vadovaudamasi</w:t>
            </w:r>
            <w:r>
              <w:t xml:space="preserve"> patikimiausiomis turimomis mokslinėmis žiniomis, atsižvelgiant į Paryžiaus susitarime nustatytą ilgalaikį temperatūros tikslą;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(7)</w:t>
            </w:r>
            <w:r>
              <w:tab/>
              <w:t xml:space="preserve">kaip Biologinės įvairovės konvencijos šalys, Sąjunga ir jos valstybės narės yra įsipareigojusios pasiekti </w:t>
            </w:r>
            <w:r>
              <w:t>Kunmingo ir Monrealio pasaulinės biologinės įvairovės strategijos, priimtos 2022 m. gruodžio 7–19 d. Biologinės įvairovės konvencijos šalių konferencijos penkioliktajame susitikime, tikslus ir uždavinius ir ilgalaikę strateginę viziją, pagal kurią iki 2050</w:t>
            </w:r>
            <w:r>
              <w:t xml:space="preserve"> m. biologinė įvairovė turi būti vertinama, saugoma, atkuriama ir išmintingai naudojama, išsaugant ekosistemines paslaugas, išlaikant sveiką planetą ir užtikrinant naudą visiems žmonėms. </w:t>
            </w:r>
            <w:r>
              <w:rPr>
                <w:b/>
                <w:i/>
              </w:rPr>
              <w:t>2020</w:t>
            </w:r>
            <w:r>
              <w:t xml:space="preserve"> m. </w:t>
            </w:r>
            <w:r>
              <w:rPr>
                <w:b/>
                <w:i/>
              </w:rPr>
              <w:t>gegužės 20</w:t>
            </w:r>
            <w:r>
              <w:t> </w:t>
            </w:r>
            <w:r>
              <w:rPr>
                <w:b/>
                <w:i/>
              </w:rPr>
              <w:t>d</w:t>
            </w:r>
            <w:r>
              <w:t xml:space="preserve">. </w:t>
            </w:r>
            <w:r>
              <w:rPr>
                <w:b/>
                <w:i/>
              </w:rPr>
              <w:t>Komisijos komunikate „2023 m. ES</w:t>
            </w:r>
            <w:r>
              <w:t xml:space="preserve"> biologinės įva</w:t>
            </w:r>
            <w:r>
              <w:t xml:space="preserve">irovės </w:t>
            </w:r>
            <w:r>
              <w:rPr>
                <w:b/>
                <w:i/>
              </w:rPr>
              <w:t>strategija. Gamtos grąžinimas į savo gyvenimą“ išdėstytoje 2030 m. ES biologinės įvairovės strategijoje nustatyti įvairūs tikslai</w:t>
            </w:r>
            <w:r>
              <w:t xml:space="preserve">, </w:t>
            </w:r>
            <w:r>
              <w:rPr>
                <w:b/>
                <w:i/>
              </w:rPr>
              <w:lastRenderedPageBreak/>
              <w:t>įskaitant tikslą atkurti gerą jūrų ekosistemų aplinkos būklę</w:t>
            </w:r>
            <w:r>
              <w:t>;</w:t>
            </w:r>
          </w:p>
        </w:tc>
        <w:tc>
          <w:tcPr>
            <w:tcW w:w="4876" w:type="dxa"/>
            <w:hideMark/>
          </w:tcPr>
          <w:p w:rsidR="00C24ACB" w:rsidRPr="00715FEB" w:rsidRDefault="008A0CBA" w:rsidP="003B4AE9">
            <w:pPr>
              <w:pStyle w:val="Normal6"/>
              <w:rPr>
                <w:szCs w:val="24"/>
              </w:rPr>
            </w:pPr>
            <w:r>
              <w:lastRenderedPageBreak/>
              <w:t>(7)</w:t>
            </w:r>
            <w:r>
              <w:tab/>
            </w:r>
            <w:r>
              <w:rPr>
                <w:b/>
                <w:i/>
              </w:rPr>
              <w:t xml:space="preserve">2020 m. gegužės 20 d. Komisijos komunikate „2030 m. </w:t>
            </w:r>
            <w:r>
              <w:rPr>
                <w:b/>
                <w:i/>
              </w:rPr>
              <w:t xml:space="preserve">ES biologinės įvairovės strategija. Gamtos grąžinimas į savo gyvenimą“ pateiktoje 2030 m. ES biologinės įvairovės strategijoje nustatyti įvairūs tikslai, įskaitant su jūrų ekosistemomis susijusius tikslus, nes visų pirma siekiama pasirašyti plataus užmojo </w:t>
            </w:r>
            <w:r>
              <w:rPr>
                <w:b/>
                <w:i/>
              </w:rPr>
              <w:t>teisiškai privalomą susitarimą dėl jūrų biologinės įvairovės nacionalinei jurisdikcijai nepriklausančiuose rajonuose (BBNJ).</w:t>
            </w:r>
            <w:r>
              <w:t xml:space="preserve"> Kaip Biologinės įvairovės konvencijos šalys, Sąjunga ir jos valstybės narės yra įsipareigojusios pasiekti Kunmingo ir Monrealio pas</w:t>
            </w:r>
            <w:r>
              <w:t xml:space="preserve">aulinės biologinės įvairovės strategijos, priimtos 2022 m. gruodžio 7–19 d. Biologinės įvairovės konvencijos </w:t>
            </w:r>
            <w:r>
              <w:rPr>
                <w:b/>
                <w:i/>
              </w:rPr>
              <w:t xml:space="preserve">(BĮK) </w:t>
            </w:r>
            <w:r>
              <w:t xml:space="preserve">šalių konferencijos penkioliktajame susitikime, tikslus ir uždavinius ir </w:t>
            </w:r>
            <w:r>
              <w:rPr>
                <w:b/>
                <w:i/>
              </w:rPr>
              <w:t xml:space="preserve">kartu įgyvendinti </w:t>
            </w:r>
            <w:r>
              <w:lastRenderedPageBreak/>
              <w:t>ilgalaikę strateginę viziją, pagal kurią iki 2050 </w:t>
            </w:r>
            <w:r>
              <w:t xml:space="preserve">m. biologinė įvairovė turi būti vertinama, saugoma, atkuriama ir išmintingai naudojama, išsaugant ekosistemines paslaugas, išlaikant sveiką planetą ir užtikrinant naudą visiems žmonėms. </w:t>
            </w:r>
            <w:r>
              <w:rPr>
                <w:b/>
                <w:i/>
              </w:rPr>
              <w:t>BĮK šalys, atsižvelgdamos į 2030</w:t>
            </w:r>
            <w:r>
              <w:t xml:space="preserve"> m. </w:t>
            </w:r>
            <w:r>
              <w:rPr>
                <w:b/>
                <w:i/>
              </w:rPr>
              <w:t>misiją iki 2050</w:t>
            </w:r>
            <w:r>
              <w:t> </w:t>
            </w:r>
            <w:r>
              <w:rPr>
                <w:b/>
                <w:i/>
              </w:rPr>
              <w:t>m</w:t>
            </w:r>
            <w:r>
              <w:t xml:space="preserve">. </w:t>
            </w:r>
            <w:r>
              <w:rPr>
                <w:b/>
                <w:i/>
              </w:rPr>
              <w:t>įgyvendinti str</w:t>
            </w:r>
            <w:r>
              <w:rPr>
                <w:b/>
                <w:i/>
              </w:rPr>
              <w:t>ateginę viziją, turi skubiai imtis veiksmų, kad sustabdytų</w:t>
            </w:r>
            <w:r>
              <w:t xml:space="preserve"> biologinės įvairovės </w:t>
            </w:r>
            <w:r>
              <w:rPr>
                <w:b/>
                <w:i/>
              </w:rPr>
              <w:t>nykimą ir pakeistų šį procesą priešingu, kad gamtai būtų suteikta galimybė atsigauti žmonių ir planetos labui, išsaugant biologinę įvairovę ir tvariai ją naudojant, taip pat už</w:t>
            </w:r>
            <w:r>
              <w:rPr>
                <w:b/>
                <w:i/>
              </w:rPr>
              <w:t>tikrinant sąžiningą ir teisingą naudos</w:t>
            </w:r>
            <w:r>
              <w:t xml:space="preserve">, </w:t>
            </w:r>
            <w:r>
              <w:rPr>
                <w:b/>
                <w:i/>
              </w:rPr>
              <w:t>gaunamos naudojant genetinius išteklius, pasidalijimą, kartu suteikiant būtinas BĮK įgyvendinimo priemones</w:t>
            </w:r>
            <w:r>
              <w:t>;</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7 a k</w:t>
      </w:r>
      <w:r>
        <w:t>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(7a)</w:t>
            </w:r>
            <w:r>
              <w:rPr>
                <w:b/>
                <w:i/>
              </w:rPr>
              <w:tab/>
              <w:t xml:space="preserve">2025 m. birželio 5 d. Komisijos komunikate „Europos vandenynų paktas“ išdėstyti veiksmai, kuriais siekiama užtikrinti greitą BBNJ susitarimo ratifikavimą, perkėlimą į </w:t>
            </w:r>
            <w:r>
              <w:rPr>
                <w:b/>
                <w:i/>
              </w:rPr>
              <w:t>Sąjungos teisę bei įgyvendinimą ir tvarų atviros jūros valdymą. Jame taip pat numatyta, kad Sąjunga remia BBNJ susitarimo įgyvendinimą besivystančiose šalyse skirdama 40 mln. EUR įnašą Pasaulinei vandenynų programai;</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5</w:t>
      </w:r>
      <w:r>
        <w:rPr>
          <w:rStyle w:val="HideTWBExt"/>
          <w:b w:val="0"/>
        </w:rPr>
        <w:t>&lt;/</w:t>
      </w:r>
      <w:r>
        <w:rPr>
          <w:rStyle w:val="HideTWBExt"/>
          <w:b w:val="0"/>
        </w:rPr>
        <w: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7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(7b)</w:t>
            </w:r>
            <w:r>
              <w:rPr>
                <w:b/>
                <w:i/>
              </w:rPr>
              <w:tab/>
              <w:t>2025 m. gegužės 28 d. Didelio užmojo koalicijos dėl nacionalinei jurisdikcijai nepriklausančių rajonų</w:t>
            </w:r>
            <w:r>
              <w:rPr>
                <w:b/>
                <w:i/>
              </w:rPr>
              <w:t xml:space="preserve"> biologinės įvairovės (angl. BBNJ HAC), kurią inicijavo Komisija ir kurioje dalyvauja apie 40 šalių, deklaracija rodo Sąjungos užmojį pasaulinio vandenynų valdymo ir apsaugos srityje. Vadovaudamasi šia vizija ir sykiu pasinaudodama vandenynų diplomatija, K</w:t>
            </w:r>
            <w:r>
              <w:rPr>
                <w:b/>
                <w:i/>
              </w:rPr>
              <w:t>omisija turėtų remti valstybes nares, norinčias įsteigti BBNJ susitarimo 50 straipsnyje apibrėžto tarptautinio sekretoriato būstinę ir užtikrinti jo bendrą finansavimą. Taip pat svarbu, kad Sąjunga, vykdydama vandenynų diplomatiją, skatintų trečiąsias vals</w:t>
            </w:r>
            <w:r>
              <w:rPr>
                <w:b/>
                <w:i/>
              </w:rPr>
              <w:t>tybes ratifikuoti BBNJ susitarimą ir imtųsi veiksmų, kad jos laikytųsi jo nuostatų, kad būtų užtikrintos vienodos sąlygos;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7 c konstatuojamoji dalis </w:t>
      </w:r>
      <w:r>
        <w:t>(nauja)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(7c)</w:t>
            </w:r>
            <w:r>
              <w:rPr>
                <w:b/>
                <w:i/>
              </w:rPr>
              <w:tab/>
              <w:t>pagal BBNJ susitarimą Šalys bendradarbiauja ir, be kita ko, vykdo stipresnį ir platesnį bendradarbiavimą ir skatina bendradarbiavimą pagal atitinkamas teisines priemones ir sistemas ir su ati</w:t>
            </w:r>
            <w:r>
              <w:rPr>
                <w:b/>
                <w:i/>
              </w:rPr>
              <w:t>tinkamomis pasaulinėmis, regioninėmis, subregioninėmis ir sektorinėmis įstaigomis, siekiant BBNJ susitarimo tikslų. Todėl Komisija ir valstybės narės turėtų parengti bendrą suderintą požiūrį ir mechanizmus, kad būtų užtikrintas suderinamumas su darbu, kuri</w:t>
            </w:r>
            <w:r>
              <w:rPr>
                <w:b/>
                <w:i/>
              </w:rPr>
              <w:t xml:space="preserve">o imamasi pagal tas priemones, sistemą ir įstaigose, pavyzdžiui, regioninėse žvejybos valdymo organizacijose (RŽVO) arba įgyvendinant </w:t>
            </w:r>
            <w:r>
              <w:rPr>
                <w:b/>
                <w:i/>
              </w:rPr>
              <w:lastRenderedPageBreak/>
              <w:t>regionines jūrų konvencijas, taip pat propaguojant priemones, kuriomis remiamas pagal BBNJ susitarimo III dalį Šalių konfe</w:t>
            </w:r>
            <w:r>
              <w:rPr>
                <w:b/>
                <w:i/>
              </w:rPr>
              <w:t>rencijos priimtų sprendimų ir rekomendacijų įgyvendinimas;</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7</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7 d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(7d)</w:t>
            </w:r>
            <w:r>
              <w:rPr>
                <w:b/>
                <w:i/>
              </w:rPr>
              <w:tab/>
            </w:r>
            <w:r>
              <w:rPr>
                <w:b/>
                <w:i/>
              </w:rPr>
              <w:t>pagal BBNJ susitarimo 5 straipsnį Susitarimas aiškinamas ir taikomas taip, kad nebūtų kenkiama atitinkamoms teisinėms priemonėms bei sistemoms ir atitinkamoms pasaulinėms, regioninėms, subregioninėms ir sektorinėms įstaigoms ir būtų skatinamas su tomis pri</w:t>
            </w:r>
            <w:r>
              <w:rPr>
                <w:b/>
                <w:i/>
              </w:rPr>
              <w:t>emonėmis, sistemomis ir įstaigomis susijęs nuoseklumas ir koordinavimas. Šiuo atžvilgiu regioninės žvejybos valdymo organizacijos ir toliau yra kompetentingos tarptautinės įstaigos, atsakingos už žuvininkystės išteklių išsaugojimą ir valdymą nacionalinei j</w:t>
            </w:r>
            <w:r>
              <w:rPr>
                <w:b/>
                <w:i/>
              </w:rPr>
              <w:t>urisdikcijai nepriklausančiuose rajonuose. Taikant šią direktyvą turėtų būti visapusiškai atsižvelgiama į jų kompetenciją ir Sąjungos bei jos valstybių narių įsipareigojimus pagal galiojančius ES teisės aktus ir tarptautinius susitarimus dėl atvirosios jūr</w:t>
            </w:r>
            <w:r>
              <w:rPr>
                <w:b/>
                <w:i/>
              </w:rPr>
              <w:t>os. Tuo pat metu Sąjunga ir jos valstybės narės turėtų veikti regioninėse žvejybos valdymo organizacijose, siekdamos užtikrinti, kad šių organizacijų priimami sprendimai būtų grindžiami geriausiais turimais moksliniais duomenimis, ir skatinti žvejybos vald</w:t>
            </w:r>
            <w:r>
              <w:rPr>
                <w:b/>
                <w:i/>
              </w:rPr>
              <w:t>ymo sprendimų ir BBNJ susitarimo tikslų suderinamumą;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8</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lastRenderedPageBreak/>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7 e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(7e)</w:t>
            </w:r>
            <w:r>
              <w:rPr>
                <w:b/>
                <w:i/>
              </w:rPr>
              <w:tab/>
              <w:t xml:space="preserve">Sąjunga </w:t>
            </w:r>
            <w:r>
              <w:rPr>
                <w:b/>
                <w:i/>
              </w:rPr>
              <w:t>ir jos valstybės narės yra įsipareigojusios laikytis BBNJ susitarimo 7 straipsnyje nustatytų bendrųjų principų ir metodų;</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7 f konstatuojamoji dalis </w:t>
      </w:r>
      <w:r>
        <w:t>(nauja)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(7f)</w:t>
            </w:r>
            <w:r>
              <w:rPr>
                <w:b/>
                <w:i/>
              </w:rPr>
              <w:tab/>
              <w:t xml:space="preserve">Europos Parlamento ir Tarybos reglamentu (ES) Nr. 1026/2012 </w:t>
            </w:r>
            <w:r>
              <w:rPr>
                <w:b/>
                <w:i/>
                <w:vertAlign w:val="superscript"/>
              </w:rPr>
              <w:t>1a</w:t>
            </w:r>
            <w:r>
              <w:rPr>
                <w:b/>
                <w:i/>
              </w:rPr>
              <w:t xml:space="preserve"> sukurta sistema, pagal kurią galima nustatyti ir priimti priemones dėl trečiųjų valstybių, kurios nebendradarbiauja ir leidžia v</w:t>
            </w:r>
            <w:r>
              <w:rPr>
                <w:b/>
                <w:i/>
              </w:rPr>
              <w:t>ykdyti netausiąją Sąjungos bendro intereso išteklių žvejybą. Pagal tą neseniai iš dalies pakeistą reglamentą Sąjungai suteikiama galimybė nustatyti, kad trečioji valstybė leidžia vykdyti netausiąją žvejybą, jei ji, inter alia, nebendradarbiauja valdant ben</w:t>
            </w:r>
            <w:r>
              <w:rPr>
                <w:b/>
                <w:i/>
              </w:rPr>
              <w:t xml:space="preserve">dro intereso išteklius visapusiškai laikantis Jungtinių Tautų jūrų teisės konvencijos (UNCLOS) ir JT susitarimo dėl žuvų išteklių arba bet kurio kito tarptautinio susitarimo, pvz., BBNJ susitarimo, ar tarptautinės teisės normos nuostatų ir jei ji nepriima </w:t>
            </w:r>
            <w:r>
              <w:rPr>
                <w:b/>
                <w:i/>
              </w:rPr>
              <w:t>būtinų žvejybos valdymo priemonių. Šiuo atžvilgiu ši direktyva turėtų būti taikoma kartu su Reglamentu (ES) Nr. 1026/2012, visų pirma kiek tai susiję su tarptautiniu bendradarbiavimu, kuris gali būti nustatytas regioninėse žvejybos valdymo organizacijose a</w:t>
            </w:r>
            <w:r>
              <w:rPr>
                <w:b/>
                <w:i/>
              </w:rPr>
              <w:t>rba, jei jos neturi kompetencijos atitinkamų išteklių atžvilgiu, valstybių, suinteresuotų atitinkama žvejyba, ad hoc susitarimais;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__________________</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vertAlign w:val="superscript"/>
              </w:rPr>
              <w:t>1a</w:t>
            </w:r>
            <w:r>
              <w:t xml:space="preserve"> </w:t>
            </w:r>
            <w:r>
              <w:rPr>
                <w:b/>
                <w:i/>
              </w:rPr>
              <w:t xml:space="preserve">2012 m. spalio 25 d. Europos Parlamento ir Tarybos reglamentas (ES) Nr. 1026/2012 dėl tam tikrų </w:t>
            </w:r>
            <w:r>
              <w:rPr>
                <w:b/>
                <w:i/>
              </w:rPr>
              <w:t>priemonių siekiant išsaugoti žuvų išteklius, susijusių su valstybėmis, kurios leidžia vykdyti netausiąją žvejybą, OL L 316, 2012 11 14, p. 34–37.</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10</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8 a </w:t>
      </w:r>
      <w:r>
        <w:t>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(8a)</w:t>
            </w:r>
            <w:r>
              <w:rPr>
                <w:b/>
                <w:i/>
              </w:rPr>
              <w:tab/>
              <w:t>ši direktyva apsiriboja griežtu Sąjungos tarptautinių įsipareigojimų pagal BBNJ susitarimą perkėlimu į nacionalinę teisę;</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rPr>
        <w:t>&lt;Amend&gt;</w:t>
      </w:r>
      <w:r>
        <w:t>Pakeitimas</w:t>
      </w:r>
      <w:r>
        <w:tab/>
      </w:r>
      <w:r>
        <w:tab/>
      </w:r>
      <w:r>
        <w:rPr>
          <w:rStyle w:val="HideTWBExt"/>
        </w:rPr>
        <w:t>&lt;NumAm&gt;</w:t>
      </w:r>
      <w:r>
        <w:t>11</w:t>
      </w:r>
      <w:r>
        <w:rPr>
          <w:rStyle w:val="HideTWBExt"/>
        </w:rPr>
        <w:t>&lt;/NumAm&gt;</w:t>
      </w:r>
    </w:p>
    <w:p w:rsidR="00C24ACB" w:rsidRPr="00715FEB" w:rsidRDefault="008A0CBA" w:rsidP="00C24ACB">
      <w:pPr>
        <w:pStyle w:val="NormalBold12b"/>
      </w:pPr>
      <w:r>
        <w:rPr>
          <w:rStyle w:val="HideTWBExt"/>
        </w:rPr>
        <w:t>&lt;DocAmend&gt;</w:t>
      </w:r>
      <w:r>
        <w:t>Pasiūlymas dėl direktyvos</w:t>
      </w:r>
      <w:r>
        <w:rPr>
          <w:rStyle w:val="HideTWBExt"/>
        </w:rPr>
        <w:t>&lt;/DocAmend&gt;</w:t>
      </w:r>
    </w:p>
    <w:p w:rsidR="00C24ACB" w:rsidRPr="00715FEB" w:rsidRDefault="008A0CBA" w:rsidP="00C24ACB">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4C6B" w:rsidTr="003B4AE9">
        <w:trPr>
          <w:trHeight w:val="240"/>
          <w:jc w:val="center"/>
        </w:trPr>
        <w:tc>
          <w:tcPr>
            <w:tcW w:w="9752" w:type="dxa"/>
            <w:gridSpan w:val="2"/>
            <w:tcBorders>
              <w:top w:val="nil"/>
              <w:left w:val="nil"/>
              <w:bottom w:val="nil"/>
              <w:right w:val="nil"/>
            </w:tcBorders>
          </w:tcPr>
          <w:p w:rsidR="00C24ACB" w:rsidRPr="00715FEB" w:rsidRDefault="00C24ACB" w:rsidP="003B4AE9"/>
        </w:tc>
      </w:tr>
      <w:tr w:rsidR="005D4C6B" w:rsidTr="003B4AE9">
        <w:trPr>
          <w:trHeight w:val="240"/>
          <w:jc w:val="center"/>
        </w:trPr>
        <w:tc>
          <w:tcPr>
            <w:tcW w:w="4876" w:type="dxa"/>
            <w:tcBorders>
              <w:top w:val="nil"/>
              <w:left w:val="nil"/>
              <w:bottom w:val="nil"/>
              <w:right w:val="nil"/>
            </w:tcBorders>
            <w:hideMark/>
          </w:tcPr>
          <w:p w:rsidR="00C24ACB" w:rsidRPr="00715FEB" w:rsidRDefault="008A0CBA" w:rsidP="003B4AE9">
            <w:pPr>
              <w:pStyle w:val="AmColumnHeading"/>
            </w:pPr>
            <w:r>
              <w:t>Komisijos siūlomas tekstas</w:t>
            </w:r>
          </w:p>
        </w:tc>
        <w:tc>
          <w:tcPr>
            <w:tcW w:w="4876" w:type="dxa"/>
            <w:tcBorders>
              <w:top w:val="nil"/>
              <w:left w:val="nil"/>
              <w:bottom w:val="nil"/>
              <w:right w:val="nil"/>
            </w:tcBorders>
            <w:hideMark/>
          </w:tcPr>
          <w:p w:rsidR="00C24ACB" w:rsidRPr="00715FEB" w:rsidRDefault="008A0CBA" w:rsidP="003B4AE9">
            <w:pPr>
              <w:pStyle w:val="AmColumnHeading"/>
            </w:pPr>
            <w:r>
              <w:t>Pakeitimas</w:t>
            </w:r>
          </w:p>
        </w:tc>
      </w:tr>
      <w:tr w:rsidR="005D4C6B" w:rsidTr="003B4AE9">
        <w:trPr>
          <w:jc w:val="center"/>
        </w:trPr>
        <w:tc>
          <w:tcPr>
            <w:tcW w:w="4876" w:type="dxa"/>
            <w:tcBorders>
              <w:top w:val="nil"/>
              <w:left w:val="nil"/>
              <w:bottom w:val="nil"/>
              <w:right w:val="nil"/>
            </w:tcBorders>
            <w:hideMark/>
          </w:tcPr>
          <w:p w:rsidR="00C24ACB" w:rsidRPr="00715FEB" w:rsidRDefault="008A0CBA" w:rsidP="003B4AE9">
            <w:pPr>
              <w:pStyle w:val="Normal6a"/>
            </w:pPr>
            <w:r>
              <w:t>(9)</w:t>
            </w:r>
            <w:r>
              <w:tab/>
              <w:t xml:space="preserve">remiantis BBNJ susitarimu, veikla, susijusi su jūrų genetiniais ištekliais nacionalinei jurisdikcijai nepriklausančiuose </w:t>
            </w:r>
            <w:r>
              <w:t>rajonuose ir skaitmenine sekų informacija apie tokius jūrų genetinius išteklius, turi atitikti visų valstybių interesus ir būti naudinga visai žmonijai, visų pirma ja turi būti siekiama plėsti žmonijos mokslines žinias ir skatinti jūrų biologinės įvairovės</w:t>
            </w:r>
            <w:r>
              <w:t xml:space="preserve"> išsaugojimą bei tausų naudojimą, atsižvelgiant į besivystančių valstybių interesus ir poreikius;</w:t>
            </w:r>
          </w:p>
        </w:tc>
        <w:tc>
          <w:tcPr>
            <w:tcW w:w="4876" w:type="dxa"/>
            <w:tcBorders>
              <w:top w:val="nil"/>
              <w:left w:val="nil"/>
              <w:bottom w:val="nil"/>
              <w:right w:val="nil"/>
            </w:tcBorders>
            <w:hideMark/>
          </w:tcPr>
          <w:p w:rsidR="00C24ACB" w:rsidRPr="00715FEB" w:rsidRDefault="008A0CBA" w:rsidP="003B4AE9">
            <w:pPr>
              <w:pStyle w:val="Normal6a"/>
            </w:pPr>
            <w:r>
              <w:t>(9)</w:t>
            </w:r>
            <w:r>
              <w:tab/>
              <w:t>remiantis BBNJ susitarimu, veikla, susijusi su jūrų genetiniais ištekliais nacionalinei jurisdikcijai nepriklausančiuose rajonuose ir skaitmenine sekų inf</w:t>
            </w:r>
            <w:r>
              <w:t>ormacija apie tokius jūrų genetinius išteklius, turi atitikti visų valstybių interesus ir būti naudinga visai žmonijai, visų pirma ja turi būti siekiama plėsti žmonijos mokslines žinias ir skatinti jūrų biologinės įvairovės išsaugojimą bei tausų naudojimą,</w:t>
            </w:r>
            <w:r>
              <w:t xml:space="preserve"> </w:t>
            </w:r>
            <w:r>
              <w:rPr>
                <w:b/>
                <w:i/>
              </w:rPr>
              <w:t xml:space="preserve">taip pat užtikrinti apsirūpinimo maistu saugumą ir remti jūrų ekonomikos sektoriaus plėtrą, </w:t>
            </w:r>
            <w:r>
              <w:t>atsižvelgiant į besivystančių valstybių interesus ir poreikius;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lastRenderedPageBreak/>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(14)</w:t>
            </w:r>
            <w:r>
              <w:tab/>
              <w:t xml:space="preserve">BBNJ susitarimu leidžiama nacionalinei jurisdikcijai nepriklausančiuose rajonuose nustatyti atskiriems rajonams skirtas valdymo priemones, įskaitant saugomas jūrų </w:t>
            </w:r>
            <w:r>
              <w:t>teritorijas. Šalių konferencijos pagal BBNJ susitarimą priimtos priemonės turėtų būti įgyvendintos ir</w:t>
            </w:r>
            <w:r>
              <w:rPr>
                <w:b/>
                <w:i/>
              </w:rPr>
              <w:t xml:space="preserve"> prireikus</w:t>
            </w:r>
            <w:r>
              <w:t xml:space="preserve"> perkeltos į ES teisės aktus. Kol direktyva bus perkelta į nacionalinę teisę, </w:t>
            </w:r>
            <w:r>
              <w:rPr>
                <w:b/>
                <w:i/>
              </w:rPr>
              <w:t xml:space="preserve">valstybės narės </w:t>
            </w:r>
            <w:r>
              <w:t xml:space="preserve">neturėtų </w:t>
            </w:r>
            <w:r>
              <w:rPr>
                <w:b/>
                <w:i/>
              </w:rPr>
              <w:t>kenkti</w:t>
            </w:r>
            <w:r>
              <w:t xml:space="preserve"> priimtų priemonių veiksmingumui. </w:t>
            </w:r>
            <w:r>
              <w:rPr>
                <w:b/>
                <w:i/>
              </w:rPr>
              <w:t>Būtina</w:t>
            </w:r>
            <w:r>
              <w:t xml:space="preserve"> nustatyti procedūras, reikalingas valstybių narių ir </w:t>
            </w:r>
            <w:r>
              <w:rPr>
                <w:b/>
                <w:i/>
              </w:rPr>
              <w:t>Komisijos</w:t>
            </w:r>
            <w:r>
              <w:t xml:space="preserve"> veiksmų koordinavimui užtikrinti prieš pateikiant BBNJ sekretoriatui bet kokį pasiūlymą nustatyti atskiriems rajonams skirtas valdymo priemones</w:t>
            </w:r>
            <w:r>
              <w:rPr>
                <w:b/>
                <w:i/>
              </w:rPr>
              <w:t xml:space="preserve"> arba pasiūlymą</w:t>
            </w:r>
            <w:r>
              <w:t xml:space="preserve"> dėl neatidėliotinos priemon</w:t>
            </w:r>
            <w:r>
              <w:t>ės;</w:t>
            </w:r>
          </w:p>
        </w:tc>
        <w:tc>
          <w:tcPr>
            <w:tcW w:w="4876" w:type="dxa"/>
            <w:hideMark/>
          </w:tcPr>
          <w:p w:rsidR="00C24ACB" w:rsidRPr="00715FEB" w:rsidRDefault="008A0CBA" w:rsidP="003B4AE9">
            <w:pPr>
              <w:pStyle w:val="Normal6"/>
              <w:rPr>
                <w:szCs w:val="24"/>
              </w:rPr>
            </w:pPr>
            <w:r>
              <w:t>(14)</w:t>
            </w:r>
            <w:r>
              <w:tab/>
              <w:t xml:space="preserve">BBNJ susitarimu leidžiama nacionalinei jurisdikcijai nepriklausančiuose rajonuose nustatyti atskiriems rajonams skirtas valdymo priemones, įskaitant saugomas jūrų teritorijas. </w:t>
            </w:r>
            <w:r>
              <w:rPr>
                <w:b/>
                <w:i/>
              </w:rPr>
              <w:t>Kunmingo ir Monrealio pasaulinės biologinės įvairovės strategijos 3 tik</w:t>
            </w:r>
            <w:r>
              <w:rPr>
                <w:b/>
                <w:i/>
              </w:rPr>
              <w:t>sle minimos saugomos teritorijos ir kitos veiksmingos teritorinės išsaugojimo priemonės (KVTIP). Nors KVTIP nėra nurodytos BBNJ susitarime, jos gali būti laikomos atskiriems rajonams skirtų valdymo priemonių dalimi.</w:t>
            </w:r>
            <w:r>
              <w:t xml:space="preserve"> Šalių konferencijos pagal BBNJ susitarim</w:t>
            </w:r>
            <w:r>
              <w:t>ą priimtos priemonės turėtų būti įgyvendintos ir</w:t>
            </w:r>
            <w:r>
              <w:rPr>
                <w:b/>
                <w:i/>
              </w:rPr>
              <w:t>, kai tinkama,</w:t>
            </w:r>
            <w:r>
              <w:t xml:space="preserve"> perkeltos į ES teisės aktus. Kol direktyva bus perkelta į nacionalinę teisę, neturėtų </w:t>
            </w:r>
            <w:r>
              <w:rPr>
                <w:b/>
                <w:i/>
              </w:rPr>
              <w:t>būti kenkiama</w:t>
            </w:r>
            <w:r>
              <w:t xml:space="preserve"> priimtų priemonių veiksmingumui. </w:t>
            </w:r>
            <w:r>
              <w:rPr>
                <w:b/>
                <w:i/>
              </w:rPr>
              <w:t>Svarbu</w:t>
            </w:r>
            <w:r>
              <w:t xml:space="preserve"> nustatyti procedūras, reikalingas valstybių narių ir </w:t>
            </w:r>
            <w:r>
              <w:rPr>
                <w:b/>
                <w:i/>
              </w:rPr>
              <w:t>Sąjungos</w:t>
            </w:r>
            <w:r>
              <w:t xml:space="preserve"> veiksmų koordinavimui užtikrinti prieš pateikiant BBNJ sekretoriatui bet kokį pasiūlymą nustatyti atskiriems rajonams skirtas valdymo priemones</w:t>
            </w:r>
            <w:r>
              <w:rPr>
                <w:b/>
                <w:i/>
              </w:rPr>
              <w:t>. Jeigu būtina greitai reaguoti, kad būtų išvengta žalos biologinei įvairovei, ekosistemoms ar žuvininky</w:t>
            </w:r>
            <w:r>
              <w:rPr>
                <w:b/>
                <w:i/>
              </w:rPr>
              <w:t>stei, neatidėliotiną priemonę galima priimti laikotarpiu tarp konferencijų. Todėl valstybės narės turėtų turėti galimybę teikti pasiūlymus</w:t>
            </w:r>
            <w:r>
              <w:t xml:space="preserve"> dėl neatidėliotinos priemonės</w:t>
            </w:r>
            <w:r>
              <w:rPr>
                <w:b/>
                <w:i/>
              </w:rPr>
              <w:t xml:space="preserve"> tiesiogiai sekretoriatui.</w:t>
            </w:r>
            <w:r>
              <w:t xml:space="preserve"> </w:t>
            </w:r>
            <w:r>
              <w:rPr>
                <w:b/>
                <w:i/>
              </w:rPr>
              <w:t>Kai taikytina, laikantis BBNJ susitarimo, reikėtų stiprinti b</w:t>
            </w:r>
            <w:r>
              <w:rPr>
                <w:b/>
                <w:i/>
              </w:rPr>
              <w:t>endradarbiavimą ir koordinavimą su RŽVO naudojant atskiriems rajonams skirtas valdymo priemones ir išsaugojimo priemones;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15 konstatuojamoji dalis</w:t>
      </w:r>
      <w:r>
        <w:rPr>
          <w:rStyle w:val="HideTWBExt"/>
          <w:b w:val="0"/>
        </w:rPr>
        <w:t>&lt;/Arti</w:t>
      </w:r>
      <w:r>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(15)</w:t>
            </w:r>
            <w:r>
              <w:tab/>
              <w:t>pagal šią direktyvą Komisija turėtų atlikti preliminarų</w:t>
            </w:r>
            <w:r>
              <w:rPr>
                <w:b/>
                <w:i/>
              </w:rPr>
              <w:t xml:space="preserve"> teisinį</w:t>
            </w:r>
            <w:r>
              <w:t xml:space="preserve"> vertinimą, susijusį su bet kokiu pasiūlymu nustatyti atskiriems rajonams skirtas valdymo priemones arba bet kokiu pasiūlymu dėl neatidėliotinos priemonės pagal BBNJ susitarimo 19</w:t>
            </w:r>
            <w:r>
              <w:rPr>
                <w:b/>
                <w:i/>
              </w:rPr>
              <w:t xml:space="preserve"> </w:t>
            </w:r>
            <w:r>
              <w:t>straipsnį ir 24</w:t>
            </w:r>
            <w:r>
              <w:rPr>
                <w:b/>
                <w:i/>
              </w:rPr>
              <w:t xml:space="preserve"> </w:t>
            </w:r>
            <w:r>
              <w:t>straipsnio 3</w:t>
            </w:r>
            <w:r>
              <w:rPr>
                <w:b/>
                <w:i/>
              </w:rPr>
              <w:t xml:space="preserve"> </w:t>
            </w:r>
            <w:r>
              <w:t>dalį. Atliekant šį vertinimą turėtų būti įverti</w:t>
            </w:r>
            <w:r>
              <w:t xml:space="preserve">nta, ar </w:t>
            </w:r>
            <w:r>
              <w:rPr>
                <w:b/>
                <w:i/>
              </w:rPr>
              <w:t>Sąjunga turi</w:t>
            </w:r>
            <w:r>
              <w:t xml:space="preserve"> pateikti tokį pasiūlymą BBNJ sekretoriatui;</w:t>
            </w:r>
          </w:p>
        </w:tc>
        <w:tc>
          <w:tcPr>
            <w:tcW w:w="4876" w:type="dxa"/>
            <w:hideMark/>
          </w:tcPr>
          <w:p w:rsidR="00C24ACB" w:rsidRPr="00715FEB" w:rsidRDefault="008A0CBA" w:rsidP="003B4AE9">
            <w:pPr>
              <w:pStyle w:val="Normal6"/>
              <w:rPr>
                <w:szCs w:val="24"/>
              </w:rPr>
            </w:pPr>
            <w:r>
              <w:t>(15)</w:t>
            </w:r>
            <w:r>
              <w:tab/>
              <w:t>pagal šią direktyvą Komisija</w:t>
            </w:r>
            <w:r>
              <w:rPr>
                <w:b/>
                <w:i/>
              </w:rPr>
              <w:t>, siekdama padėti valstybėms narėms ir užtikrinti koordinavimą,</w:t>
            </w:r>
            <w:r>
              <w:t xml:space="preserve"> turėtų atlikti preliminarų vertinimą, susijusį su bet kokiu pasiūlymu nustatyti atskiriems raj</w:t>
            </w:r>
            <w:r>
              <w:t>onams skirtas valdymo priemones arba bet kokiu pasiūlymu dėl neatidėliotinos priemonės pagal BBNJ susitarimo 19</w:t>
            </w:r>
            <w:r>
              <w:rPr>
                <w:b/>
                <w:i/>
              </w:rPr>
              <w:t> </w:t>
            </w:r>
            <w:r>
              <w:t>straipsnį ir 24</w:t>
            </w:r>
            <w:r>
              <w:rPr>
                <w:b/>
                <w:i/>
              </w:rPr>
              <w:t> </w:t>
            </w:r>
            <w:r>
              <w:t>straipsnio 3</w:t>
            </w:r>
            <w:r>
              <w:rPr>
                <w:b/>
                <w:i/>
              </w:rPr>
              <w:t> </w:t>
            </w:r>
            <w:r>
              <w:t xml:space="preserve">dalį. Atliekant šį vertinimą turėtų būti įvertinta, ar </w:t>
            </w:r>
            <w:r>
              <w:rPr>
                <w:b/>
                <w:i/>
              </w:rPr>
              <w:t>Sąjungai reikalinga</w:t>
            </w:r>
            <w:r>
              <w:t xml:space="preserve"> pateikti tokį pasiūlymą BBNJ sekretoriat</w:t>
            </w:r>
            <w:r>
              <w:t>ui;</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rPr>
        <w:t>&lt;Amend&gt;</w:t>
      </w:r>
      <w:r>
        <w:t>Pakeitimas</w:t>
      </w:r>
      <w:r>
        <w:tab/>
      </w:r>
      <w:r>
        <w:tab/>
      </w:r>
      <w:r>
        <w:rPr>
          <w:rStyle w:val="HideTWBExt"/>
        </w:rPr>
        <w:t>&lt;NumAm&gt;</w:t>
      </w:r>
      <w:r>
        <w:t>14</w:t>
      </w:r>
      <w:r>
        <w:rPr>
          <w:rStyle w:val="HideTWBExt"/>
        </w:rPr>
        <w:t>&lt;/NumAm&gt;</w:t>
      </w:r>
    </w:p>
    <w:p w:rsidR="00C24ACB" w:rsidRPr="00715FEB" w:rsidRDefault="008A0CBA" w:rsidP="00C24ACB">
      <w:pPr>
        <w:pStyle w:val="NormalBold12b"/>
      </w:pPr>
      <w:r>
        <w:rPr>
          <w:rStyle w:val="HideTWBExt"/>
        </w:rPr>
        <w:t>&lt;DocAmend&gt;</w:t>
      </w:r>
      <w:r>
        <w:t>Pasiūlymas dėl direktyvos</w:t>
      </w:r>
      <w:r>
        <w:rPr>
          <w:rStyle w:val="HideTWBExt"/>
        </w:rPr>
        <w:t>&lt;/DocAmend&gt;</w:t>
      </w:r>
    </w:p>
    <w:p w:rsidR="00C24ACB" w:rsidRPr="00715FEB" w:rsidRDefault="008A0CBA" w:rsidP="00C24ACB">
      <w:pPr>
        <w:pStyle w:val="NormalBold"/>
      </w:pPr>
      <w:r>
        <w:rPr>
          <w:rStyle w:val="HideTWBExt"/>
        </w:rPr>
        <w:t>&lt;Article&gt;</w:t>
      </w:r>
      <w:r>
        <w:t>16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4C6B" w:rsidTr="003B4AE9">
        <w:trPr>
          <w:trHeight w:val="240"/>
          <w:jc w:val="center"/>
        </w:trPr>
        <w:tc>
          <w:tcPr>
            <w:tcW w:w="9752" w:type="dxa"/>
            <w:gridSpan w:val="2"/>
            <w:tcBorders>
              <w:top w:val="nil"/>
              <w:left w:val="nil"/>
              <w:bottom w:val="nil"/>
              <w:right w:val="nil"/>
            </w:tcBorders>
          </w:tcPr>
          <w:p w:rsidR="00C24ACB" w:rsidRPr="00715FEB" w:rsidRDefault="00C24ACB" w:rsidP="003B4AE9"/>
        </w:tc>
      </w:tr>
      <w:tr w:rsidR="005D4C6B" w:rsidTr="003B4AE9">
        <w:trPr>
          <w:trHeight w:val="240"/>
          <w:jc w:val="center"/>
        </w:trPr>
        <w:tc>
          <w:tcPr>
            <w:tcW w:w="4876" w:type="dxa"/>
            <w:tcBorders>
              <w:top w:val="nil"/>
              <w:left w:val="nil"/>
              <w:bottom w:val="nil"/>
              <w:right w:val="nil"/>
            </w:tcBorders>
            <w:hideMark/>
          </w:tcPr>
          <w:p w:rsidR="00C24ACB" w:rsidRPr="00715FEB" w:rsidRDefault="008A0CBA" w:rsidP="003B4AE9">
            <w:pPr>
              <w:pStyle w:val="AmColumnHeading"/>
            </w:pPr>
            <w:r>
              <w:t>Komisijos siūlomas tekstas</w:t>
            </w:r>
          </w:p>
        </w:tc>
        <w:tc>
          <w:tcPr>
            <w:tcW w:w="4876" w:type="dxa"/>
            <w:tcBorders>
              <w:top w:val="nil"/>
              <w:left w:val="nil"/>
              <w:bottom w:val="nil"/>
              <w:right w:val="nil"/>
            </w:tcBorders>
            <w:hideMark/>
          </w:tcPr>
          <w:p w:rsidR="00C24ACB" w:rsidRPr="00715FEB" w:rsidRDefault="008A0CBA" w:rsidP="003B4AE9">
            <w:pPr>
              <w:pStyle w:val="AmColumnHeading"/>
            </w:pPr>
            <w:r>
              <w:t>Pakeitimas</w:t>
            </w:r>
          </w:p>
        </w:tc>
      </w:tr>
      <w:tr w:rsidR="005D4C6B" w:rsidTr="003B4AE9">
        <w:trPr>
          <w:jc w:val="center"/>
        </w:trPr>
        <w:tc>
          <w:tcPr>
            <w:tcW w:w="4876" w:type="dxa"/>
            <w:tcBorders>
              <w:top w:val="nil"/>
              <w:left w:val="nil"/>
              <w:bottom w:val="nil"/>
              <w:right w:val="nil"/>
            </w:tcBorders>
          </w:tcPr>
          <w:p w:rsidR="00C24ACB" w:rsidRPr="00715FEB" w:rsidRDefault="00C24ACB" w:rsidP="003B4AE9">
            <w:pPr>
              <w:pStyle w:val="Normal6a"/>
            </w:pPr>
          </w:p>
        </w:tc>
        <w:tc>
          <w:tcPr>
            <w:tcW w:w="4876" w:type="dxa"/>
            <w:tcBorders>
              <w:top w:val="nil"/>
              <w:left w:val="nil"/>
              <w:bottom w:val="nil"/>
              <w:right w:val="nil"/>
            </w:tcBorders>
            <w:hideMark/>
          </w:tcPr>
          <w:p w:rsidR="00C24ACB" w:rsidRPr="00715FEB" w:rsidRDefault="008A0CBA" w:rsidP="003B4AE9">
            <w:pPr>
              <w:pStyle w:val="Normal6a"/>
            </w:pPr>
            <w:r>
              <w:rPr>
                <w:b/>
                <w:i/>
              </w:rPr>
              <w:t>(16a)</w:t>
            </w:r>
            <w:r>
              <w:tab/>
            </w:r>
            <w:r>
              <w:rPr>
                <w:b/>
                <w:i/>
              </w:rPr>
              <w:t xml:space="preserve">siekiant užtikrinti veiksmingą šio Susitarimo </w:t>
            </w:r>
            <w:r>
              <w:rPr>
                <w:b/>
                <w:i/>
              </w:rPr>
              <w:t>įgyvendinimą, sprendimų priėmimo procesai ir keitimosi informacija centras turėtų veikti veiksmingai, remiantis geriausiais turimais moksliniais duomenimis ir moksline informacija, užtikrinant operacijų efektyvumą, tinkamai atsižvelgiant į atitinkamus suin</w:t>
            </w:r>
            <w:r>
              <w:rPr>
                <w:b/>
                <w:i/>
              </w:rPr>
              <w:t>teresuotuosius subjektus ir su jais palaikant dialogą;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15</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(17)</w:t>
            </w:r>
            <w:r>
              <w:tab/>
              <w:t xml:space="preserve">Sąjunga yra </w:t>
            </w:r>
            <w:r>
              <w:t xml:space="preserve">Jungtinių Tautų Europos ekonomikos komisijos konvencijos dėl teisės gauti informaciją, visuomenės dalyvavimo priimant sprendimus ir teisės kreiptis į teismus </w:t>
            </w:r>
            <w:r>
              <w:lastRenderedPageBreak/>
              <w:t>aplinkosaugos klausimais, pasirašytos 1998 m. birželio 25 d. Orhuse ir ratifikuotos 2005 m. vasari</w:t>
            </w:r>
            <w:r>
              <w:t>o 17 d., šalis. Sąjunga yra Jungtinių Tautų Europos ekonomikos komisijos konvencijos dėl poveikio aplinkai vertinimo tarpvalstybiniame kontekste, pasirašytos 1991 m. vasario 25 d. Espe ir ratifikuotos 1997 m. birželio 24 d., šalis. Pareigos pagal šias konv</w:t>
            </w:r>
            <w:r>
              <w:t xml:space="preserve">encijas ir toliau turėtų būti taikomos srityse, kurioms taikoma ši direktyva. Espo konvencija siekiama stiprinti tarptautinį bendradarbiavimą vertinant poveikį aplinkai, ypač tarpvalstybiniame kontekste. </w:t>
            </w:r>
            <w:r>
              <w:rPr>
                <w:b/>
                <w:i/>
              </w:rPr>
              <w:t xml:space="preserve">Vienas iš </w:t>
            </w:r>
            <w:r>
              <w:t xml:space="preserve">Orhuso konvencijos </w:t>
            </w:r>
            <w:r>
              <w:rPr>
                <w:b/>
                <w:i/>
              </w:rPr>
              <w:t>tikslų –</w:t>
            </w:r>
            <w:r>
              <w:t xml:space="preserve"> užtikrinti vis</w:t>
            </w:r>
            <w:r>
              <w:t>uomenės dalyvavimo priimant sprendimus aplinkosaugos klausimais teises, kad būtų geriau saugoma teisė gyventi aplinkoje, tinkamoje žmonių sveikatai ir gerovei. Taikant šią direktyvą, visuomenės dalyvavimo priimant sprendimus aplinkosaugos klausimais teisėm</w:t>
            </w:r>
            <w:r>
              <w:t>is turėtų būti naudojamasi laikantis tų pačių principų, kurie nustatyti Orhuso konvencijoje;</w:t>
            </w:r>
          </w:p>
        </w:tc>
        <w:tc>
          <w:tcPr>
            <w:tcW w:w="4876" w:type="dxa"/>
            <w:hideMark/>
          </w:tcPr>
          <w:p w:rsidR="00C24ACB" w:rsidRPr="00715FEB" w:rsidRDefault="008A0CBA" w:rsidP="003B4AE9">
            <w:pPr>
              <w:pStyle w:val="Normal6"/>
              <w:rPr>
                <w:szCs w:val="24"/>
              </w:rPr>
            </w:pPr>
            <w:r>
              <w:lastRenderedPageBreak/>
              <w:t>(17)</w:t>
            </w:r>
            <w:r>
              <w:tab/>
              <w:t>Sąjunga yra Jungtinių Tautų Europos ekonomikos komisijos konvencijos dėl teisės gauti informaciją, visuomenės dalyvavimo priimant sprendimus ir teisės kreipti</w:t>
            </w:r>
            <w:r>
              <w:t xml:space="preserve">s į teismus </w:t>
            </w:r>
            <w:r>
              <w:lastRenderedPageBreak/>
              <w:t xml:space="preserve">aplinkosaugos klausimais, pasirašytos 1998 m. birželio 25 d. Orhuse ir ratifikuotos 2005 m. vasario 17 d., šalis. Sąjunga yra Jungtinių Tautų Europos ekonomikos komisijos konvencijos dėl poveikio aplinkai vertinimo tarpvalstybiniame kontekste, </w:t>
            </w:r>
            <w:r>
              <w:t>pasirašytos 1991 m. vasario 25 d. Espe ir ratifikuotos 1997 m. birželio 24 d., šalis. Pareigos pagal šias konvencijas ir toliau turėtų būti taikomos srityse, kurioms taikoma ši direktyva. Espo konvencija siekiama stiprinti tarptautinį bendradarbiavimą vert</w:t>
            </w:r>
            <w:r>
              <w:t xml:space="preserve">inant poveikį aplinkai, ypač tarpvalstybiniame kontekste. Orhuso konvencijos </w:t>
            </w:r>
            <w:r>
              <w:rPr>
                <w:b/>
                <w:i/>
              </w:rPr>
              <w:t>tikslais siekiama</w:t>
            </w:r>
            <w:r>
              <w:t xml:space="preserve"> užtikrinti </w:t>
            </w:r>
            <w:r>
              <w:rPr>
                <w:b/>
                <w:i/>
              </w:rPr>
              <w:t xml:space="preserve">teisę gauti informaciją, </w:t>
            </w:r>
            <w:r>
              <w:t>visuomenės dalyvavimo priimant sprendimus aplinkosaugos klausimais teises</w:t>
            </w:r>
            <w:r>
              <w:rPr>
                <w:b/>
                <w:i/>
              </w:rPr>
              <w:t xml:space="preserve"> ir teisę kreiptis į teismą šiais klausimais</w:t>
            </w:r>
            <w:r>
              <w:t>, kad bū</w:t>
            </w:r>
            <w:r>
              <w:t>tų geriau saugoma teisė gyventi aplinkoje, tinkamoje žmonių sveikatai ir gerovei. Taikant šią direktyvą, visuomenės dalyvavimo priimant sprendimus aplinkosaugos klausimais teisėmis turėtų būti naudojamasi laikantis tų pačių principų, kurie nustatyti Orhuso</w:t>
            </w:r>
            <w:r>
              <w:t xml:space="preserve"> konvencijoje;</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16</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(19)</w:t>
            </w:r>
            <w:r>
              <w:tab/>
            </w:r>
            <w:r>
              <w:rPr>
                <w:b/>
                <w:i/>
              </w:rPr>
              <w:t>kadangi</w:t>
            </w:r>
            <w:r>
              <w:t xml:space="preserve"> kitos taikytinos teisinės priemonės ar sistemos arba pasaulinės, regioninės, subregioninės ar sektorinės įstaigos sudaro sistemą, pagal kurią vertinamas nacionalinei jurisdikcijai priklausančios arba kontroliuojamos planuojamos veiklos, vykdomos nacionali</w:t>
            </w:r>
            <w:r>
              <w:t xml:space="preserve">nei jurisdikcijai nepriklausančiuose rajonuose, poveikis, neturėtų būti reikalaujama, kad valstybės narės atliktų tikrinimą arba poveikio </w:t>
            </w:r>
            <w:r>
              <w:lastRenderedPageBreak/>
              <w:t>aplinkai vertinimą pagal šią direktyvą BBNJ susitarimo 29</w:t>
            </w:r>
            <w:r>
              <w:rPr>
                <w:b/>
                <w:i/>
              </w:rPr>
              <w:t xml:space="preserve"> </w:t>
            </w:r>
            <w:r>
              <w:t>straipsnio 4</w:t>
            </w:r>
            <w:r>
              <w:rPr>
                <w:b/>
                <w:i/>
              </w:rPr>
              <w:t xml:space="preserve"> </w:t>
            </w:r>
            <w:r>
              <w:t xml:space="preserve">dalyje </w:t>
            </w:r>
            <w:r>
              <w:rPr>
                <w:b/>
                <w:i/>
              </w:rPr>
              <w:t>nustatytomis sąlygomis</w:t>
            </w:r>
            <w:r>
              <w:t>. Tokiais atvejais</w:t>
            </w:r>
            <w:r>
              <w:t xml:space="preserve"> atitinkama valstybė narė turėtų užtikrinti, kad poveikio aplinkai vertinimo ataskaita būtų paskelbta per BBNJ keitimosi informacija centrą;</w:t>
            </w:r>
          </w:p>
        </w:tc>
        <w:tc>
          <w:tcPr>
            <w:tcW w:w="4876" w:type="dxa"/>
            <w:hideMark/>
          </w:tcPr>
          <w:p w:rsidR="00C24ACB" w:rsidRPr="00715FEB" w:rsidRDefault="008A0CBA" w:rsidP="003B4AE9">
            <w:pPr>
              <w:pStyle w:val="Normal6"/>
              <w:rPr>
                <w:szCs w:val="24"/>
              </w:rPr>
            </w:pPr>
            <w:r>
              <w:lastRenderedPageBreak/>
              <w:t>(19)</w:t>
            </w:r>
            <w:r>
              <w:tab/>
            </w:r>
            <w:r>
              <w:rPr>
                <w:b/>
                <w:i/>
              </w:rPr>
              <w:t>kai</w:t>
            </w:r>
            <w:r>
              <w:t xml:space="preserve"> kitos taikytinos teisinės priemonės ar</w:t>
            </w:r>
            <w:r>
              <w:rPr>
                <w:b/>
                <w:i/>
              </w:rPr>
              <w:t xml:space="preserve"> teisinės</w:t>
            </w:r>
            <w:r>
              <w:t xml:space="preserve"> sistemos arba pasaulinės, regioninės, subregioninės ar sek</w:t>
            </w:r>
            <w:r>
              <w:t>torinės įstaigos</w:t>
            </w:r>
            <w:r>
              <w:rPr>
                <w:b/>
                <w:i/>
              </w:rPr>
              <w:t>, pvz., Tarptautinė jūrų organizacija (IMO), regioninės žvejybos valdymo organizacijos (RŽVO) ar bendra žuvininkystės politika (BŽP)</w:t>
            </w:r>
            <w:r>
              <w:t xml:space="preserve"> sudaro sistemą, pagal kurią vertinamas nacionalinei jurisdikcijai priklausančios arba kontroliuojamos planu</w:t>
            </w:r>
            <w:r>
              <w:t xml:space="preserve">ojamos veiklos, vykdomos nacionalinei jurisdikcijai </w:t>
            </w:r>
            <w:r>
              <w:lastRenderedPageBreak/>
              <w:t>nepriklausančiuose rajonuose, poveikis, neturėtų būti reikalaujama, kad valstybės narės atliktų tikrinimą arba poveikio aplinkai vertinimą pagal šią direktyvą</w:t>
            </w:r>
            <w:r>
              <w:rPr>
                <w:b/>
                <w:i/>
              </w:rPr>
              <w:t>, jei valstybės narės, kurių jurisdikcijai pri</w:t>
            </w:r>
            <w:r>
              <w:rPr>
                <w:b/>
                <w:i/>
              </w:rPr>
              <w:t>klauso planuojama veikla arba kurios ją kontroliuoja, nustato, kad tenkinamos</w:t>
            </w:r>
            <w:r>
              <w:t xml:space="preserve"> BBNJ susitarimo 29</w:t>
            </w:r>
            <w:r>
              <w:rPr>
                <w:b/>
                <w:i/>
              </w:rPr>
              <w:t> </w:t>
            </w:r>
            <w:r>
              <w:t>straipsnio 4</w:t>
            </w:r>
            <w:r>
              <w:rPr>
                <w:b/>
                <w:i/>
              </w:rPr>
              <w:t> </w:t>
            </w:r>
            <w:r>
              <w:t xml:space="preserve">dalyje </w:t>
            </w:r>
            <w:r>
              <w:rPr>
                <w:b/>
                <w:i/>
              </w:rPr>
              <w:t>nustatytos sąlygos</w:t>
            </w:r>
            <w:r>
              <w:t>. Tokiais atvejais atitinkama valstybė narė turėtų užtikrinti, kad poveikio aplinkai vertinimo ataskaita būtų paskelbta p</w:t>
            </w:r>
            <w:r>
              <w:t>er BBNJ keitimosi informacija centrą;</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17</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23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(23)</w:t>
            </w:r>
            <w:r>
              <w:tab/>
              <w:t xml:space="preserve">kompetentingos institucijos ar </w:t>
            </w:r>
            <w:r>
              <w:t>institucijų priimti sprendimai, kuriais leidžiama vykdyti planuojamą veiklą nacionalinei jurisdikcijai nepriklausančiuose rajonuose, gali būti priimami kaip įvairūs teisės aktai (pvz., sutikimas dėl planuojamos veiklos, sprendimai, leidimai ir kitos leidim</w:t>
            </w:r>
            <w:r>
              <w:t>ų formos), atsižvelgiant į valstybėse narėse taikomas nacionalines procedūras. Neatsižvelgiant į tokių sprendimų priėmimo pagal nacionalinę teisę formą, pavadinimą ar procedūrą, valstybės narės turėtų užtikrinti, kad nacionalinei jurisdikcijai nepriklausan</w:t>
            </w:r>
            <w:r>
              <w:t>čiuose rajonuose vykdoma planuojama veikla, kuri gali sukelti didelę taršą arba reikšmingus ir žalingus jūros aplinkos pokyčius, būtų įvertinta prieš suteikiant leidimą;</w:t>
            </w:r>
          </w:p>
        </w:tc>
        <w:tc>
          <w:tcPr>
            <w:tcW w:w="4876" w:type="dxa"/>
            <w:hideMark/>
          </w:tcPr>
          <w:p w:rsidR="00C24ACB" w:rsidRPr="00715FEB" w:rsidRDefault="008A0CBA" w:rsidP="003B4AE9">
            <w:pPr>
              <w:pStyle w:val="Normal6"/>
              <w:rPr>
                <w:szCs w:val="24"/>
              </w:rPr>
            </w:pPr>
            <w:r>
              <w:t>(23)</w:t>
            </w:r>
            <w:r>
              <w:tab/>
              <w:t xml:space="preserve">kompetentingos institucijos ar institucijų priimti sprendimai, kuriais leidžiama </w:t>
            </w:r>
            <w:r>
              <w:t>vykdyti planuojamą veiklą nacionalinei jurisdikcijai nepriklausančiuose rajonuose, gali būti priimami kaip įvairūs teisės aktai (pvz., sutikimas dėl planuojamos veiklos, sprendimai, leidimai ir kitos leidimų formos), atsižvelgiant į valstybėse narėse taiko</w:t>
            </w:r>
            <w:r>
              <w:t>mas nacionalines procedūras. Neatsižvelgiant į tokių sprendimų priėmimo pagal nacionalinę teisę formą, pavadinimą ar procedūrą, valstybės narės turėtų užtikrinti, kad nacionalinei jurisdikcijai nepriklausančiuose rajonuose vykdoma planuojama veikla, kuri g</w:t>
            </w:r>
            <w:r>
              <w:t xml:space="preserve">ali sukelti didelę taršą arba reikšmingus ir žalingus jūros aplinkos pokyčius, būtų įvertinta prieš suteikiant leidimą. </w:t>
            </w:r>
            <w:r>
              <w:rPr>
                <w:b/>
                <w:i/>
              </w:rPr>
              <w:t>Turėtų būti laikoma, kad jau buvo atliktas RŽVO arba BŽP reguliuojamos žvejybos veiklos tikrinimo procesas ir kad gali būti nebūtina atl</w:t>
            </w:r>
            <w:r>
              <w:rPr>
                <w:b/>
                <w:i/>
              </w:rPr>
              <w:t xml:space="preserve">ikti naują tikrinimą, jeigu valstybės narės nustato, kad tenkinamos BBNJ susitarimo 8 straipsnio 6 dalyje </w:t>
            </w:r>
            <w:r>
              <w:rPr>
                <w:b/>
                <w:i/>
              </w:rPr>
              <w:lastRenderedPageBreak/>
              <w:t>nustatytos sąlygos;</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18</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 straipsnio 1 a dalis (na</w:t>
      </w:r>
      <w:r>
        <w:t>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1a.</w:t>
            </w:r>
            <w:r>
              <w:rPr>
                <w:b/>
                <w:i/>
              </w:rPr>
              <w:tab/>
              <w:t>Ši direktyva taikoma nacionalinei jurisdikcijai nepriklausantiems rajonams. Joje nustatytos taisyklės, taikomos jūrų genetiniams ištekliams ir skaitmeninei sekų informacijai, planuojamos veiklos,</w:t>
            </w:r>
            <w:r>
              <w:rPr>
                <w:b/>
                <w:i/>
              </w:rPr>
              <w:t xml:space="preserve"> kuri priklauso valstybių narių jurisdikcijai arba yra jų kontroliuojama, poveikio aplinkai vertinimams, taip pat atskiriems rajonams skirtų valdymo priemonių ir neatidėliotinų priemonių nustatymo ir įgyvendinimo taisyklės. Ji taikoma kartu su Sąjungos tai</w:t>
            </w:r>
            <w:r>
              <w:rPr>
                <w:b/>
                <w:i/>
              </w:rPr>
              <w:t>syklėmis ir politikos priemonėmis bendros žuvininkystės politikos (BŽP) srityje.</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19</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2 straipsnio 1 pastraipos 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 xml:space="preserve">Komisijos siūlomas </w:t>
            </w:r>
            <w:r>
              <w:t>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i)</w:t>
            </w:r>
            <w:r>
              <w:tab/>
              <w:t xml:space="preserve">planuojama veikla – veikla, susijusi su </w:t>
            </w:r>
            <w:r>
              <w:rPr>
                <w:b/>
                <w:i/>
              </w:rPr>
              <w:t>statybos darbų vykdymu, įrenginiais</w:t>
            </w:r>
            <w:r>
              <w:t xml:space="preserve">, </w:t>
            </w:r>
            <w:r>
              <w:rPr>
                <w:b/>
                <w:i/>
              </w:rPr>
              <w:t>sistemų diegimu ar kitais intervenciniais veiksmais jūros aplinkoje</w:t>
            </w:r>
            <w:r>
              <w:t xml:space="preserve">, </w:t>
            </w:r>
            <w:r>
              <w:rPr>
                <w:b/>
                <w:i/>
              </w:rPr>
              <w:t>įskaitant</w:t>
            </w:r>
            <w:r>
              <w:t xml:space="preserve"> gamtos išteklių naudojimo tikslu vykdomą reguliarią veiklą;</w:t>
            </w:r>
          </w:p>
        </w:tc>
        <w:tc>
          <w:tcPr>
            <w:tcW w:w="4876" w:type="dxa"/>
            <w:hideMark/>
          </w:tcPr>
          <w:p w:rsidR="00C24ACB" w:rsidRPr="00715FEB" w:rsidRDefault="008A0CBA" w:rsidP="003B4AE9">
            <w:pPr>
              <w:pStyle w:val="Normal6"/>
              <w:rPr>
                <w:szCs w:val="24"/>
              </w:rPr>
            </w:pPr>
            <w:r>
              <w:t>i)</w:t>
            </w:r>
            <w:r>
              <w:tab/>
              <w:t>planuojama vei</w:t>
            </w:r>
            <w:r>
              <w:t xml:space="preserve">kla – </w:t>
            </w:r>
            <w:r>
              <w:rPr>
                <w:b/>
                <w:i/>
              </w:rPr>
              <w:t xml:space="preserve">bet kokia </w:t>
            </w:r>
            <w:r>
              <w:t xml:space="preserve">veikla, susijusi su </w:t>
            </w:r>
            <w:r>
              <w:rPr>
                <w:b/>
                <w:i/>
              </w:rPr>
              <w:t>intervenciniais veiksmais jūros aplinkoje</w:t>
            </w:r>
            <w:r>
              <w:t xml:space="preserve">, </w:t>
            </w:r>
            <w:r>
              <w:rPr>
                <w:b/>
                <w:i/>
              </w:rPr>
              <w:t>įskaitant susijusią su statybos darbų vykdymu, įrenginiais</w:t>
            </w:r>
            <w:r>
              <w:t xml:space="preserve">, </w:t>
            </w:r>
            <w:r>
              <w:rPr>
                <w:b/>
                <w:i/>
              </w:rPr>
              <w:t>sistemomis ir</w:t>
            </w:r>
            <w:r>
              <w:t xml:space="preserve"> gamtos išteklių naudojimo tikslu vykdomą reguliarią veiklą;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20</w:t>
      </w:r>
      <w:r>
        <w:rPr>
          <w:rStyle w:val="HideTWBExt"/>
          <w:b w:val="0"/>
        </w:rPr>
        <w:t>&lt;/Num</w:t>
      </w:r>
      <w:r>
        <w:rPr>
          <w:rStyle w:val="HideTWBExt"/>
          <w:b w:val="0"/>
        </w:rPr>
        <w:t>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2 straipsnio 1 pastraipos j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j)</w:t>
            </w:r>
            <w:r>
              <w:tab/>
              <w:t xml:space="preserve">jurisdikcijai priklausanti arba kontroliuojama veikla – </w:t>
            </w:r>
            <w:r>
              <w:rPr>
                <w:b/>
                <w:i/>
              </w:rPr>
              <w:t>viešųjų</w:t>
            </w:r>
            <w:r>
              <w:t xml:space="preserve"> ir </w:t>
            </w:r>
            <w:r>
              <w:rPr>
                <w:b/>
                <w:i/>
              </w:rPr>
              <w:t>privačiųjų subjektų</w:t>
            </w:r>
            <w:r>
              <w:t xml:space="preserve"> vykdoma veikla, kurios atžvilgiu valstybė narė pagal tarptautinę teisę gali naudotis savo kompetencija ar įgaliojimais;</w:t>
            </w:r>
          </w:p>
        </w:tc>
        <w:tc>
          <w:tcPr>
            <w:tcW w:w="4876" w:type="dxa"/>
            <w:hideMark/>
          </w:tcPr>
          <w:p w:rsidR="00C24ACB" w:rsidRPr="00715FEB" w:rsidRDefault="008A0CBA" w:rsidP="003B4AE9">
            <w:pPr>
              <w:pStyle w:val="Normal6"/>
              <w:rPr>
                <w:szCs w:val="24"/>
              </w:rPr>
            </w:pPr>
            <w:r>
              <w:t>j)</w:t>
            </w:r>
            <w:r>
              <w:tab/>
              <w:t xml:space="preserve">jurisdikcijai priklausanti arba kontroliuojama veikla – </w:t>
            </w:r>
            <w:r>
              <w:rPr>
                <w:b/>
                <w:i/>
              </w:rPr>
              <w:t>fizinių ar juridinių asmenų, įskaitant viešuosius</w:t>
            </w:r>
            <w:r>
              <w:t xml:space="preserve"> ir </w:t>
            </w:r>
            <w:r>
              <w:rPr>
                <w:b/>
                <w:i/>
              </w:rPr>
              <w:t>privačiuosius subjektus</w:t>
            </w:r>
            <w:r>
              <w:rPr>
                <w:b/>
                <w:i/>
              </w:rPr>
              <w:t>,</w:t>
            </w:r>
            <w:r>
              <w:t xml:space="preserve"> vykdoma veikla, kurios atžvilgiu valstybė narė pagal tarptautinę teisę gali naudotis savo kompetencija ar įgaliojimais;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21</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2 straipsnio 1 pastraipos n </w:t>
      </w:r>
      <w:r>
        <w:t>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n)</w:t>
            </w:r>
            <w:r>
              <w:tab/>
              <w:t>visuomenė – suinteresuotoji visuomenė, taip pat čiabuvių tautos ir vietos bendruomenės, turinčios atitinkamų tradicinių žinių, atitinkamos pasaulinės, regioninės, subregioninės ir sektorinės įst</w:t>
            </w:r>
            <w:r>
              <w:t>aigos bei mokslo bendruomenė;</w:t>
            </w:r>
          </w:p>
        </w:tc>
        <w:tc>
          <w:tcPr>
            <w:tcW w:w="4876" w:type="dxa"/>
            <w:hideMark/>
          </w:tcPr>
          <w:p w:rsidR="00C24ACB" w:rsidRPr="00715FEB" w:rsidRDefault="008A0CBA" w:rsidP="003B4AE9">
            <w:pPr>
              <w:pStyle w:val="Normal6"/>
              <w:rPr>
                <w:szCs w:val="24"/>
              </w:rPr>
            </w:pPr>
            <w:r>
              <w:rPr>
                <w:i/>
              </w:rPr>
              <w:t>(Tekstas lietuvių kalba nekeičiamas.)</w:t>
            </w:r>
            <w:r>
              <w:tab/>
              <w:t xml:space="preserve"> </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22</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3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w:t>
            </w:r>
            <w:r>
              <w:tab/>
              <w:t xml:space="preserve">Ši </w:t>
            </w:r>
            <w:r>
              <w:t>direktyva taikoma valstybių narių jurisdikcijai priklausančiai ar jų kontroliuojamai planuojamai veiklai, vykdomai nacionalinei jurisdikcijai nepriklausančiuose rajonuose.</w:t>
            </w:r>
          </w:p>
        </w:tc>
        <w:tc>
          <w:tcPr>
            <w:tcW w:w="4876" w:type="dxa"/>
            <w:hideMark/>
          </w:tcPr>
          <w:p w:rsidR="00C24ACB" w:rsidRPr="00715FEB" w:rsidRDefault="008A0CBA" w:rsidP="003B4AE9">
            <w:pPr>
              <w:pStyle w:val="Normal6"/>
              <w:rPr>
                <w:szCs w:val="24"/>
              </w:rPr>
            </w:pPr>
            <w:r>
              <w:t>1.</w:t>
            </w:r>
            <w:r>
              <w:tab/>
              <w:t>Ši direktyva taikoma valstybių narių jurisdikcijai priklausančiai ar jų kontroliu</w:t>
            </w:r>
            <w:r>
              <w:t>ojamai planuojamai veiklai, vykdomai nacionalinei jurisdikcijai nepriklausančiuose rajonuose</w:t>
            </w:r>
            <w:r>
              <w:rPr>
                <w:b/>
                <w:i/>
              </w:rPr>
              <w:t>, nedarant poveikio valstybių narių kompetencijai</w:t>
            </w:r>
            <w:r>
              <w:t>.</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rPr>
        <w:t>&lt;Amend&gt;</w:t>
      </w:r>
      <w:r>
        <w:t>Pakeitimas</w:t>
      </w:r>
      <w:r>
        <w:tab/>
      </w:r>
      <w:r>
        <w:tab/>
      </w:r>
      <w:r>
        <w:rPr>
          <w:rStyle w:val="HideTWBExt"/>
        </w:rPr>
        <w:t>&lt;NumAm&gt;</w:t>
      </w:r>
      <w:r>
        <w:t>23</w:t>
      </w:r>
      <w:r>
        <w:rPr>
          <w:rStyle w:val="HideTWBExt"/>
        </w:rPr>
        <w:t>&lt;/NumAm&gt;</w:t>
      </w:r>
    </w:p>
    <w:p w:rsidR="00C24ACB" w:rsidRPr="00715FEB" w:rsidRDefault="008A0CBA" w:rsidP="00C24ACB">
      <w:pPr>
        <w:pStyle w:val="NormalBold12b"/>
      </w:pPr>
      <w:r>
        <w:rPr>
          <w:rStyle w:val="HideTWBExt"/>
        </w:rPr>
        <w:t>&lt;DocAmend&gt;</w:t>
      </w:r>
      <w:r>
        <w:t>Pasiūlymas dėl direktyvos</w:t>
      </w:r>
      <w:r>
        <w:rPr>
          <w:rStyle w:val="HideTWBExt"/>
        </w:rPr>
        <w:t>&lt;/DocAmend&gt;</w:t>
      </w:r>
    </w:p>
    <w:p w:rsidR="00C24ACB" w:rsidRPr="00715FEB" w:rsidRDefault="008A0CBA" w:rsidP="00C24ACB">
      <w:pPr>
        <w:pStyle w:val="NormalBold"/>
      </w:pPr>
      <w:r>
        <w:rPr>
          <w:rStyle w:val="HideTWBExt"/>
        </w:rPr>
        <w:t>&lt;Article&gt;</w:t>
      </w:r>
      <w:r>
        <w:t xml:space="preserve">3 </w:t>
      </w:r>
      <w:r>
        <w:t>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4C6B" w:rsidTr="003B4AE9">
        <w:trPr>
          <w:trHeight w:val="240"/>
          <w:jc w:val="center"/>
        </w:trPr>
        <w:tc>
          <w:tcPr>
            <w:tcW w:w="9752" w:type="dxa"/>
            <w:gridSpan w:val="2"/>
            <w:tcBorders>
              <w:top w:val="nil"/>
              <w:left w:val="nil"/>
              <w:bottom w:val="nil"/>
              <w:right w:val="nil"/>
            </w:tcBorders>
          </w:tcPr>
          <w:p w:rsidR="00C24ACB" w:rsidRPr="00715FEB" w:rsidRDefault="00C24ACB" w:rsidP="003B4AE9"/>
        </w:tc>
      </w:tr>
      <w:tr w:rsidR="005D4C6B" w:rsidTr="003B4AE9">
        <w:trPr>
          <w:trHeight w:val="240"/>
          <w:jc w:val="center"/>
        </w:trPr>
        <w:tc>
          <w:tcPr>
            <w:tcW w:w="4876" w:type="dxa"/>
            <w:tcBorders>
              <w:top w:val="nil"/>
              <w:left w:val="nil"/>
              <w:bottom w:val="nil"/>
              <w:right w:val="nil"/>
            </w:tcBorders>
            <w:hideMark/>
          </w:tcPr>
          <w:p w:rsidR="00C24ACB" w:rsidRPr="00715FEB" w:rsidRDefault="008A0CBA" w:rsidP="003B4AE9">
            <w:pPr>
              <w:pStyle w:val="AmColumnHeading"/>
            </w:pPr>
            <w:r>
              <w:lastRenderedPageBreak/>
              <w:t>Komisijos siūlomas tekstas</w:t>
            </w:r>
          </w:p>
        </w:tc>
        <w:tc>
          <w:tcPr>
            <w:tcW w:w="4876" w:type="dxa"/>
            <w:tcBorders>
              <w:top w:val="nil"/>
              <w:left w:val="nil"/>
              <w:bottom w:val="nil"/>
              <w:right w:val="nil"/>
            </w:tcBorders>
            <w:hideMark/>
          </w:tcPr>
          <w:p w:rsidR="00C24ACB" w:rsidRPr="00715FEB" w:rsidRDefault="008A0CBA" w:rsidP="003B4AE9">
            <w:pPr>
              <w:pStyle w:val="AmColumnHeading"/>
            </w:pPr>
            <w:r>
              <w:t>Pakeitimas</w:t>
            </w:r>
          </w:p>
        </w:tc>
      </w:tr>
      <w:tr w:rsidR="005D4C6B" w:rsidTr="003B4AE9">
        <w:trPr>
          <w:jc w:val="center"/>
        </w:trPr>
        <w:tc>
          <w:tcPr>
            <w:tcW w:w="4876" w:type="dxa"/>
            <w:tcBorders>
              <w:top w:val="nil"/>
              <w:left w:val="nil"/>
              <w:bottom w:val="nil"/>
              <w:right w:val="nil"/>
            </w:tcBorders>
          </w:tcPr>
          <w:p w:rsidR="00C24ACB" w:rsidRPr="00715FEB" w:rsidRDefault="00C24ACB" w:rsidP="003B4AE9">
            <w:pPr>
              <w:pStyle w:val="Normal6a"/>
            </w:pPr>
          </w:p>
        </w:tc>
        <w:tc>
          <w:tcPr>
            <w:tcW w:w="4876" w:type="dxa"/>
            <w:tcBorders>
              <w:top w:val="nil"/>
              <w:left w:val="nil"/>
              <w:bottom w:val="nil"/>
              <w:right w:val="nil"/>
            </w:tcBorders>
            <w:hideMark/>
          </w:tcPr>
          <w:p w:rsidR="00C24ACB" w:rsidRPr="00715FEB" w:rsidRDefault="008A0CBA" w:rsidP="003B4AE9">
            <w:pPr>
              <w:pStyle w:val="Normal6a"/>
            </w:pPr>
            <w:r>
              <w:rPr>
                <w:b/>
                <w:i/>
              </w:rPr>
              <w:t>1b.</w:t>
            </w:r>
            <w:r>
              <w:tab/>
            </w:r>
            <w:r>
              <w:rPr>
                <w:b/>
                <w:i/>
              </w:rPr>
              <w:t>Direktyva jokiomis aplinkybėmis nekliudo procesams, kuriais valstybės narės siekia išplėsti savo kontinentinį šelfą Jungtinių Tautų Kontinentinio šelfo ribų komisijoje.</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24</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4 straipsnio 2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a)</w:t>
            </w:r>
            <w:r>
              <w:tab/>
              <w:t xml:space="preserve">žvejybai, reglamentuojamai pagal taikomą tarptautinę teisę, ir su </w:t>
            </w:r>
            <w:r>
              <w:t>žvejyba susijusiai veiklai, taip pat</w:t>
            </w:r>
          </w:p>
        </w:tc>
        <w:tc>
          <w:tcPr>
            <w:tcW w:w="4876" w:type="dxa"/>
            <w:hideMark/>
          </w:tcPr>
          <w:p w:rsidR="00C24ACB" w:rsidRPr="00715FEB" w:rsidRDefault="008A0CBA" w:rsidP="003B4AE9">
            <w:pPr>
              <w:pStyle w:val="Normal6"/>
              <w:rPr>
                <w:szCs w:val="24"/>
              </w:rPr>
            </w:pPr>
            <w:r>
              <w:t>a)</w:t>
            </w:r>
            <w:r>
              <w:tab/>
              <w:t>žvejybai, reglamentuojamai pagal taikomą tarptautinę teisę</w:t>
            </w:r>
            <w:r>
              <w:rPr>
                <w:b/>
                <w:i/>
              </w:rPr>
              <w:t xml:space="preserve"> ir bendrą žuvininkystės politiką</w:t>
            </w:r>
            <w:r>
              <w:t>, ir su žvejyba susijusiai veiklai, taip pat</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25</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 xml:space="preserve">Pasiūlymas dėl </w:t>
      </w:r>
      <w:r>
        <w:t>direktyvos</w:t>
      </w:r>
      <w:r>
        <w:rPr>
          <w:rStyle w:val="HideTWBExt"/>
          <w:b w:val="0"/>
        </w:rPr>
        <w:t>&lt;/DocAmend&gt;</w:t>
      </w:r>
    </w:p>
    <w:p w:rsidR="00C24ACB" w:rsidRPr="00715FEB" w:rsidRDefault="008A0CBA" w:rsidP="00C24ACB">
      <w:pPr>
        <w:pStyle w:val="NormalBold"/>
      </w:pPr>
      <w:r>
        <w:rPr>
          <w:rStyle w:val="HideTWBExt"/>
          <w:b w:val="0"/>
        </w:rPr>
        <w:t>&lt;Article&gt;</w:t>
      </w:r>
      <w:r>
        <w:t>8 straipsnio 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6.</w:t>
            </w:r>
            <w:r>
              <w:tab/>
              <w:t>Šis skyrius netaikomas valstybių narių jurisdikcijai priklausančiai ar jų kontroliuojamai planuojamai veiklai, vykdomai nacionalinei jurisdikcijai nep</w:t>
            </w:r>
            <w:r>
              <w:t>riklausančiuose rajonuose, kuri buvo patikrinta arba kurios poveikis aplinkai buvo įvertintas pagal kitų atitinkamų tarptautinių teisinių priemonių ar sistemų reikalavimus arba atitinkamų pasaulinių, regioninių, subregioninių ar sektorinių įstaigų</w:t>
            </w:r>
            <w:r>
              <w:rPr>
                <w:b/>
                <w:i/>
              </w:rPr>
              <w:t>. Valstyb</w:t>
            </w:r>
            <w:r>
              <w:rPr>
                <w:b/>
                <w:i/>
              </w:rPr>
              <w:t>ės narės užtikrina</w:t>
            </w:r>
            <w:r>
              <w:t xml:space="preserve">, </w:t>
            </w:r>
            <w:r>
              <w:rPr>
                <w:b/>
                <w:i/>
              </w:rPr>
              <w:t>kad tai atvejais</w:t>
            </w:r>
            <w:r>
              <w:t xml:space="preserve">, </w:t>
            </w:r>
            <w:r>
              <w:rPr>
                <w:b/>
                <w:i/>
              </w:rPr>
              <w:t>kai veiklos poveikis aplinkai įvertinamas pagal kitų atitinkamų tarptautinių teisinių priemonių ar sistemų reikalavimus arba atitinkamų pasaulinių</w:t>
            </w:r>
            <w:r>
              <w:t xml:space="preserve">, </w:t>
            </w:r>
            <w:r>
              <w:rPr>
                <w:b/>
                <w:i/>
              </w:rPr>
              <w:t>regioninių, subregioninių ar sektorinių įstaigų</w:t>
            </w:r>
            <w:r>
              <w:t xml:space="preserve">, </w:t>
            </w:r>
            <w:r>
              <w:rPr>
                <w:b/>
                <w:i/>
              </w:rPr>
              <w:t>būtų</w:t>
            </w:r>
            <w:r>
              <w:t xml:space="preserve"> tenkinamos BBNJ </w:t>
            </w:r>
            <w:r>
              <w:t xml:space="preserve">susitarimo 29 straipsnio 4 dalyje nustatytos sąlygos. Tokiais atvejais atitinkama valstybė narė </w:t>
            </w:r>
            <w:r>
              <w:lastRenderedPageBreak/>
              <w:t>užtikrina, kad per BBNJ keitimosi informacija centrą būtų paskelbta poveikio aplinkai vertinimo ataskaita ir kad veikla būtų stebima.</w:t>
            </w:r>
          </w:p>
        </w:tc>
        <w:tc>
          <w:tcPr>
            <w:tcW w:w="4876" w:type="dxa"/>
            <w:hideMark/>
          </w:tcPr>
          <w:p w:rsidR="00C24ACB" w:rsidRPr="00715FEB" w:rsidRDefault="008A0CBA" w:rsidP="003B4AE9">
            <w:pPr>
              <w:pStyle w:val="Normal6"/>
              <w:rPr>
                <w:szCs w:val="24"/>
              </w:rPr>
            </w:pPr>
            <w:r>
              <w:lastRenderedPageBreak/>
              <w:t>6.</w:t>
            </w:r>
            <w:r>
              <w:tab/>
              <w:t xml:space="preserve">Šis skyrius netaikomas </w:t>
            </w:r>
            <w:r>
              <w:t xml:space="preserve">valstybių narių jurisdikcijai priklausančiai ar jų kontroliuojamai planuojamai veiklai, vykdomai nacionalinei jurisdikcijai nepriklausančiuose rajonuose, kuri buvo patikrinta arba kurios poveikis aplinkai buvo įvertintas pagal kitų atitinkamų tarptautinių </w:t>
            </w:r>
            <w:r>
              <w:t xml:space="preserve">teisinių priemonių ar sistemų reikalavimus arba atitinkamų pasaulinių, regioninių, subregioninių ar sektorinių įstaigų, </w:t>
            </w:r>
            <w:r>
              <w:rPr>
                <w:b/>
                <w:i/>
              </w:rPr>
              <w:t>pvz.</w:t>
            </w:r>
            <w:r>
              <w:t xml:space="preserve">, </w:t>
            </w:r>
            <w:r>
              <w:rPr>
                <w:b/>
                <w:i/>
              </w:rPr>
              <w:t>RŽVO</w:t>
            </w:r>
            <w:r>
              <w:t xml:space="preserve">, </w:t>
            </w:r>
            <w:r>
              <w:rPr>
                <w:b/>
                <w:i/>
              </w:rPr>
              <w:t>jei valstybės narės nustatė</w:t>
            </w:r>
            <w:r>
              <w:t xml:space="preserve">, </w:t>
            </w:r>
            <w:r>
              <w:rPr>
                <w:b/>
                <w:i/>
              </w:rPr>
              <w:t>kad</w:t>
            </w:r>
            <w:r>
              <w:t xml:space="preserve"> tenkinamos BBNJ susitarimo 29 straipsnio 4 dalyje nustatytos sąlygos. Tokiais atvejais atit</w:t>
            </w:r>
            <w:r>
              <w:t>inkama valstybė narė užtikrina, kad per BBNJ keitimosi informacija centrą būtų paskelbta poveikio aplinkai vertinimo ataskaita ir kad veikla būtų stebima.</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26</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8 straipsnio 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7.</w:t>
            </w:r>
            <w:r>
              <w:tab/>
              <w:t xml:space="preserve">Valstybių narių jurisdikcijai priklausančiai ar jų kontroliuojamai planuojamai veiklai, kuri vykdoma nacionalinės jurisdikcijos rajonuose ir gali </w:t>
            </w:r>
            <w:r>
              <w:rPr>
                <w:b/>
                <w:i/>
              </w:rPr>
              <w:t>daryti reikšmingą poveikį</w:t>
            </w:r>
            <w:r>
              <w:t xml:space="preserve"> </w:t>
            </w:r>
            <w:r>
              <w:t xml:space="preserve">jūrų </w:t>
            </w:r>
            <w:r>
              <w:rPr>
                <w:b/>
                <w:i/>
              </w:rPr>
              <w:t>aplinkai</w:t>
            </w:r>
            <w:r>
              <w:t xml:space="preserve"> nacionalinei jurisdikcijai nepriklausančiuose rajonuose, valstybės narės taiko Direktyvą 2011/92/ES ir kitus atitinkamus ES teisės aktus, kuriuose yra nuostatų, susijusių su planuojamos veiklos poveikio aplinkai vertinimais. Procesų, vykdomų </w:t>
            </w:r>
            <w:r>
              <w:t>pagal Direktyvą 2011/92/ES ir kitus atitinkamus ES teisės aktus, kuriuose yra nuostatų, susijusių su planuojamos veiklos poveikio aplinkai vertinimais, metu valstybės narės laiku per BBNJ keitimosi informacija centrą teikia reikiamą informaciją ir užtikrin</w:t>
            </w:r>
            <w:r>
              <w:t>a, kad veikla būtų stebima tos direktyvos ir nacionalinės teisės aktų reikalavimus atitinkančiu būdu.</w:t>
            </w:r>
          </w:p>
        </w:tc>
        <w:tc>
          <w:tcPr>
            <w:tcW w:w="4876" w:type="dxa"/>
            <w:hideMark/>
          </w:tcPr>
          <w:p w:rsidR="00C24ACB" w:rsidRPr="00715FEB" w:rsidRDefault="008A0CBA" w:rsidP="003B4AE9">
            <w:pPr>
              <w:pStyle w:val="Normal6"/>
              <w:rPr>
                <w:szCs w:val="24"/>
              </w:rPr>
            </w:pPr>
            <w:r>
              <w:t>7.</w:t>
            </w:r>
            <w:r>
              <w:tab/>
              <w:t xml:space="preserve">Valstybių narių jurisdikcijai priklausančiai ar jų kontroliuojamai planuojamai veiklai, kuri vykdoma nacionalinės jurisdikcijos rajonuose ir gali </w:t>
            </w:r>
            <w:r>
              <w:rPr>
                <w:b/>
                <w:i/>
              </w:rPr>
              <w:t>sukel</w:t>
            </w:r>
            <w:r>
              <w:rPr>
                <w:b/>
                <w:i/>
              </w:rPr>
              <w:t>ti didelę taršą arba reikšmingus ir žalingus</w:t>
            </w:r>
            <w:r>
              <w:t xml:space="preserve"> jūrų </w:t>
            </w:r>
            <w:r>
              <w:rPr>
                <w:b/>
                <w:i/>
              </w:rPr>
              <w:t>aplinkos pokyčius</w:t>
            </w:r>
            <w:r>
              <w:t xml:space="preserve"> nacionalinei jurisdikcijai nepriklausančiuose rajonuose, valstybės narės taiko Direktyvą 2011/92/ES ir kitus atitinkamus ES teisės aktus, kuriuose yra nuostatų, susijusių su planuojamos ve</w:t>
            </w:r>
            <w:r>
              <w:t>iklos poveikio aplinkai vertinimais. Procesų, vykdomų pagal Direktyvą 2011/92/ES ir kitus atitinkamus ES teisės aktus, kuriuose yra nuostatų, susijusių su planuojamos veiklos poveikio aplinkai vertinimais, metu valstybės narės laiku per BBNJ keitimosi info</w:t>
            </w:r>
            <w:r>
              <w:t>rmacija centrą teikia reikiamą informaciją</w:t>
            </w:r>
            <w:r>
              <w:rPr>
                <w:b/>
                <w:i/>
              </w:rPr>
              <w:t>, įskaitant aktualias stebėsenos ataskaitas,</w:t>
            </w:r>
            <w:r>
              <w:t xml:space="preserve"> ir užtikrina, kad veikla būtų stebima tos direktyvos ir nacionalinės teisės aktų reikalavimus atitinkančiu būdu.</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27</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9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3.</w:t>
            </w:r>
            <w:r>
              <w:tab/>
              <w:t xml:space="preserve">Atlikdamos tikrinimą valstybės narės </w:t>
            </w:r>
            <w:r>
              <w:rPr>
                <w:b/>
                <w:i/>
              </w:rPr>
              <w:t>apsvarsto bent</w:t>
            </w:r>
            <w:r>
              <w:t xml:space="preserve"> planuojamos veiklos aprašymą, įskaitant jos tikslą, vietą, trukmę ir inte</w:t>
            </w:r>
            <w:r>
              <w:t xml:space="preserve">nsyvumą, pradinę galimo poveikio, </w:t>
            </w:r>
            <w:r>
              <w:lastRenderedPageBreak/>
              <w:t>įskaitant kumuliacinį poveikį, analizę ir, kai tinkama, alternatyvą planuojamai veiklai.</w:t>
            </w:r>
          </w:p>
        </w:tc>
        <w:tc>
          <w:tcPr>
            <w:tcW w:w="4876" w:type="dxa"/>
            <w:hideMark/>
          </w:tcPr>
          <w:p w:rsidR="00C24ACB" w:rsidRPr="00715FEB" w:rsidRDefault="008A0CBA" w:rsidP="003B4AE9">
            <w:pPr>
              <w:pStyle w:val="Normal6"/>
              <w:rPr>
                <w:szCs w:val="24"/>
              </w:rPr>
            </w:pPr>
            <w:r>
              <w:lastRenderedPageBreak/>
              <w:t>3.</w:t>
            </w:r>
            <w:r>
              <w:tab/>
              <w:t xml:space="preserve">Atlikdamos tikrinimą valstybės narės </w:t>
            </w:r>
            <w:r>
              <w:rPr>
                <w:b/>
                <w:i/>
              </w:rPr>
              <w:t>bent jau apsvarsto</w:t>
            </w:r>
            <w:r>
              <w:t xml:space="preserve"> planuojamos veiklos aprašymą, įskaitant jos tikslą, vietą, trukmę ir inten</w:t>
            </w:r>
            <w:r>
              <w:t xml:space="preserve">syvumą, pradinę galimo </w:t>
            </w:r>
            <w:r>
              <w:lastRenderedPageBreak/>
              <w:t>poveikio, įskaitant kumuliacinį poveikį, analizę ir, kai tinkama, alternatyvą planuojamai veiklai.</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28</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9 straipsnio 4 dalies e </w:t>
      </w:r>
      <w:r>
        <w:t>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e)</w:t>
            </w:r>
            <w:r>
              <w:tab/>
              <w:t>galimą planuojamos veiklos poveikį, įskaitant galimą kumuliacinį poveikį ir galimą poveikį nacionalinei jurisdikcijai priklausančiuose rajonuose;</w:t>
            </w:r>
          </w:p>
        </w:tc>
        <w:tc>
          <w:tcPr>
            <w:tcW w:w="4876" w:type="dxa"/>
            <w:hideMark/>
          </w:tcPr>
          <w:p w:rsidR="00C24ACB" w:rsidRPr="00715FEB" w:rsidRDefault="008A0CBA" w:rsidP="003B4AE9">
            <w:pPr>
              <w:pStyle w:val="Normal6"/>
              <w:rPr>
                <w:szCs w:val="24"/>
              </w:rPr>
            </w:pPr>
            <w:r>
              <w:t>e)</w:t>
            </w:r>
            <w:r>
              <w:tab/>
              <w:t>galimą planuojamos veiklos poveikį</w:t>
            </w:r>
            <w:r>
              <w:rPr>
                <w:b/>
                <w:i/>
              </w:rPr>
              <w:t xml:space="preserve"> aplinkai i</w:t>
            </w:r>
            <w:r>
              <w:rPr>
                <w:b/>
                <w:i/>
              </w:rPr>
              <w:t>r esamai veiklai</w:t>
            </w:r>
            <w:r>
              <w:t>, įskaitant galimą kumuliacinį poveikį ir galimą poveikį nacionalinei jurisdikcijai priklausančiuose rajonuose;</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29</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10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2.</w:t>
            </w:r>
            <w:r>
              <w:tab/>
              <w:t xml:space="preserve">Poveikio aplinkai vertinimo ataskaita grindžiama kompetentingos institucijos pateikta nuomone dėl </w:t>
            </w:r>
            <w:r>
              <w:rPr>
                <w:b/>
                <w:i/>
              </w:rPr>
              <w:t xml:space="preserve">jos </w:t>
            </w:r>
            <w:r>
              <w:t>aprėpties.</w:t>
            </w:r>
          </w:p>
        </w:tc>
        <w:tc>
          <w:tcPr>
            <w:tcW w:w="4876" w:type="dxa"/>
            <w:hideMark/>
          </w:tcPr>
          <w:p w:rsidR="00C24ACB" w:rsidRPr="00715FEB" w:rsidRDefault="008A0CBA" w:rsidP="003B4AE9">
            <w:pPr>
              <w:pStyle w:val="Normal6"/>
              <w:rPr>
                <w:szCs w:val="24"/>
              </w:rPr>
            </w:pPr>
            <w:r>
              <w:t>2.</w:t>
            </w:r>
            <w:r>
              <w:tab/>
              <w:t>Poveikio aplinkai vertinimo ataskaita grindžiama kompetentingos institucijos pateikta</w:t>
            </w:r>
            <w:r>
              <w:t xml:space="preserve"> nuomone dėl aprėpties.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30</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10 straipsnio 4 dalies d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d)</w:t>
            </w:r>
            <w:r>
              <w:tab/>
              <w:t xml:space="preserve">galimo planuojamos veiklos poveikio, </w:t>
            </w:r>
            <w:r>
              <w:t>įskaitant jos galimą kumuliacinį poveikį ir bet kokį poveikį nacionalinei jurisdikcijai priklausančiuose rajonuose, aprašymas;</w:t>
            </w:r>
          </w:p>
        </w:tc>
        <w:tc>
          <w:tcPr>
            <w:tcW w:w="4876" w:type="dxa"/>
            <w:hideMark/>
          </w:tcPr>
          <w:p w:rsidR="00C24ACB" w:rsidRPr="00715FEB" w:rsidRDefault="008A0CBA" w:rsidP="003B4AE9">
            <w:pPr>
              <w:pStyle w:val="Normal6"/>
              <w:rPr>
                <w:szCs w:val="24"/>
              </w:rPr>
            </w:pPr>
            <w:r>
              <w:t>d)</w:t>
            </w:r>
            <w:r>
              <w:tab/>
              <w:t xml:space="preserve">galimo planuojamos veiklos poveikio, </w:t>
            </w:r>
            <w:r>
              <w:rPr>
                <w:b/>
                <w:i/>
              </w:rPr>
              <w:t>taip pat pagrindinio poveikio aplinkai ir bet kokio susijusio poveikio, pavyzdžiui, ekono</w:t>
            </w:r>
            <w:r>
              <w:rPr>
                <w:b/>
                <w:i/>
              </w:rPr>
              <w:t xml:space="preserve">minio, socialinio, kultūrinio poveikio ir poveikio žmonių sveikatai pagal BBNJ susitarimo 31 straipsnio 1 dalį, </w:t>
            </w:r>
            <w:r>
              <w:t xml:space="preserve">įskaitant jos galimą kumuliacinį poveikį ir bet kokį poveikį nacionalinei jurisdikcijai priklausančiuose </w:t>
            </w:r>
            <w:r>
              <w:lastRenderedPageBreak/>
              <w:t>rajonuose, aprašymas;</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31</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2.</w:t>
            </w:r>
            <w:r>
              <w:tab/>
              <w:t xml:space="preserve">BBNJ susitarimo šalims, visų pirma pakrantės Šalims, esančioms greta planuojamos veiklos </w:t>
            </w:r>
            <w:r>
              <w:t>vietos, ir visoms kitoms greta planuojamos veiklos rajonų esančioms Šalims, taip pat suinteresuotajai visuomenei iš anksto suteikiama reali galimybė dalyvauti 12</w:t>
            </w:r>
            <w:r>
              <w:rPr>
                <w:b/>
                <w:i/>
              </w:rPr>
              <w:t xml:space="preserve"> </w:t>
            </w:r>
            <w:r>
              <w:t>straipsnio 2</w:t>
            </w:r>
            <w:r>
              <w:rPr>
                <w:b/>
                <w:i/>
              </w:rPr>
              <w:t xml:space="preserve"> </w:t>
            </w:r>
            <w:r>
              <w:t xml:space="preserve">dalyje nurodytose leidimo vykdyti planuojamą veiklą suteikimo procedūrose ir tuo </w:t>
            </w:r>
            <w:r>
              <w:t>tikslu jos turi teisę pateikti pastabas ir pareikšti nuomonę dar prieš priimant sprendimą, kol visos pasirinkimo galimybės kompetentingai (-oms) institucijai (-oms) dar atviros.</w:t>
            </w:r>
          </w:p>
        </w:tc>
        <w:tc>
          <w:tcPr>
            <w:tcW w:w="4876" w:type="dxa"/>
            <w:hideMark/>
          </w:tcPr>
          <w:p w:rsidR="00C24ACB" w:rsidRPr="00715FEB" w:rsidRDefault="008A0CBA" w:rsidP="003B4AE9">
            <w:pPr>
              <w:pStyle w:val="Normal6"/>
              <w:rPr>
                <w:szCs w:val="24"/>
              </w:rPr>
            </w:pPr>
            <w:r>
              <w:t>2.</w:t>
            </w:r>
            <w:r>
              <w:tab/>
              <w:t>BBNJ susitarimo šalims, visų pirma pakrantės Šalims, esančioms greta planuo</w:t>
            </w:r>
            <w:r>
              <w:t>jamos veiklos vietos, ir visoms kitoms greta planuojamos veiklos rajonų esančioms Šalims, taip pat suinteresuotajai visuomenei iš anksto suteikiama reali galimybė dalyvauti 12</w:t>
            </w:r>
            <w:r>
              <w:rPr>
                <w:b/>
                <w:i/>
              </w:rPr>
              <w:t> </w:t>
            </w:r>
            <w:r>
              <w:t>straipsnio 2</w:t>
            </w:r>
            <w:r>
              <w:rPr>
                <w:b/>
                <w:i/>
              </w:rPr>
              <w:t> </w:t>
            </w:r>
            <w:r>
              <w:t>dalyje nurodytose leidimo vykdyti planuojamą veiklą suteikimo proce</w:t>
            </w:r>
            <w:r>
              <w:t>dūrose</w:t>
            </w:r>
            <w:r>
              <w:rPr>
                <w:b/>
                <w:i/>
              </w:rPr>
              <w:t>, be kita ko, poveikio aplinkai vertinimo procese,</w:t>
            </w:r>
            <w:r>
              <w:t xml:space="preserve"> ir tuo tikslu jos turi teisę pateikti pastabas ir pareikšti nuomonę dar prieš priimant sprendimą, kol visos pasirinkimo galimybės kompetentingai (-oms) institucijai (-oms) dar atviros.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w:t>
      </w:r>
      <w:r>
        <w:rPr>
          <w:rStyle w:val="HideTWBExt"/>
          <w:b w:val="0"/>
        </w:rPr>
        <w:t>nd&gt;</w:t>
      </w:r>
      <w:r>
        <w:t>Pakeitimas</w:t>
      </w:r>
      <w:r>
        <w:tab/>
      </w:r>
      <w:r>
        <w:tab/>
      </w:r>
      <w:r>
        <w:rPr>
          <w:rStyle w:val="HideTWBExt"/>
          <w:b w:val="0"/>
        </w:rPr>
        <w:t>&lt;NumAm&gt;</w:t>
      </w:r>
      <w:r>
        <w:t>32</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11 straipsnio 3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b)</w:t>
            </w:r>
            <w:r>
              <w:tab/>
              <w:t xml:space="preserve">Šalys, kurios planuojamos veiklos rajone vykdo žmogaus veiklą, įskaitant </w:t>
            </w:r>
            <w:r>
              <w:t>ekonominę veiklą, ir galima pagrįstai laikyti, kad planuojama veikla tai veiklai daromas poveikis.</w:t>
            </w:r>
          </w:p>
        </w:tc>
        <w:tc>
          <w:tcPr>
            <w:tcW w:w="4876" w:type="dxa"/>
            <w:hideMark/>
          </w:tcPr>
          <w:p w:rsidR="00C24ACB" w:rsidRPr="00715FEB" w:rsidRDefault="008A0CBA" w:rsidP="003B4AE9">
            <w:pPr>
              <w:pStyle w:val="Normal6"/>
              <w:rPr>
                <w:szCs w:val="24"/>
              </w:rPr>
            </w:pPr>
            <w:r>
              <w:t>b)</w:t>
            </w:r>
            <w:r>
              <w:tab/>
              <w:t xml:space="preserve">Šalys, kurios planuojamos veiklos rajone vykdo žmogaus veiklą, įskaitant ekonominę veiklą, ir galima pagrįstai laikyti, kad planuojama veikla tai veiklai </w:t>
            </w:r>
            <w:r>
              <w:t xml:space="preserve">daromas poveikis. </w:t>
            </w:r>
            <w:r>
              <w:rPr>
                <w:b/>
                <w:i/>
              </w:rPr>
              <w:t>Žvejybos veiklos atveju konsultuojamasi su atitinkamomis RŽVO.</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33</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12 straipsnio 2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b)</w:t>
            </w:r>
            <w:r>
              <w:tab/>
              <w:t xml:space="preserve">visos su sprendimu susijusios sąlygos, visų planuojamos veiklos ypatybių ir (arba) priemonių, kuriomis numatyta siekti išvengti bet kokios reikšmingos jūros aplinkos taršos arba didelių ir žalingų tos aplinkos pokyčių, užkirsti jiems kelią </w:t>
            </w:r>
            <w:r>
              <w:t>arba juos sumažinti, taip pat stebėsenos priemonių aprašymas. Tam tikrais atvejais šios priemonės gali būti įtrauktos į aplinkosaugos vadybos planą.</w:t>
            </w:r>
          </w:p>
        </w:tc>
        <w:tc>
          <w:tcPr>
            <w:tcW w:w="4876" w:type="dxa"/>
            <w:hideMark/>
          </w:tcPr>
          <w:p w:rsidR="00C24ACB" w:rsidRPr="00715FEB" w:rsidRDefault="008A0CBA" w:rsidP="003B4AE9">
            <w:pPr>
              <w:pStyle w:val="Normal6"/>
              <w:rPr>
                <w:szCs w:val="24"/>
              </w:rPr>
            </w:pPr>
            <w:r>
              <w:t>b)</w:t>
            </w:r>
            <w:r>
              <w:tab/>
              <w:t>visos su sprendimu susijusios sąlygos, visų planuojamos veiklos ypatybių ir (arba) priemonių, kuriomis n</w:t>
            </w:r>
            <w:r>
              <w:t xml:space="preserve">umatyta siekti išvengti bet kokios reikšmingos jūros aplinkos taršos arba didelių ir žalingų tos aplinkos pokyčių, užkirsti jiems kelią arba juos sumažinti, taip pat stebėsenos priemonių aprašymas. Tam tikrais atvejais šios priemonės gali būti įtrauktos į </w:t>
            </w:r>
            <w:r>
              <w:t xml:space="preserve">aplinkosaugos vadybos planą. </w:t>
            </w:r>
            <w:r>
              <w:rPr>
                <w:b/>
                <w:i/>
              </w:rPr>
              <w:t>Sprendime atsižvelgiama į susijusį poveikį, pavyzdžiui, ekonominį, socialinį, kultūrinį poveikį ir poveikį žmonių sveikatai, įskaitant socialinį ir ekonominį poveikį sektoriams ir bendruomenėms.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w:t>
      </w:r>
      <w:r>
        <w:rPr>
          <w:rStyle w:val="HideTWBExt"/>
          <w:b w:val="0"/>
        </w:rPr>
        <w:t>mAm&gt;</w:t>
      </w:r>
      <w:r>
        <w:t>34</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12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4.</w:t>
            </w:r>
            <w:r>
              <w:tab/>
              <w:t xml:space="preserve">Kai priimamas sprendimas leisti vykdyti planuojamą veiklą arba neleisti jos vykdyti, valstybės narės </w:t>
            </w:r>
            <w:r>
              <w:t>nedelsdamos užtikrina, kad jis būtų paskelbtas visuomenei, be kita ko, per BBNJ keitimosi informacija centrą ir BBNJ sekretoriatą. Tuo tikslu valstybės narės sudaro sąlygas susipažinti su pastabomis ir nuomonėmis, gautomis per 11 straipsnyje nurodytas kons</w:t>
            </w:r>
            <w:r>
              <w:t>ultacijas, ir paaiškina, kaip į šias pastabas ir nuomones atsižvelgta ar kaip jos kitaip panaudotos.</w:t>
            </w:r>
          </w:p>
        </w:tc>
        <w:tc>
          <w:tcPr>
            <w:tcW w:w="4876" w:type="dxa"/>
            <w:hideMark/>
          </w:tcPr>
          <w:p w:rsidR="00C24ACB" w:rsidRPr="00715FEB" w:rsidRDefault="008A0CBA" w:rsidP="003B4AE9">
            <w:pPr>
              <w:pStyle w:val="Normal6"/>
              <w:rPr>
                <w:szCs w:val="24"/>
              </w:rPr>
            </w:pPr>
            <w:r>
              <w:t>4.</w:t>
            </w:r>
            <w:r>
              <w:tab/>
              <w:t>Kai priimamas sprendimas leisti vykdyti planuojamą veiklą arba neleisti jos vykdyti, valstybės narės nedelsdamos užtikrina, kad jis būtų paskelbtas visu</w:t>
            </w:r>
            <w:r>
              <w:t xml:space="preserve">omenei, be kita ko, per BBNJ keitimosi informacija centrą ir BBNJ sekretoriatą. Tuo tikslu valstybės narės sudaro sąlygas </w:t>
            </w:r>
            <w:r>
              <w:rPr>
                <w:b/>
                <w:i/>
              </w:rPr>
              <w:t xml:space="preserve">visuomenei </w:t>
            </w:r>
            <w:r>
              <w:t>susipažinti su</w:t>
            </w:r>
            <w:r>
              <w:rPr>
                <w:b/>
                <w:i/>
              </w:rPr>
              <w:t xml:space="preserve"> visomis patvirtinimo sąlygomis, įskaitant su poveikio švelninimo priemonėmis ir tolesniais reikalavimais sus</w:t>
            </w:r>
            <w:r>
              <w:rPr>
                <w:b/>
                <w:i/>
              </w:rPr>
              <w:t>ijusias sąlygas, taip pat</w:t>
            </w:r>
            <w:r>
              <w:t xml:space="preserve"> pastabomis ir nuomonėmis, gautomis per 11 straipsnyje nurodytas konsultacijas, ir paaiškina, kaip į šias pastabas ir nuomones atsižvelgta ar kaip jos kitaip panaudotos.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35</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lastRenderedPageBreak/>
        <w:t>&lt;DocAmend&gt;</w:t>
      </w:r>
      <w:r>
        <w:t>Pas</w:t>
      </w:r>
      <w:r>
        <w:t>iūlymas dėl direktyvos</w:t>
      </w:r>
      <w:r>
        <w:rPr>
          <w:rStyle w:val="HideTWBExt"/>
          <w:b w:val="0"/>
        </w:rPr>
        <w:t>&lt;/DocAmend&gt;</w:t>
      </w:r>
    </w:p>
    <w:p w:rsidR="00C24ACB" w:rsidRPr="00715FEB" w:rsidRDefault="008A0CBA" w:rsidP="00C24ACB">
      <w:pPr>
        <w:pStyle w:val="NormalBold"/>
      </w:pPr>
      <w:r>
        <w:rPr>
          <w:rStyle w:val="HideTWBExt"/>
          <w:b w:val="0"/>
        </w:rPr>
        <w:t>&lt;Article&gt;</w:t>
      </w:r>
      <w:r>
        <w:t>13 straipsnio 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1a.</w:t>
            </w:r>
            <w:r>
              <w:rPr>
                <w:b/>
                <w:i/>
              </w:rPr>
              <w:tab/>
              <w:t xml:space="preserve">Komisija, bendradarbiaudama su valstybėmis narėmis, gali dalyvauti vykdant 1 dalyje nurodytą stebėseną kartu su savo </w:t>
            </w:r>
            <w:r>
              <w:rPr>
                <w:b/>
                <w:i/>
              </w:rPr>
              <w:t>agentūromis, visų pirma Europos jūrų saugumo agentūra (EMSA), Europos žuvininkystės kontrolės agentūra (EŽKA) ir Europos kosmoso agentūra (EKA). Žvejybos veiklos atveju valstybės narės gali naudoti su žvejybos veikla susijusius duomenis, surinktus regionin</w:t>
            </w:r>
            <w:r>
              <w:rPr>
                <w:b/>
                <w:i/>
              </w:rPr>
              <w:t>ėms žvejybos valdymo organizacijoms vykdant veiklą.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36</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14 straipsnio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 xml:space="preserve">Valstybės narės </w:t>
            </w:r>
            <w:r>
              <w:t>užtikrina, kad pagal atitinkamą nacionalinę teisinę sistemą suinteresuotos visuomenės nariai turėtų teisę kreiptis į teismą arba kitą pagal įstatymą įsteigtą nepriklausomą ir nešališką įstaigą, kad užginčytų sprendimų arba veikimo ar neveikimo pagal 8–13 s</w:t>
            </w:r>
            <w:r>
              <w:t>traipsnius materialinį ar procesinį teisėtumą.</w:t>
            </w:r>
          </w:p>
        </w:tc>
        <w:tc>
          <w:tcPr>
            <w:tcW w:w="4876" w:type="dxa"/>
            <w:hideMark/>
          </w:tcPr>
          <w:p w:rsidR="00C24ACB" w:rsidRPr="00715FEB" w:rsidRDefault="008A0CBA" w:rsidP="003B4AE9">
            <w:pPr>
              <w:pStyle w:val="Normal6"/>
              <w:rPr>
                <w:szCs w:val="24"/>
              </w:rPr>
            </w:pPr>
            <w:r>
              <w:t>Valstybės narės užtikrina, kad</w:t>
            </w:r>
            <w:r>
              <w:rPr>
                <w:b/>
                <w:i/>
              </w:rPr>
              <w:t>, įgyvendinant Orhuso konvenciją,</w:t>
            </w:r>
            <w:r>
              <w:t xml:space="preserve"> pagal atitinkamą nacionalinę teisinę sistemą suinteresuotos visuomenės nariai turėtų teisę kreiptis į teismą arba kitą pagal įstatymą įsteigtą ne</w:t>
            </w:r>
            <w:r>
              <w:t>priklausomą ir nešališką įstaigą, kad užginčytų sprendimų arba veikimo ar neveikimo pagal 8–13</w:t>
            </w:r>
            <w:r>
              <w:rPr>
                <w:b/>
                <w:i/>
              </w:rPr>
              <w:t xml:space="preserve"> ir 16–19</w:t>
            </w:r>
            <w:r>
              <w:t xml:space="preserve"> straipsnius materialinį ar procesinį teisėtumą.</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37</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14 straipsnio 1 a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 xml:space="preserve">1 dalyje nurodytos peržiūros procedūros turi būti teisingos, nešališkos, savalaikės, nemokamos arba ne pernelyg brangios, taip pat pagal jas turi būti numatytos </w:t>
            </w:r>
            <w:r>
              <w:rPr>
                <w:b/>
                <w:i/>
              </w:rPr>
              <w:lastRenderedPageBreak/>
              <w:t>tinkamo</w:t>
            </w:r>
            <w:r>
              <w:rPr>
                <w:b/>
                <w:i/>
              </w:rPr>
              <w:t>s ir veiksmingos teisių gynimo priemonės, įskaitant, kai būtina, įpareigojimą sustabdyti veiksmus.</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38</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14 straipsnio 1 b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Valstybės narės užtikrina, kad visuomenei būtų prieinama praktinė informacija apie galimybę pasinaudoti šiame straipsnyje nurodytomis administracinės ir teisminės peržiūros procedūromis.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39</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w:t>
            </w:r>
            <w:r>
              <w:tab/>
            </w:r>
            <w:r>
              <w:t xml:space="preserve">Valstybės narės, nepriklausomai nuo to, ar jos veikia atskirai, ar kartu, prieš pateikdamos BBNJ sekretoriatui pasiūlymo pagal BBNJ susitarimo 19 straipsnį </w:t>
            </w:r>
            <w:r>
              <w:rPr>
                <w:b/>
                <w:i/>
              </w:rPr>
              <w:t xml:space="preserve">arba neatidėliotinos priemonės pagal to susitarimo 24 straipsnio 3 dalį </w:t>
            </w:r>
            <w:r>
              <w:t>projektą, nusiunčia jį Komis</w:t>
            </w:r>
            <w:r>
              <w:t>ijai. Gavusi pasiūlymo projektą Komisija apie tai informuoja visas valstybes nares ir projektą nusiunčia ir joms. Jei kitos valstybės narės turi pastabų, jos jas pateikia Komisijai per 30 dienų nuo pasiūlymo projekto gavimo dienos arba anksčiau, jei tai pa</w:t>
            </w:r>
            <w:r>
              <w:t>teisinama dėl priemonės neatidėliotino pobūdžio. Komisija gautas pastabas nusiunčia kitoms valstybėms narėms.</w:t>
            </w:r>
          </w:p>
        </w:tc>
        <w:tc>
          <w:tcPr>
            <w:tcW w:w="4876" w:type="dxa"/>
            <w:hideMark/>
          </w:tcPr>
          <w:p w:rsidR="00C24ACB" w:rsidRPr="00715FEB" w:rsidRDefault="008A0CBA" w:rsidP="003B4AE9">
            <w:pPr>
              <w:pStyle w:val="Normal6"/>
              <w:rPr>
                <w:szCs w:val="24"/>
              </w:rPr>
            </w:pPr>
            <w:r>
              <w:t>1.</w:t>
            </w:r>
            <w:r>
              <w:tab/>
              <w:t xml:space="preserve">Valstybės narės, nepriklausomai nuo to, ar jos veikia atskirai, ar kartu, prieš pateikdamos BBNJ sekretoriatui pasiūlymo pagal BBNJ susitarimo </w:t>
            </w:r>
            <w:r>
              <w:t>19 straipsnį projektą, nusiunčia jį Komisijai. Gavusi pasiūlymo projektą Komisija apie tai informuoja visas valstybes nares ir projektą nusiunčia ir joms. Jei kitos valstybės narės turi pastabų, jos jas pateikia Komisijai per 30 dienų nuo pasiūlymo projekt</w:t>
            </w:r>
            <w:r>
              <w:t xml:space="preserve">o gavimo dienos arba anksčiau, jei tai pateisinama dėl priemonės neatidėliotino pobūdžio. Komisija gautas pastabas nusiunčia kitoms valstybėms narėms. </w:t>
            </w:r>
            <w:r>
              <w:rPr>
                <w:b/>
                <w:i/>
              </w:rPr>
              <w:t>Valstybės narės gali teikti pasiūlymus dėl neatidėliotinų priemonių pagal Susitarimo 24 straipsnio 3 dalį</w:t>
            </w:r>
            <w:r>
              <w:rPr>
                <w:b/>
                <w:i/>
              </w:rPr>
              <w:t xml:space="preserve"> tiesiogiai BBNJ sekretoriatui.</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40</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lastRenderedPageBreak/>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rPr>
                <w:b/>
                <w:i/>
              </w:rPr>
              <w:t>2.</w:t>
            </w:r>
            <w:r>
              <w:rPr>
                <w:b/>
                <w:i/>
              </w:rPr>
              <w:tab/>
              <w:t xml:space="preserve">Prieš valstybėms narėms pateikiant bet kokį </w:t>
            </w:r>
            <w:r>
              <w:rPr>
                <w:b/>
                <w:i/>
              </w:rPr>
              <w:t>pasiūlymą ar projektą BBNJ sekretoriatui, Komisija pristato preliminarų pasiūlymo projekto arba neatidėliotinų priemonių projekto, gauto pagal 1 dalį, vertinimą. Preliminaraus vertinimo tikslas – padėti nustatyti, ar pasiūlymas arba neatidėliotina priemonė</w:t>
            </w:r>
            <w:r>
              <w:rPr>
                <w:b/>
                <w:i/>
              </w:rPr>
              <w:t xml:space="preserve"> turėtų būti pateikti Sąjungos arba Sąjungos ir jos valstybių narių vardu, ar ne.</w:t>
            </w:r>
          </w:p>
        </w:tc>
        <w:tc>
          <w:tcPr>
            <w:tcW w:w="4876" w:type="dxa"/>
            <w:hideMark/>
          </w:tcPr>
          <w:p w:rsidR="00C24ACB" w:rsidRPr="00715FEB" w:rsidRDefault="008A0CBA" w:rsidP="003B4AE9">
            <w:pPr>
              <w:pStyle w:val="Normal6"/>
              <w:rPr>
                <w:szCs w:val="24"/>
              </w:rPr>
            </w:pPr>
            <w:r>
              <w:rPr>
                <w:b/>
                <w:i/>
              </w:rPr>
              <w:t>Išbraukta.</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41</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16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 xml:space="preserve">Komisijos siūlomas </w:t>
            </w:r>
            <w:r>
              <w:t>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3.</w:t>
            </w:r>
            <w:r>
              <w:tab/>
              <w:t>Komisija pateikia preliminarų vertinimą dėl to, ar pagal 1 dalį gautą pasiūlymo arba neatidėliotinos priemonės projektą ji Sąjungos vardu turėtų pateikti BBNJ sekretoriatui. Kol laukiama tokio preliminaraus vertinimo arba jei prelimi</w:t>
            </w:r>
            <w:r>
              <w:t>nariame vertinime padaroma išvada, kad projektas turėtų būti pateiktas Sąjungos vardu, valstybės narės 1 dalyje nurodyto pasiūlymo arba neatidėliotinos priemonės BBNJ sekretoriatui neteikia.</w:t>
            </w:r>
          </w:p>
        </w:tc>
        <w:tc>
          <w:tcPr>
            <w:tcW w:w="4876" w:type="dxa"/>
            <w:hideMark/>
          </w:tcPr>
          <w:p w:rsidR="00C24ACB" w:rsidRPr="00715FEB" w:rsidRDefault="008A0CBA" w:rsidP="003B4AE9">
            <w:pPr>
              <w:pStyle w:val="Normal6"/>
              <w:rPr>
                <w:szCs w:val="24"/>
              </w:rPr>
            </w:pPr>
            <w:r>
              <w:t>3.</w:t>
            </w:r>
            <w:r>
              <w:tab/>
            </w:r>
            <w:r>
              <w:rPr>
                <w:b/>
                <w:i/>
              </w:rPr>
              <w:t xml:space="preserve">Per 30 dienų nuo 1 dalyje valstybėms narėms nustatyto termino </w:t>
            </w:r>
            <w:r>
              <w:rPr>
                <w:b/>
                <w:i/>
              </w:rPr>
              <w:t>pateikti pastabas</w:t>
            </w:r>
            <w:r>
              <w:t xml:space="preserve"> Komisija pateikia preliminarų vertinimą dėl to, ar pagal 1 dalį gautą pasiūlymo arba neatidėliotinos priemonės projektą ji Sąjungos vardu turėtų pateikti BBNJ sekretoriatui. Kol laukiama tokio preliminaraus vertinimo arba jei preliminaria</w:t>
            </w:r>
            <w:r>
              <w:t>me vertinime padaroma išvada, kad projektas turėtų būti pateiktas Sąjungos vardu, valstybės narės 1 dalyje nurodyto pasiūlymo arba neatidėliotinos priemonės BBNJ sekretoriatui neteikia.</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42</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 xml:space="preserve">Pasiūlymas </w:t>
      </w:r>
      <w:r>
        <w:t>dėl direktyvos</w:t>
      </w:r>
      <w:r>
        <w:rPr>
          <w:rStyle w:val="HideTWBExt"/>
          <w:b w:val="0"/>
        </w:rPr>
        <w:t>&lt;/DocAmend&gt;</w:t>
      </w:r>
    </w:p>
    <w:p w:rsidR="00C24ACB" w:rsidRPr="00715FEB" w:rsidRDefault="008A0CBA" w:rsidP="00C24ACB">
      <w:pPr>
        <w:pStyle w:val="NormalBold"/>
      </w:pPr>
      <w:r>
        <w:rPr>
          <w:rStyle w:val="HideTWBExt"/>
          <w:b w:val="0"/>
        </w:rPr>
        <w:t>&lt;Article&gt;</w:t>
      </w:r>
      <w:r>
        <w:t>17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w:t>
            </w:r>
            <w:r>
              <w:tab/>
            </w:r>
            <w:r>
              <w:t>Pagal BBNJ susitarimo 19 dalį teikiami pasiūlymai dėl atskiriems rajonams skirtų valdymo priemonių, įskaitant saugomas jūrų teritorijas, nustatymo arba pagal to susitarimo 24 straipsnio 3 dalį teikiamos neatidėliotinos priemonės parengiami remiantis patiki</w:t>
            </w:r>
            <w:r>
              <w:t xml:space="preserve">miausiomis turimomis mokslo žiniomis ir moksline informacija ir, jei turima, atitinkamomis tradicinėmis čiabuvių ir vietos bendruomenių žiniomis, </w:t>
            </w:r>
            <w:r>
              <w:rPr>
                <w:b/>
                <w:i/>
              </w:rPr>
              <w:t>laikantis</w:t>
            </w:r>
            <w:r>
              <w:t xml:space="preserve"> atsargumo </w:t>
            </w:r>
            <w:r>
              <w:rPr>
                <w:b/>
                <w:i/>
              </w:rPr>
              <w:t>principo</w:t>
            </w:r>
            <w:r>
              <w:t xml:space="preserve"> ir </w:t>
            </w:r>
            <w:r>
              <w:rPr>
                <w:b/>
                <w:i/>
              </w:rPr>
              <w:t>ekosisteminio metodo</w:t>
            </w:r>
            <w:r>
              <w:t>.</w:t>
            </w:r>
          </w:p>
        </w:tc>
        <w:tc>
          <w:tcPr>
            <w:tcW w:w="4876" w:type="dxa"/>
            <w:hideMark/>
          </w:tcPr>
          <w:p w:rsidR="00C24ACB" w:rsidRPr="00715FEB" w:rsidRDefault="008A0CBA" w:rsidP="003B4AE9">
            <w:pPr>
              <w:pStyle w:val="Normal6"/>
              <w:rPr>
                <w:szCs w:val="24"/>
              </w:rPr>
            </w:pPr>
            <w:r>
              <w:t>1.</w:t>
            </w:r>
            <w:r>
              <w:tab/>
              <w:t>Pagal BBNJ susitarimo 19 dalį teikiami pasiūlymai dėl</w:t>
            </w:r>
            <w:r>
              <w:t xml:space="preserve"> atskiriems rajonams skirtų valdymo priemonių, įskaitant saugomas jūrų teritorijas, nustatymo arba pagal to susitarimo 24 straipsnio 3 dalį teikiamos neatidėliotinos priemonės parengiami remiantis patikimiausiomis turimomis mokslo žiniomis ir moksline info</w:t>
            </w:r>
            <w:r>
              <w:t xml:space="preserve">rmacija ir, jei turima, atitinkamomis tradicinėmis čiabuvių ir vietos bendruomenių žiniomis, </w:t>
            </w:r>
            <w:r>
              <w:rPr>
                <w:b/>
                <w:i/>
              </w:rPr>
              <w:t>atsižvelgiant į</w:t>
            </w:r>
            <w:r>
              <w:t xml:space="preserve"> atsargumo </w:t>
            </w:r>
            <w:r>
              <w:rPr>
                <w:b/>
                <w:i/>
              </w:rPr>
              <w:t>principą</w:t>
            </w:r>
            <w:r>
              <w:t xml:space="preserve"> ir </w:t>
            </w:r>
            <w:r>
              <w:rPr>
                <w:b/>
                <w:i/>
              </w:rPr>
              <w:t>ekosisteminį metodą</w:t>
            </w:r>
            <w:r>
              <w:t>.</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43</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17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2.</w:t>
            </w:r>
            <w:r>
              <w:tab/>
            </w:r>
            <w:r>
              <w:rPr>
                <w:b/>
                <w:i/>
              </w:rPr>
              <w:t>Rengiant</w:t>
            </w:r>
            <w:r>
              <w:t xml:space="preserve"> šiame skyriuje nurodytus pasiūlymus, </w:t>
            </w:r>
            <w:r>
              <w:rPr>
                <w:b/>
                <w:i/>
              </w:rPr>
              <w:t>atitinkamai konsultuojamasi</w:t>
            </w:r>
            <w:r>
              <w:t xml:space="preserve"> su suinteresuotaisiais subjektais, įskaitant valstybes ir pasaulines, regionines, subregionines ir sektori</w:t>
            </w:r>
            <w:r>
              <w:t>nes įstaigas, taip pat pilietinę visuomenę, mokslininkų bendruomenę, privatųjį sektorių, čiabuvių tautas ir vietos bendruomenes.</w:t>
            </w:r>
          </w:p>
        </w:tc>
        <w:tc>
          <w:tcPr>
            <w:tcW w:w="4876" w:type="dxa"/>
            <w:hideMark/>
          </w:tcPr>
          <w:p w:rsidR="00C24ACB" w:rsidRPr="00715FEB" w:rsidRDefault="008A0CBA" w:rsidP="003B4AE9">
            <w:pPr>
              <w:pStyle w:val="Normal6"/>
              <w:rPr>
                <w:szCs w:val="24"/>
              </w:rPr>
            </w:pPr>
            <w:r>
              <w:t>2.</w:t>
            </w:r>
            <w:r>
              <w:tab/>
            </w:r>
            <w:r>
              <w:rPr>
                <w:b/>
                <w:i/>
              </w:rPr>
              <w:t>Valstybės narės, rengdamos</w:t>
            </w:r>
            <w:r>
              <w:t xml:space="preserve"> šiame skyriuje nurodytus pasiūlymus, </w:t>
            </w:r>
            <w:r>
              <w:rPr>
                <w:b/>
                <w:i/>
              </w:rPr>
              <w:t>bendradarbiauja ir prireikus konsultuojasi</w:t>
            </w:r>
            <w:r>
              <w:t xml:space="preserve"> su suinteresuotai</w:t>
            </w:r>
            <w:r>
              <w:t>siais subjektais, įskaitant valstybes ir pasaulines, regionines, subregionines ir sektorines įstaigas</w:t>
            </w:r>
            <w:r>
              <w:rPr>
                <w:b/>
                <w:i/>
              </w:rPr>
              <w:t>, įskaitant regionines žvejybos valdymo organizacijas</w:t>
            </w:r>
            <w:r>
              <w:t>, taip pat pilietinę visuomenę, mokslininkų bendruomenę, privatųjį sektorių, čiabuvių tautas ir vietos</w:t>
            </w:r>
            <w:r>
              <w:t xml:space="preserve"> bendruomenes.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44</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17 straipsnio 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4a.</w:t>
            </w:r>
            <w:r>
              <w:rPr>
                <w:b/>
                <w:i/>
              </w:rPr>
              <w:tab/>
              <w:t xml:space="preserve">Valstybės narės per BBNJ keitimosi informacija </w:t>
            </w:r>
            <w:r>
              <w:rPr>
                <w:b/>
                <w:i/>
              </w:rPr>
              <w:t xml:space="preserve">centrą pateikia informaciją, susijusią su atskiriems </w:t>
            </w:r>
            <w:r>
              <w:rPr>
                <w:b/>
                <w:i/>
              </w:rPr>
              <w:lastRenderedPageBreak/>
              <w:t>rajonams skirtų valdymo priemonių, įskaitant saugomas jūrų teritorijas, kūrimu.</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45</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 xml:space="preserve">18 straipsnio </w:t>
      </w:r>
      <w:r>
        <w:t>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1.</w:t>
            </w:r>
            <w:r>
              <w:tab/>
              <w:t xml:space="preserve">Valstybės narės užtikrina, kad jų jurisdikcijai priklausanti arba jų kontroliuojama veikla nacionalinei jurisdikcijai nepriklausančiuose rajonuose būtų vykdoma </w:t>
            </w:r>
            <w:r>
              <w:rPr>
                <w:b/>
                <w:i/>
              </w:rPr>
              <w:t>laikantis</w:t>
            </w:r>
            <w:r>
              <w:t xml:space="preserve"> Šalių konferencijos </w:t>
            </w:r>
            <w:r>
              <w:rPr>
                <w:b/>
                <w:i/>
              </w:rPr>
              <w:t>sprendimų</w:t>
            </w:r>
            <w:r>
              <w:t xml:space="preserve">, </w:t>
            </w:r>
            <w:r>
              <w:rPr>
                <w:b/>
                <w:i/>
              </w:rPr>
              <w:t>priimtų</w:t>
            </w:r>
            <w:r>
              <w:t xml:space="preserve"> pagal BBNJ susitarimo III dalį.</w:t>
            </w:r>
          </w:p>
        </w:tc>
        <w:tc>
          <w:tcPr>
            <w:tcW w:w="4876" w:type="dxa"/>
            <w:hideMark/>
          </w:tcPr>
          <w:p w:rsidR="00C24ACB" w:rsidRPr="00715FEB" w:rsidRDefault="008A0CBA" w:rsidP="003B4AE9">
            <w:pPr>
              <w:pStyle w:val="Normal6"/>
              <w:rPr>
                <w:szCs w:val="24"/>
              </w:rPr>
            </w:pPr>
            <w:r>
              <w:t>1.</w:t>
            </w:r>
            <w:r>
              <w:tab/>
              <w:t xml:space="preserve">Valstybės narės užtikrina, kad jų jurisdikcijai priklausanti arba jų kontroliuojama veikla nacionalinei jurisdikcijai nepriklausančiuose rajonuose būtų vykdoma </w:t>
            </w:r>
            <w:r>
              <w:rPr>
                <w:b/>
                <w:i/>
              </w:rPr>
              <w:t>vadovaujantis</w:t>
            </w:r>
            <w:r>
              <w:t xml:space="preserve"> Šalių konferencijos </w:t>
            </w:r>
            <w:r>
              <w:rPr>
                <w:b/>
                <w:i/>
              </w:rPr>
              <w:t>sprendim</w:t>
            </w:r>
            <w:r>
              <w:rPr>
                <w:b/>
                <w:i/>
              </w:rPr>
              <w:t>ais</w:t>
            </w:r>
            <w:r>
              <w:t xml:space="preserve">, </w:t>
            </w:r>
            <w:r>
              <w:rPr>
                <w:b/>
                <w:i/>
              </w:rPr>
              <w:t>priimtais</w:t>
            </w:r>
            <w:r>
              <w:t xml:space="preserve"> pagal BBNJ susitarimo III dalį.</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46</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2.</w:t>
            </w:r>
            <w:r>
              <w:tab/>
              <w:t xml:space="preserve">Valstybės narės atitinkamais </w:t>
            </w:r>
            <w:r>
              <w:t>atvejais stengiasi, kad pagal atitinkamas teisines priemones bei sistemas būtų priimtos priemonės, kuriomis remiamas pagal BBNJ susitarimo III</w:t>
            </w:r>
            <w:r>
              <w:rPr>
                <w:b/>
                <w:i/>
              </w:rPr>
              <w:t xml:space="preserve"> </w:t>
            </w:r>
            <w:r>
              <w:t>dalį Šalių konferencijos priimtų sprendimų ir rekomendacijų įgyvendinimas, arba kad tokias priemones priimtų atit</w:t>
            </w:r>
            <w:r>
              <w:t>inkamos pasaulinės, regioninės, subregioninės ir sektorinės įstaigos, kurių narės jos yra.</w:t>
            </w:r>
          </w:p>
        </w:tc>
        <w:tc>
          <w:tcPr>
            <w:tcW w:w="4876" w:type="dxa"/>
            <w:hideMark/>
          </w:tcPr>
          <w:p w:rsidR="00C24ACB" w:rsidRPr="00715FEB" w:rsidRDefault="008A0CBA" w:rsidP="003B4AE9">
            <w:pPr>
              <w:pStyle w:val="Normal6"/>
              <w:rPr>
                <w:szCs w:val="24"/>
              </w:rPr>
            </w:pPr>
            <w:r>
              <w:t>2.</w:t>
            </w:r>
            <w:r>
              <w:tab/>
              <w:t xml:space="preserve">Valstybės narės </w:t>
            </w:r>
            <w:r>
              <w:rPr>
                <w:b/>
                <w:i/>
              </w:rPr>
              <w:t xml:space="preserve">ir Komisija prireikus ir </w:t>
            </w:r>
            <w:r>
              <w:t xml:space="preserve">atitinkamais atvejais stengiasi, kad pagal atitinkamas teisines priemones bei sistemas būtų priimtos priemonės, kuriomis </w:t>
            </w:r>
            <w:r>
              <w:t>remiamas pagal BBNJ susitarimo III</w:t>
            </w:r>
            <w:r>
              <w:rPr>
                <w:b/>
                <w:i/>
              </w:rPr>
              <w:t> </w:t>
            </w:r>
            <w:r>
              <w:t xml:space="preserve">dalį Šalių konferencijos priimtų sprendimų ir rekomendacijų įgyvendinimas, arba kad tokias priemones priimtų atitinkamos pasaulinės, regioninės, subregioninės ir sektorinės įstaigos, kurių narės jos yra. </w:t>
            </w:r>
            <w:r>
              <w:rPr>
                <w:b/>
                <w:i/>
              </w:rPr>
              <w:t>Jos gali dalyvaut</w:t>
            </w:r>
            <w:r>
              <w:rPr>
                <w:b/>
                <w:i/>
              </w:rPr>
              <w:t>i koordinuojant šių įstaigų veiklą arba saugoms teritorijoms skirtą veiklą, jei jos yra tarpusavyje susijusios.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47</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18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2a.</w:t>
            </w:r>
            <w:r>
              <w:rPr>
                <w:b/>
                <w:i/>
              </w:rPr>
              <w:tab/>
              <w:t xml:space="preserve">Valstybės narės skatina tas trečiąsias valstybes, kurios turi teisę tapti BBNJ susitarimo šalimis, visų pirma tas, kurių veikla, laivai ar piliečiai vykdo veiklą rajone, kuriam taikoma nustatyta </w:t>
            </w:r>
            <w:r>
              <w:rPr>
                <w:b/>
                <w:i/>
              </w:rPr>
              <w:t>rajonams skirta valdymo priemonė, įskaitant saugomą jūrų teritoriją, priimti priemones, kuriomis būtų remiami Šalių konferencijos sprendimai ir rekomendacijos dėl pagal BBNJ susitarimą nustatytų atskiriems rajonams skirtų valdymo priemonių, įskaitant saugo</w:t>
            </w:r>
            <w:r>
              <w:rPr>
                <w:b/>
                <w:i/>
              </w:rPr>
              <w:t>mas jūrų teritorijas.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48</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18 straipsnio 2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2b.</w:t>
            </w:r>
            <w:r>
              <w:rPr>
                <w:b/>
                <w:i/>
              </w:rPr>
              <w:tab/>
              <w:t xml:space="preserve">Valstybės narės per BBNJ keitimosi </w:t>
            </w:r>
            <w:r>
              <w:rPr>
                <w:b/>
                <w:i/>
              </w:rPr>
              <w:t>informacija centrą pateikia informaciją, susijusią su atskiriems rajonams skirtų valdymo priemonių, įskaitant saugomas jūrų teritorijas, įgyvendinimu.</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49</w:t>
      </w:r>
      <w:r>
        <w:rPr>
          <w:rStyle w:val="HideTWBExt"/>
          <w:b w:val="0"/>
        </w:rPr>
        <w:t>&lt;/NumAm&gt;</w:t>
      </w:r>
    </w:p>
    <w:p w:rsidR="00C24ACB" w:rsidRPr="00715FEB" w:rsidRDefault="008A0CBA" w:rsidP="00C24ACB">
      <w:pPr>
        <w:pStyle w:val="NormalBold12b"/>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18</w:t>
      </w:r>
      <w:r>
        <w:t xml:space="preserve"> straipsnio 2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tcPr>
          <w:p w:rsidR="00C24ACB" w:rsidRPr="00715FEB" w:rsidRDefault="00C24ACB" w:rsidP="003B4AE9">
            <w:pPr>
              <w:pStyle w:val="Normal6"/>
              <w:rPr>
                <w:lang w:val="en-GB"/>
              </w:rPr>
            </w:pPr>
          </w:p>
        </w:tc>
        <w:tc>
          <w:tcPr>
            <w:tcW w:w="4876" w:type="dxa"/>
            <w:hideMark/>
          </w:tcPr>
          <w:p w:rsidR="00C24ACB" w:rsidRPr="00715FEB" w:rsidRDefault="008A0CBA" w:rsidP="003B4AE9">
            <w:pPr>
              <w:pStyle w:val="Normal6"/>
              <w:rPr>
                <w:szCs w:val="24"/>
              </w:rPr>
            </w:pPr>
            <w:r>
              <w:rPr>
                <w:b/>
                <w:i/>
              </w:rPr>
              <w:t>2c.</w:t>
            </w:r>
            <w:r>
              <w:rPr>
                <w:b/>
                <w:i/>
              </w:rPr>
              <w:tab/>
              <w:t>Komisija, remdamasi valstybių narių pateikta informacija, du kartus per metus teikia Europos Parlamentui ataskaitas apie įgyvendinimo priemones, priimtas pagal šią direkt</w:t>
            </w:r>
            <w:r>
              <w:rPr>
                <w:b/>
                <w:i/>
              </w:rPr>
              <w:t xml:space="preserve">yvą, ir apie bendrus pokyčius, susijusius su BBNJ susitarimo įgyvendinimu, įskaitant informaciją apie atitiktį, vykdymo </w:t>
            </w:r>
            <w:r>
              <w:rPr>
                <w:b/>
                <w:i/>
              </w:rPr>
              <w:lastRenderedPageBreak/>
              <w:t>užtikrinimą ir mokslinę stebėseną.</w:t>
            </w:r>
          </w:p>
        </w:tc>
      </w:tr>
    </w:tbl>
    <w:p w:rsidR="00C24ACB" w:rsidRPr="00715FEB" w:rsidRDefault="008A0CBA" w:rsidP="00C24ACB">
      <w:r>
        <w:rPr>
          <w:rStyle w:val="HideTWBExt"/>
        </w:rPr>
        <w:lastRenderedPageBreak/>
        <w:t>&lt;/Amend&gt;</w:t>
      </w:r>
    </w:p>
    <w:p w:rsidR="00C24ACB" w:rsidRPr="00715FEB" w:rsidRDefault="008A0CBA" w:rsidP="00C24ACB">
      <w:pPr>
        <w:pStyle w:val="AmNumberTabs"/>
      </w:pPr>
      <w:r>
        <w:rPr>
          <w:rStyle w:val="HideTWBExt"/>
          <w:b w:val="0"/>
        </w:rPr>
        <w:t>&lt;Amend&gt;</w:t>
      </w:r>
      <w:r>
        <w:t>Pakeitimas</w:t>
      </w:r>
      <w:r>
        <w:tab/>
      </w:r>
      <w:r>
        <w:tab/>
      </w:r>
      <w:r>
        <w:rPr>
          <w:rStyle w:val="HideTWBExt"/>
          <w:b w:val="0"/>
        </w:rPr>
        <w:t>&lt;NumAm&gt;</w:t>
      </w:r>
      <w:r>
        <w:t>50</w:t>
      </w:r>
      <w:r>
        <w:rPr>
          <w:rStyle w:val="HideTWBExt"/>
          <w:b w:val="0"/>
        </w:rPr>
        <w:t>&lt;/NumAm&gt;</w:t>
      </w:r>
    </w:p>
    <w:p w:rsidR="00C24ACB" w:rsidRPr="00715FEB" w:rsidRDefault="00C24ACB" w:rsidP="00C24ACB"/>
    <w:p w:rsidR="00C24ACB" w:rsidRPr="00715FEB" w:rsidRDefault="008A0CBA" w:rsidP="00C24ACB">
      <w:pPr>
        <w:pStyle w:val="NormalBold"/>
        <w:keepNext/>
      </w:pPr>
      <w:r>
        <w:rPr>
          <w:rStyle w:val="HideTWBExt"/>
          <w:b w:val="0"/>
        </w:rPr>
        <w:t>&lt;DocAmend&gt;</w:t>
      </w:r>
      <w:r>
        <w:t>Pasiūlymas dėl direktyvos</w:t>
      </w:r>
      <w:r>
        <w:rPr>
          <w:rStyle w:val="HideTWBExt"/>
          <w:b w:val="0"/>
        </w:rPr>
        <w:t>&lt;/DocAmend&gt;</w:t>
      </w:r>
    </w:p>
    <w:p w:rsidR="00C24ACB" w:rsidRPr="00715FEB" w:rsidRDefault="008A0CBA" w:rsidP="00C24ACB">
      <w:pPr>
        <w:pStyle w:val="NormalBold"/>
      </w:pPr>
      <w:r>
        <w:rPr>
          <w:rStyle w:val="HideTWBExt"/>
          <w:b w:val="0"/>
        </w:rPr>
        <w:t>&lt;Article&gt;</w:t>
      </w:r>
      <w:r>
        <w:t>19 straipsnio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C6B" w:rsidTr="003B4AE9">
        <w:trPr>
          <w:jc w:val="center"/>
        </w:trPr>
        <w:tc>
          <w:tcPr>
            <w:tcW w:w="9752" w:type="dxa"/>
            <w:gridSpan w:val="2"/>
          </w:tcPr>
          <w:p w:rsidR="00C24ACB" w:rsidRPr="00715FEB" w:rsidRDefault="00C24ACB" w:rsidP="003B4AE9">
            <w:pPr>
              <w:keepNext/>
            </w:pPr>
          </w:p>
        </w:tc>
      </w:tr>
      <w:tr w:rsidR="005D4C6B" w:rsidTr="003B4AE9">
        <w:trPr>
          <w:jc w:val="center"/>
        </w:trPr>
        <w:tc>
          <w:tcPr>
            <w:tcW w:w="4876" w:type="dxa"/>
            <w:hideMark/>
          </w:tcPr>
          <w:p w:rsidR="00C24ACB" w:rsidRPr="00715FEB" w:rsidRDefault="008A0CBA" w:rsidP="003B4AE9">
            <w:pPr>
              <w:pStyle w:val="ColumnHeading"/>
              <w:keepNext/>
            </w:pPr>
            <w:r>
              <w:t>Komisijos siūlomas tekstas</w:t>
            </w:r>
          </w:p>
        </w:tc>
        <w:tc>
          <w:tcPr>
            <w:tcW w:w="4876" w:type="dxa"/>
            <w:hideMark/>
          </w:tcPr>
          <w:p w:rsidR="00C24ACB" w:rsidRPr="00715FEB" w:rsidRDefault="008A0CBA" w:rsidP="003B4AE9">
            <w:pPr>
              <w:pStyle w:val="ColumnHeading"/>
              <w:keepNext/>
            </w:pPr>
            <w:r>
              <w:t>Pakeitimas</w:t>
            </w:r>
          </w:p>
        </w:tc>
      </w:tr>
      <w:tr w:rsidR="005D4C6B" w:rsidTr="003B4AE9">
        <w:trPr>
          <w:jc w:val="center"/>
        </w:trPr>
        <w:tc>
          <w:tcPr>
            <w:tcW w:w="4876" w:type="dxa"/>
            <w:hideMark/>
          </w:tcPr>
          <w:p w:rsidR="00C24ACB" w:rsidRPr="00715FEB" w:rsidRDefault="008A0CBA" w:rsidP="003B4AE9">
            <w:pPr>
              <w:pStyle w:val="Normal6"/>
            </w:pPr>
            <w:r>
              <w:t>Laikydamosi Direktyvos 2001/42/EB 6 ir 7 straipsnių reikalavimų valstybės narės užtikrina, kad visuomenei būtų suteikta galimybė dalyvauti rengiant pasiūlymus pagal 15 st</w:t>
            </w:r>
            <w:r>
              <w:t>raipsnį, kuriais nustatomos atskiriems rajonams skirtos valdymo priemonės, įskaitant saugomas jūrų teritorijas.</w:t>
            </w:r>
          </w:p>
        </w:tc>
        <w:tc>
          <w:tcPr>
            <w:tcW w:w="4876" w:type="dxa"/>
            <w:hideMark/>
          </w:tcPr>
          <w:p w:rsidR="00C24ACB" w:rsidRPr="00715FEB" w:rsidRDefault="008A0CBA" w:rsidP="003B4AE9">
            <w:pPr>
              <w:pStyle w:val="Normal6"/>
              <w:rPr>
                <w:szCs w:val="24"/>
              </w:rPr>
            </w:pPr>
            <w:r>
              <w:t>Laikydamosi Direktyvos 2001/42/EB 6 ir 7 straipsnių reikalavimų valstybės narės užtikrina, kad visuomenei būtų suteikta galimybė dalyvauti rengi</w:t>
            </w:r>
            <w:r>
              <w:t xml:space="preserve">ant pasiūlymus pagal 15 straipsnį, kuriais nustatomos atskiriems rajonams skirtos valdymo priemonės, įskaitant saugomas jūrų teritorijas. </w:t>
            </w:r>
            <w:r>
              <w:rPr>
                <w:b/>
                <w:i/>
              </w:rPr>
              <w:t>Valstybės narės užtikrina, kad konsultacijos dėl pasiūlymų, pateiktų pagal šios direktyvos 17 straipsnį, būtų įtraukio</w:t>
            </w:r>
            <w:r>
              <w:rPr>
                <w:b/>
                <w:i/>
              </w:rPr>
              <w:t>s, skaidrios ir atviros visiems atitinkamiems suinteresuotiesiems subjektams, įskaitant valstybes ir pasaulines, regionines, subregionines ir sektorines įstaigas, įskaitant regionines žvejybos valdymo organizacijas, taip pat pilietinę visuomenę, mokslo ben</w:t>
            </w:r>
            <w:r>
              <w:rPr>
                <w:b/>
                <w:i/>
              </w:rPr>
              <w:t>druomenę, čiabuvių tautas ir vietos bendruomenes.</w:t>
            </w:r>
          </w:p>
        </w:tc>
      </w:tr>
    </w:tbl>
    <w:p w:rsidR="00C24ACB" w:rsidRPr="00715FEB" w:rsidRDefault="008A0CBA" w:rsidP="00C24ACB">
      <w:r>
        <w:rPr>
          <w:rStyle w:val="HideTWBExt"/>
        </w:rPr>
        <w:t>&lt;/Amend&gt;</w:t>
      </w:r>
    </w:p>
    <w:p w:rsidR="00C24ACB" w:rsidRPr="00715FEB" w:rsidRDefault="008A0CBA" w:rsidP="00C24ACB">
      <w:pPr>
        <w:pStyle w:val="AmNumberTabs"/>
      </w:pPr>
      <w:r>
        <w:rPr>
          <w:rStyle w:val="HideTWBExt"/>
        </w:rPr>
        <w:t>&lt;Amend&gt;</w:t>
      </w:r>
      <w:r>
        <w:t>Pakeitimas</w:t>
      </w:r>
      <w:r>
        <w:tab/>
      </w:r>
      <w:r>
        <w:tab/>
      </w:r>
      <w:r>
        <w:rPr>
          <w:rStyle w:val="HideTWBExt"/>
        </w:rPr>
        <w:t>&lt;NumAm&gt;</w:t>
      </w:r>
      <w:r>
        <w:t>51</w:t>
      </w:r>
      <w:r>
        <w:rPr>
          <w:rStyle w:val="HideTWBExt"/>
        </w:rPr>
        <w:t>&lt;/NumAm&gt;</w:t>
      </w:r>
    </w:p>
    <w:p w:rsidR="00C24ACB" w:rsidRPr="00715FEB" w:rsidRDefault="008A0CBA" w:rsidP="00C24ACB">
      <w:pPr>
        <w:pStyle w:val="NormalBold12b"/>
      </w:pPr>
      <w:r>
        <w:rPr>
          <w:rStyle w:val="HideTWBExt"/>
        </w:rPr>
        <w:t>&lt;DocAmend&gt;</w:t>
      </w:r>
      <w:r>
        <w:t>Pasiūlymas dėl direktyvos</w:t>
      </w:r>
      <w:r>
        <w:rPr>
          <w:rStyle w:val="HideTWBExt"/>
        </w:rPr>
        <w:t>&lt;/DocAmend&gt;</w:t>
      </w:r>
    </w:p>
    <w:p w:rsidR="00C24ACB" w:rsidRPr="00715FEB" w:rsidRDefault="008A0CBA" w:rsidP="00C24ACB">
      <w:pPr>
        <w:pStyle w:val="NormalBold"/>
      </w:pPr>
      <w:r>
        <w:rPr>
          <w:rStyle w:val="HideTWBExt"/>
        </w:rPr>
        <w:t>&lt;Article&gt;</w:t>
      </w:r>
      <w:r>
        <w:t>20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4C6B" w:rsidTr="003B4AE9">
        <w:trPr>
          <w:trHeight w:val="240"/>
          <w:jc w:val="center"/>
        </w:trPr>
        <w:tc>
          <w:tcPr>
            <w:tcW w:w="9752" w:type="dxa"/>
            <w:gridSpan w:val="2"/>
            <w:tcBorders>
              <w:top w:val="nil"/>
              <w:left w:val="nil"/>
              <w:bottom w:val="nil"/>
              <w:right w:val="nil"/>
            </w:tcBorders>
          </w:tcPr>
          <w:p w:rsidR="00C24ACB" w:rsidRPr="00715FEB" w:rsidRDefault="00C24ACB" w:rsidP="003B4AE9"/>
        </w:tc>
      </w:tr>
      <w:tr w:rsidR="005D4C6B" w:rsidTr="003B4AE9">
        <w:trPr>
          <w:trHeight w:val="240"/>
          <w:jc w:val="center"/>
        </w:trPr>
        <w:tc>
          <w:tcPr>
            <w:tcW w:w="4876" w:type="dxa"/>
            <w:tcBorders>
              <w:top w:val="nil"/>
              <w:left w:val="nil"/>
              <w:bottom w:val="nil"/>
              <w:right w:val="nil"/>
            </w:tcBorders>
            <w:hideMark/>
          </w:tcPr>
          <w:p w:rsidR="00C24ACB" w:rsidRPr="00715FEB" w:rsidRDefault="008A0CBA" w:rsidP="003B4AE9">
            <w:pPr>
              <w:pStyle w:val="AmColumnHeading"/>
            </w:pPr>
            <w:r>
              <w:t>Komisijos siūlomas tekstas</w:t>
            </w:r>
          </w:p>
        </w:tc>
        <w:tc>
          <w:tcPr>
            <w:tcW w:w="4876" w:type="dxa"/>
            <w:tcBorders>
              <w:top w:val="nil"/>
              <w:left w:val="nil"/>
              <w:bottom w:val="nil"/>
              <w:right w:val="nil"/>
            </w:tcBorders>
            <w:hideMark/>
          </w:tcPr>
          <w:p w:rsidR="00C24ACB" w:rsidRPr="00715FEB" w:rsidRDefault="008A0CBA" w:rsidP="003B4AE9">
            <w:pPr>
              <w:pStyle w:val="AmColumnHeading"/>
            </w:pPr>
            <w:r>
              <w:t>Pakeitimas</w:t>
            </w:r>
          </w:p>
        </w:tc>
      </w:tr>
      <w:tr w:rsidR="005D4C6B" w:rsidTr="003B4AE9">
        <w:trPr>
          <w:jc w:val="center"/>
        </w:trPr>
        <w:tc>
          <w:tcPr>
            <w:tcW w:w="4876" w:type="dxa"/>
            <w:tcBorders>
              <w:top w:val="nil"/>
              <w:left w:val="nil"/>
              <w:bottom w:val="nil"/>
              <w:right w:val="nil"/>
            </w:tcBorders>
            <w:hideMark/>
          </w:tcPr>
          <w:p w:rsidR="00C24ACB" w:rsidRPr="00715FEB" w:rsidRDefault="008A0CBA" w:rsidP="003B4AE9">
            <w:pPr>
              <w:pStyle w:val="Normal6a"/>
            </w:pPr>
            <w:r>
              <w:t>2.</w:t>
            </w:r>
            <w:r>
              <w:tab/>
              <w:t xml:space="preserve">Valstybės narės užtikrina, </w:t>
            </w:r>
            <w:r>
              <w:t>kad kompetentingos institucijos, vykdančios pareigas pagal šią direktyvą, turėtų pakankamai kvalifikuotų darbuotojų ir finansinių, techninių bei technologinių išteklių, kad galėtų veiksmingai atlikti savo užduotis.</w:t>
            </w:r>
          </w:p>
        </w:tc>
        <w:tc>
          <w:tcPr>
            <w:tcW w:w="4876" w:type="dxa"/>
            <w:tcBorders>
              <w:top w:val="nil"/>
              <w:left w:val="nil"/>
              <w:bottom w:val="nil"/>
              <w:right w:val="nil"/>
            </w:tcBorders>
            <w:hideMark/>
          </w:tcPr>
          <w:p w:rsidR="00C24ACB" w:rsidRPr="00715FEB" w:rsidRDefault="008A0CBA" w:rsidP="003B4AE9">
            <w:pPr>
              <w:pStyle w:val="Normal6a"/>
            </w:pPr>
            <w:r>
              <w:t>2.</w:t>
            </w:r>
            <w:r>
              <w:tab/>
              <w:t>Valstybės narės užtikrina, kad kompete</w:t>
            </w:r>
            <w:r>
              <w:t>ntingos institucijos, vykdančios pareigas pagal šią direktyvą, turėtų pakankamai kvalifikuotų darbuotojų ir finansinių, techninių bei technologinių išteklių, kad galėtų veiksmingai atlikti savo užduotis</w:t>
            </w:r>
            <w:r>
              <w:rPr>
                <w:b/>
                <w:i/>
              </w:rPr>
              <w:t xml:space="preserve"> ir užtikrinti, kad, kaip įmanoma geriau, būtų laikoma</w:t>
            </w:r>
            <w:r>
              <w:rPr>
                <w:b/>
                <w:i/>
              </w:rPr>
              <w:t>si ES tarptautinių įsipareigojimų</w:t>
            </w:r>
            <w:r>
              <w:t>.</w:t>
            </w:r>
          </w:p>
        </w:tc>
      </w:tr>
    </w:tbl>
    <w:p w:rsidR="00C24ACB" w:rsidRPr="00715FEB" w:rsidRDefault="008A0CBA" w:rsidP="00C24ACB">
      <w:r>
        <w:rPr>
          <w:rStyle w:val="HideTWBExt"/>
        </w:rPr>
        <w:t>&lt;/Amend&gt;</w:t>
      </w:r>
    </w:p>
    <w:p w:rsidR="00C24ACB" w:rsidRPr="00715FEB" w:rsidRDefault="00C24ACB" w:rsidP="00C24ACB">
      <w:pPr>
        <w:rPr>
          <w:rStyle w:val="HideTWBExt"/>
          <w:rFonts w:eastAsiaTheme="majorEastAsia"/>
          <w:szCs w:val="20"/>
        </w:rPr>
      </w:pPr>
    </w:p>
    <w:p w:rsidR="00C24ACB" w:rsidRPr="00715FEB" w:rsidRDefault="008A0CBA" w:rsidP="00C24ACB">
      <w:r>
        <w:rPr>
          <w:rStyle w:val="HideTWBExt"/>
        </w:rPr>
        <w:t>&lt;/RepeatBlock-Amend&gt;</w:t>
      </w:r>
    </w:p>
    <w:p w:rsidR="00C24ACB" w:rsidRDefault="008A0CBA">
      <w:pPr>
        <w:widowControl/>
      </w:pPr>
      <w:r>
        <w:br w:type="page"/>
      </w:r>
    </w:p>
    <w:p w:rsidR="00C24ACB" w:rsidRPr="00715FEB" w:rsidRDefault="00C24ACB" w:rsidP="00C24ACB">
      <w:pPr>
        <w:widowControl/>
      </w:pPr>
    </w:p>
    <w:p w:rsidR="00C24ACB" w:rsidRPr="00715FEB" w:rsidRDefault="008A0CBA" w:rsidP="00C24ACB">
      <w:pPr>
        <w:pStyle w:val="PageHeadingNotTOC"/>
      </w:pPr>
      <w:bookmarkStart w:id="3" w:name="FootprintPageAD"/>
      <w:r>
        <w:t>PRIEDAS. GAUTOS INFORMACIJOS DEKLARACIJA</w:t>
      </w:r>
    </w:p>
    <w:p w:rsidR="00C24ACB" w:rsidRPr="00715FEB" w:rsidRDefault="008A0CBA" w:rsidP="00C24ACB">
      <w:pPr>
        <w:pStyle w:val="Normal24a"/>
      </w:pPr>
      <w:r>
        <w:rPr>
          <w:rStyle w:val="HideTWBExt"/>
        </w:rPr>
        <w:t>&lt;FootprintIntro&gt;</w:t>
      </w:r>
      <w:r>
        <w:t xml:space="preserve">Pagal Darbo tvarkos taisyklių I priedo 8 straipsnį nuomonės referentė pareiškia, kad į savo nuomonę įtraukė su dokumento dalyku </w:t>
      </w:r>
      <w:r>
        <w:t>susijusią informaciją, kurią, rengdama nuomonę, gavo iš toliau nurodytų interesų grupių atstovų, kuriems taikomas Tarpinstitucinis susitarimas dėl privalomo skaidrumo registro</w:t>
      </w:r>
      <w:r>
        <w:rPr>
          <w:rStyle w:val="FootnoteReference"/>
        </w:rPr>
        <w:footnoteReference w:id="1"/>
      </w:r>
      <w:r>
        <w:t>, arba trečiųjų šalių valdžios institucijų, įskaitant jų diplomatines atstovybes</w:t>
      </w:r>
      <w:r>
        <w:t xml:space="preserve">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D4C6B" w:rsidTr="003B4AE9">
        <w:tc>
          <w:tcPr>
            <w:tcW w:w="9060" w:type="dxa"/>
            <w:tcBorders>
              <w:top w:val="single" w:sz="4" w:space="0" w:color="auto"/>
              <w:left w:val="single" w:sz="4" w:space="0" w:color="auto"/>
              <w:bottom w:val="single" w:sz="4" w:space="0" w:color="auto"/>
              <w:right w:val="single" w:sz="4" w:space="0" w:color="auto"/>
            </w:tcBorders>
            <w:hideMark/>
          </w:tcPr>
          <w:p w:rsidR="00C24ACB" w:rsidRPr="00715FEB" w:rsidRDefault="008A0CBA" w:rsidP="003B4AE9">
            <w:pPr>
              <w:pStyle w:val="NormalBoldCenter"/>
            </w:pPr>
            <w:r>
              <w:t>1. Interesų grupių atstovai, kuriems taikomas Tarpinstitucinis susitarimas dėl privalomo skaidrumo registro</w:t>
            </w:r>
          </w:p>
        </w:tc>
      </w:tr>
      <w:tr w:rsidR="005D4C6B" w:rsidTr="003B4AE9">
        <w:tc>
          <w:tcPr>
            <w:tcW w:w="9060" w:type="dxa"/>
            <w:tcBorders>
              <w:top w:val="single" w:sz="4" w:space="0" w:color="auto"/>
              <w:left w:val="single" w:sz="4" w:space="0" w:color="auto"/>
              <w:bottom w:val="single" w:sz="4" w:space="0" w:color="auto"/>
              <w:right w:val="single" w:sz="4" w:space="0" w:color="auto"/>
            </w:tcBorders>
            <w:hideMark/>
          </w:tcPr>
          <w:p w:rsidR="00C24ACB" w:rsidRPr="00715FEB" w:rsidRDefault="008A0CBA" w:rsidP="003B4AE9">
            <w:pPr>
              <w:pStyle w:val="NormalSingle"/>
            </w:pPr>
            <w:r>
              <w:t>High Seas Alliance</w:t>
            </w:r>
          </w:p>
        </w:tc>
      </w:tr>
      <w:tr w:rsidR="005D4C6B" w:rsidTr="003B4AE9">
        <w:tc>
          <w:tcPr>
            <w:tcW w:w="9060" w:type="dxa"/>
            <w:tcBorders>
              <w:top w:val="single" w:sz="4" w:space="0" w:color="auto"/>
              <w:left w:val="single" w:sz="4" w:space="0" w:color="auto"/>
              <w:bottom w:val="single" w:sz="4" w:space="0" w:color="auto"/>
              <w:right w:val="single" w:sz="4" w:space="0" w:color="auto"/>
            </w:tcBorders>
            <w:hideMark/>
          </w:tcPr>
          <w:p w:rsidR="00C24ACB" w:rsidRPr="00715FEB" w:rsidRDefault="008A0CBA" w:rsidP="003B4AE9">
            <w:pPr>
              <w:pStyle w:val="NormalBoldCenter"/>
            </w:pPr>
            <w:r>
              <w:t>2. Trečiųjų šalių valdžios institucijų, įskaitant jų diplomatines atstovybes ir ambasa</w:t>
            </w:r>
            <w:r>
              <w:t>das, atstovai</w:t>
            </w:r>
          </w:p>
        </w:tc>
      </w:tr>
    </w:tbl>
    <w:p w:rsidR="00C24ACB" w:rsidRPr="00715FEB" w:rsidRDefault="008A0CBA" w:rsidP="00C24ACB">
      <w:pPr>
        <w:pStyle w:val="Footprint12b"/>
      </w:pPr>
      <w:r>
        <w:t>Šį sąrašą parengė ir visą atsakomybę už jį prisiima nuomonės referentė.</w:t>
      </w:r>
    </w:p>
    <w:p w:rsidR="00C24ACB" w:rsidRPr="00715FEB" w:rsidRDefault="008A0CBA" w:rsidP="00C24ACB">
      <w:pPr>
        <w:pStyle w:val="Footprint12b"/>
      </w:pPr>
      <w:r>
        <w:t xml:space="preserve">Jeigu sąraše esančių fizinių asmenų tapatybę galima nustatyti pagal jų vardą ir pavardę, jų pareigas arba pagal abu požymius, nuomonės referentė pareiškia, kad ji </w:t>
      </w:r>
      <w:r>
        <w:t>atitinkamiems fiziniams asmenims pateikė Europos Parlamento pranešimą dėl duomenų apsaugos Nr. 484 (</w:t>
      </w:r>
      <w:hyperlink r:id="rId8" w:history="1">
        <w:r>
          <w:rPr>
            <w:rStyle w:val="Hyperlink"/>
          </w:rPr>
          <w:t>https://www.europarl.europa.eu/data-protect/index.do</w:t>
        </w:r>
      </w:hyperlink>
      <w:r>
        <w:t>), kuriame išdėstytos jų asmens duo</w:t>
      </w:r>
      <w:r>
        <w:t>menų tvarkymui taikomos sąlygos ir su tuo tvarkymu susijusios teisės.</w:t>
      </w:r>
    </w:p>
    <w:p w:rsidR="00C24ACB" w:rsidRPr="00715FEB" w:rsidRDefault="00C24ACB" w:rsidP="00C24ACB"/>
    <w:bookmarkEnd w:id="3"/>
    <w:p w:rsidR="00C24ACB" w:rsidRPr="00715FEB" w:rsidRDefault="00C24ACB" w:rsidP="00C24ACB"/>
    <w:p w:rsidR="008A039D" w:rsidRPr="008A039D" w:rsidRDefault="008A039D" w:rsidP="008A039D">
      <w:pPr>
        <w:sectPr w:rsidR="008A039D" w:rsidRPr="008A039D" w:rsidSect="00C24A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A039D" w:rsidRDefault="008A0CBA" w:rsidP="008A039D">
      <w:pPr>
        <w:pStyle w:val="PageHeadingNotTOC"/>
      </w:pPr>
      <w:bookmarkStart w:id="4"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Jūrų biologinės įvairovės išsaugojimas ir tausus jos naudojimas nacionalinei jurisdikcijai nepriklausančiuose rajonuose</w:t>
            </w:r>
          </w:p>
        </w:tc>
      </w:tr>
      <w:tr w:rsidR="005D4C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COM(2025)0173 – C10-0074/2025 – 2025/0090(COD)</w:t>
            </w: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Atsakingas komitetas</w:t>
            </w:r>
          </w:p>
          <w:p w:rsidR="008A039D" w:rsidRDefault="008A0CBA">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ENVI</w:t>
            </w:r>
          </w:p>
          <w:p w:rsidR="008A039D" w:rsidRDefault="008A0CBA">
            <w:pPr>
              <w:autoSpaceDE w:val="0"/>
              <w:autoSpaceDN w:val="0"/>
              <w:adjustRightInd w:val="0"/>
              <w:rPr>
                <w:color w:val="000000"/>
                <w:sz w:val="20"/>
                <w:szCs w:val="20"/>
              </w:rPr>
            </w:pPr>
            <w:r>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Nuomonę pateikė</w:t>
            </w:r>
          </w:p>
          <w:p w:rsidR="008A039D" w:rsidRDefault="008A0CBA">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PECH</w:t>
            </w:r>
          </w:p>
          <w:p w:rsidR="008A039D" w:rsidRDefault="008A0CBA">
            <w:pPr>
              <w:autoSpaceDE w:val="0"/>
              <w:autoSpaceDN w:val="0"/>
              <w:adjustRightInd w:val="0"/>
              <w:rPr>
                <w:color w:val="000000"/>
                <w:sz w:val="20"/>
                <w:szCs w:val="20"/>
              </w:rPr>
            </w:pPr>
            <w:r>
              <w:rPr>
                <w:color w:val="000000"/>
                <w:sz w:val="20"/>
              </w:rPr>
              <w:t>7.7.2025</w:t>
            </w: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Nuomonės referentas (-ė)</w:t>
            </w:r>
          </w:p>
          <w:p w:rsidR="008A039D" w:rsidRDefault="008A0CBA">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Emma Fourreau</w:t>
            </w:r>
          </w:p>
          <w:p w:rsidR="008A039D" w:rsidRDefault="008A0CBA">
            <w:pPr>
              <w:autoSpaceDE w:val="0"/>
              <w:autoSpaceDN w:val="0"/>
              <w:adjustRightInd w:val="0"/>
              <w:rPr>
                <w:color w:val="000000"/>
                <w:sz w:val="20"/>
                <w:szCs w:val="20"/>
              </w:rPr>
            </w:pPr>
            <w:r>
              <w:rPr>
                <w:color w:val="000000"/>
                <w:sz w:val="20"/>
              </w:rPr>
              <w:t>5.6.2025</w:t>
            </w: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r>
      <w:tr w:rsidR="005D4C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A039D" w:rsidRDefault="008A039D">
            <w:pPr>
              <w:autoSpaceDE w:val="0"/>
              <w:autoSpaceDN w:val="0"/>
              <w:adjustRightInd w:val="0"/>
              <w:rPr>
                <w:rFonts w:ascii="sans-serif" w:hAnsi="sans-serif" w:cs="sans-serif"/>
                <w:color w:val="000000"/>
              </w:rPr>
            </w:pP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w:t>
            </w:r>
          </w:p>
          <w:p w:rsidR="008A039D" w:rsidRDefault="008A0CBA">
            <w:pPr>
              <w:autoSpaceDE w:val="0"/>
              <w:autoSpaceDN w:val="0"/>
              <w:adjustRightInd w:val="0"/>
              <w:rPr>
                <w:color w:val="000000"/>
                <w:sz w:val="20"/>
                <w:szCs w:val="20"/>
              </w:rPr>
            </w:pPr>
            <w:r>
              <w:rPr>
                <w:color w:val="000000"/>
                <w:sz w:val="20"/>
              </w:rPr>
              <w:t>–:</w:t>
            </w:r>
          </w:p>
          <w:p w:rsidR="008A039D" w:rsidRDefault="008A0CBA">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22</w:t>
            </w:r>
          </w:p>
          <w:p w:rsidR="008A039D" w:rsidRDefault="008A0CBA">
            <w:pPr>
              <w:autoSpaceDE w:val="0"/>
              <w:autoSpaceDN w:val="0"/>
              <w:adjustRightInd w:val="0"/>
              <w:rPr>
                <w:color w:val="000000"/>
                <w:sz w:val="20"/>
                <w:szCs w:val="20"/>
              </w:rPr>
            </w:pPr>
            <w:r>
              <w:rPr>
                <w:color w:val="000000"/>
                <w:sz w:val="20"/>
              </w:rPr>
              <w:t>4</w:t>
            </w:r>
          </w:p>
          <w:p w:rsidR="008A039D" w:rsidRDefault="008A0CBA">
            <w:pPr>
              <w:autoSpaceDE w:val="0"/>
              <w:autoSpaceDN w:val="0"/>
              <w:adjustRightInd w:val="0"/>
              <w:rPr>
                <w:color w:val="000000"/>
                <w:sz w:val="20"/>
                <w:szCs w:val="20"/>
              </w:rPr>
            </w:pPr>
            <w:r>
              <w:rPr>
                <w:color w:val="000000"/>
                <w:sz w:val="20"/>
              </w:rPr>
              <w:t>0</w:t>
            </w:r>
          </w:p>
        </w:tc>
      </w:tr>
      <w:tr w:rsidR="005D4C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 xml:space="preserve">Thomas Bajada, Asger Christensen, Carmen Crespo Díaz, Siegbert Frank </w:t>
            </w:r>
            <w:r>
              <w:rPr>
                <w:color w:val="000000"/>
                <w:sz w:val="20"/>
              </w:rPr>
              <w:t>Droese, Emma Fourreau, Nora Junco García, Isabella Lövin, Giuseppe Lupo, Francisco José Millán Mon, Jessica Polfjärd, Bert-Jan Ruissen, Sander Smit, Emma Wiesner</w:t>
            </w:r>
          </w:p>
        </w:tc>
      </w:tr>
      <w:tr w:rsidR="005D4C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Carlo Ciccioli, Anna Maria Cisi</w:t>
            </w:r>
            <w:r>
              <w:rPr>
                <w:color w:val="000000"/>
                <w:sz w:val="20"/>
              </w:rPr>
              <w:t>nt, Marco Falcone, Luke Ming Flanagan, Idoia Mendia, Eric Sargiacomo, Michal Wiezik</w:t>
            </w:r>
          </w:p>
        </w:tc>
      </w:tr>
      <w:tr w:rsidR="005D4C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b/>
                <w:bCs/>
                <w:color w:val="000000"/>
                <w:sz w:val="20"/>
                <w:szCs w:val="20"/>
              </w:rPr>
            </w:pPr>
            <w:r>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A039D" w:rsidRDefault="008A0CBA">
            <w:pPr>
              <w:autoSpaceDE w:val="0"/>
              <w:autoSpaceDN w:val="0"/>
              <w:adjustRightInd w:val="0"/>
              <w:rPr>
                <w:color w:val="000000"/>
                <w:sz w:val="20"/>
                <w:szCs w:val="20"/>
              </w:rPr>
            </w:pPr>
            <w:r>
              <w:rPr>
                <w:color w:val="000000"/>
                <w:sz w:val="20"/>
              </w:rPr>
              <w:t xml:space="preserve">Paolo Borchia, Herbert Dorfmann, Camilla Laureti, Michele Picaro, Giusi Princi, Isabella </w:t>
            </w:r>
            <w:r>
              <w:rPr>
                <w:color w:val="000000"/>
                <w:sz w:val="20"/>
              </w:rPr>
              <w:t>Tovaglieri</w:t>
            </w:r>
          </w:p>
        </w:tc>
      </w:tr>
    </w:tbl>
    <w:p w:rsidR="008A039D" w:rsidRDefault="008A039D"/>
    <w:bookmarkEnd w:id="4"/>
    <w:p w:rsidR="00C24ACB" w:rsidRDefault="00C24ACB" w:rsidP="00C24ACB">
      <w:pPr>
        <w:sectPr w:rsidR="00C24ACB" w:rsidSect="00C24ACB">
          <w:pgSz w:w="11894" w:h="15840"/>
          <w:pgMar w:top="1700" w:right="1417" w:bottom="1417" w:left="1417" w:header="720" w:footer="720" w:gutter="0"/>
          <w:cols w:space="720"/>
          <w:noEndnote/>
          <w:docGrid w:linePitch="326"/>
        </w:sectPr>
      </w:pPr>
    </w:p>
    <w:p w:rsidR="00C24ACB" w:rsidRPr="00C24ACB" w:rsidRDefault="00C24ACB" w:rsidP="00C24ACB"/>
    <w:p w:rsidR="00C24ACB" w:rsidRPr="0099178F" w:rsidRDefault="008A0CBA" w:rsidP="00C36610">
      <w:pPr>
        <w:pStyle w:val="PageHeadingNotTOC"/>
      </w:pPr>
      <w:bookmarkStart w:id="5"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D4C6B" w:rsidTr="003B4AE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24ACB" w:rsidRPr="00715FEB" w:rsidRDefault="008A0CBA" w:rsidP="003B4AE9">
            <w:pPr>
              <w:pStyle w:val="RollCallVotes"/>
            </w:pPr>
            <w:r>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24ACB" w:rsidRPr="00715FEB" w:rsidRDefault="008A0CBA" w:rsidP="003B4AE9">
            <w:pPr>
              <w:pStyle w:val="RollCallSymbols14pt"/>
            </w:pPr>
            <w:r>
              <w:t>+</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Carlo Ciccioli, Nora Junco García, Michele Picaro, Bert-Jan Ruissen</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 xml:space="preserve">Carmen Crespo Díaz, Herbert Dorfmann, Marco Falcone, Francisco José Millán Mon, </w:t>
            </w:r>
            <w:r>
              <w:t>Jessica Polfjärd, Giusi Princi, Sander Smit</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Asger Christensen, Emma Wiesner, Michal Wiezik</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Thomas Bajada, Camilla Laureti, Giuseppe Lupo, Idoia Mendia, Eric Sargiacomo</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Luke Ming Flanagan, Emma Fourreau</w:t>
            </w:r>
          </w:p>
        </w:tc>
      </w:tr>
      <w:tr w:rsidR="005D4C6B" w:rsidTr="003B4AE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24ACB" w:rsidRPr="00715FEB" w:rsidRDefault="008A0CBA" w:rsidP="003B4AE9">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24ACB" w:rsidRPr="00715FEB" w:rsidRDefault="008A0CBA" w:rsidP="003B4AE9">
            <w:pPr>
              <w:pStyle w:val="RollCallTable"/>
            </w:pPr>
            <w:r>
              <w:t>Isabella Lövin</w:t>
            </w:r>
          </w:p>
        </w:tc>
      </w:tr>
    </w:tbl>
    <w:p w:rsidR="00C24ACB" w:rsidRPr="00715FEB" w:rsidRDefault="00C24ACB" w:rsidP="00C24A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D4C6B" w:rsidTr="003B4AE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24ACB" w:rsidRPr="00715FEB" w:rsidRDefault="008A0CBA" w:rsidP="003B4AE9">
            <w:pPr>
              <w:pStyle w:val="RollCallVotes"/>
            </w:pPr>
            <w: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24ACB" w:rsidRPr="00715FEB" w:rsidRDefault="008A0CBA" w:rsidP="003B4AE9">
            <w:pPr>
              <w:pStyle w:val="RollCallSymbols14pt"/>
            </w:pPr>
            <w:r>
              <w:t>-</w:t>
            </w:r>
          </w:p>
        </w:tc>
      </w:tr>
      <w:tr w:rsidR="005D4C6B" w:rsidTr="003B4AE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24ACB" w:rsidRPr="00715FEB" w:rsidRDefault="008A0CBA" w:rsidP="003B4AE9">
            <w:pPr>
              <w:pStyle w:val="RollCallTable"/>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24ACB" w:rsidRPr="00715FEB" w:rsidRDefault="008A0CBA" w:rsidP="003B4AE9">
            <w:pPr>
              <w:pStyle w:val="RollCallTable"/>
            </w:pPr>
            <w:r>
              <w:t>Siegbert Frank Droese</w:t>
            </w:r>
          </w:p>
        </w:tc>
      </w:tr>
      <w:tr w:rsidR="005D4C6B" w:rsidTr="003B4AE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24ACB" w:rsidRPr="00715FEB" w:rsidRDefault="008A0CBA" w:rsidP="003B4AE9">
            <w:pPr>
              <w:pStyle w:val="RollCallTable"/>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24ACB" w:rsidRPr="00715FEB" w:rsidRDefault="008A0CBA" w:rsidP="003B4AE9">
            <w:pPr>
              <w:pStyle w:val="RollCallTable"/>
            </w:pPr>
            <w:r>
              <w:t>Paolo Borchia, Anna Maria Cisint, Isabella Tovaglieri</w:t>
            </w:r>
          </w:p>
        </w:tc>
      </w:tr>
    </w:tbl>
    <w:p w:rsidR="00C24ACB" w:rsidRPr="00715FEB" w:rsidRDefault="00C24ACB" w:rsidP="00C24A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D4C6B" w:rsidTr="003B4AE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24ACB" w:rsidRPr="00715FEB" w:rsidRDefault="008A0CBA" w:rsidP="003B4AE9">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24ACB" w:rsidRPr="00715FEB" w:rsidRDefault="008A0CBA" w:rsidP="003B4AE9">
            <w:pPr>
              <w:pStyle w:val="RollCallSymbols14pt"/>
            </w:pPr>
            <w:r>
              <w:t>0</w:t>
            </w:r>
          </w:p>
        </w:tc>
      </w:tr>
      <w:tr w:rsidR="005D4C6B" w:rsidTr="003B4AE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24ACB" w:rsidRPr="00715FEB" w:rsidRDefault="00C24ACB" w:rsidP="003B4AE9">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24ACB" w:rsidRPr="00715FEB" w:rsidRDefault="00C24ACB" w:rsidP="003B4AE9">
            <w:pPr>
              <w:pStyle w:val="RollCallTable"/>
            </w:pPr>
          </w:p>
        </w:tc>
      </w:tr>
    </w:tbl>
    <w:p w:rsidR="00C24ACB" w:rsidRDefault="00C24ACB" w:rsidP="00147FBF">
      <w:pPr>
        <w:pStyle w:val="Normal12a"/>
      </w:pPr>
    </w:p>
    <w:p w:rsidR="00C24ACB" w:rsidRDefault="008A0CBA" w:rsidP="00B735E3">
      <w:r>
        <w:t>Sutartiniai ženklai:</w:t>
      </w:r>
    </w:p>
    <w:p w:rsidR="00C24ACB" w:rsidRDefault="008A0CBA" w:rsidP="003858C5">
      <w:pPr>
        <w:pStyle w:val="RollCallTabs"/>
      </w:pPr>
      <w:r>
        <w:t>+</w:t>
      </w:r>
      <w:r>
        <w:tab/>
        <w:t>:</w:t>
      </w:r>
      <w:r>
        <w:tab/>
        <w:t>už</w:t>
      </w:r>
    </w:p>
    <w:p w:rsidR="00C24ACB" w:rsidRDefault="008A0CBA" w:rsidP="003858C5">
      <w:pPr>
        <w:pStyle w:val="RollCallTabs"/>
      </w:pPr>
      <w:r>
        <w:t>-</w:t>
      </w:r>
      <w:r>
        <w:tab/>
        <w:t>:</w:t>
      </w:r>
      <w:r>
        <w:tab/>
        <w:t>prieš</w:t>
      </w:r>
    </w:p>
    <w:p w:rsidR="00C24ACB" w:rsidRDefault="008A0CBA" w:rsidP="003858C5">
      <w:pPr>
        <w:pStyle w:val="RollCallTabs"/>
      </w:pPr>
      <w:r>
        <w:t>0</w:t>
      </w:r>
      <w:r>
        <w:tab/>
        <w:t>:</w:t>
      </w:r>
      <w:r>
        <w:tab/>
        <w:t>susilaikė</w:t>
      </w:r>
    </w:p>
    <w:p w:rsidR="00C24ACB" w:rsidRDefault="00C24ACB" w:rsidP="00207509"/>
    <w:bookmarkEnd w:id="5"/>
    <w:p w:rsidR="008A039D" w:rsidRPr="00C24ACB" w:rsidRDefault="008A039D" w:rsidP="008A039D"/>
    <w:sectPr w:rsidR="008A039D" w:rsidRPr="00C24ACB" w:rsidSect="00C24ACB">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A0CBA">
      <w:r>
        <w:separator/>
      </w:r>
    </w:p>
  </w:endnote>
  <w:endnote w:type="continuationSeparator" w:id="0">
    <w:p w:rsidR="00000000" w:rsidRDefault="008A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9D" w:rsidRDefault="008A0CBA" w:rsidP="008A039D">
    <w:pPr>
      <w:pStyle w:val="EPFooter"/>
    </w:pPr>
    <w:r>
      <w:t>PE</w:t>
    </w:r>
    <w:r w:rsidRPr="008A039D">
      <w:rPr>
        <w:rStyle w:val="HideTWBExt"/>
      </w:rPr>
      <w:t>&lt;NoPE&gt;</w:t>
    </w:r>
    <w:r>
      <w:t>774.485</w:t>
    </w:r>
    <w:r w:rsidRPr="008A039D">
      <w:rPr>
        <w:rStyle w:val="HideTWBExt"/>
      </w:rPr>
      <w:t>&lt;/NoPE&gt;&lt;Version&gt;</w:t>
    </w:r>
    <w:r>
      <w:t>v02-00</w:t>
    </w:r>
    <w:r w:rsidRPr="008A039D">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32</w:t>
    </w:r>
    <w:r>
      <w:rPr>
        <w:noProof/>
      </w:rPr>
      <w:fldChar w:fldCharType="end"/>
    </w:r>
    <w:r>
      <w:tab/>
    </w:r>
    <w:r w:rsidRPr="008A039D">
      <w:rPr>
        <w:rStyle w:val="HideTWBExt"/>
      </w:rPr>
      <w:t>&lt;PathFdR&gt;</w:t>
    </w:r>
    <w:r>
      <w:t>AD\1330179LT.docx</w:t>
    </w:r>
    <w:r w:rsidRPr="008A039D">
      <w:rPr>
        <w:rStyle w:val="HideTWBExt"/>
      </w:rPr>
      <w:t>&lt;/PathFdR&gt;</w:t>
    </w:r>
  </w:p>
  <w:p w:rsidR="007F187F" w:rsidRPr="00DE79FA" w:rsidRDefault="008A0CBA" w:rsidP="008A039D">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9D" w:rsidRDefault="008A0CBA" w:rsidP="008A039D">
    <w:pPr>
      <w:pStyle w:val="EPFooter"/>
    </w:pPr>
    <w:r w:rsidRPr="008A039D">
      <w:rPr>
        <w:rStyle w:val="HideTWBExt"/>
      </w:rPr>
      <w:t>&lt;PathFdR&gt;</w:t>
    </w:r>
    <w:r>
      <w:t>AD\1330179LT.docx</w:t>
    </w:r>
    <w:r w:rsidRPr="008A039D">
      <w:rPr>
        <w:rStyle w:val="HideTWBExt"/>
      </w:rPr>
      <w:t>&lt;/PathFdR&gt;</w:t>
    </w:r>
    <w:r>
      <w:tab/>
    </w:r>
    <w:r>
      <w:fldChar w:fldCharType="begin"/>
    </w:r>
    <w:r>
      <w:instrText xml:space="preserve"> PAGE  \* MERGEFORMAT </w:instrText>
    </w:r>
    <w:r>
      <w:fldChar w:fldCharType="separate"/>
    </w:r>
    <w:r>
      <w:rPr>
        <w:noProof/>
      </w:rPr>
      <w:t>29</w:t>
    </w:r>
    <w:r>
      <w:fldChar w:fldCharType="end"/>
    </w:r>
    <w:r>
      <w:t>/</w:t>
    </w:r>
    <w:r>
      <w:fldChar w:fldCharType="begin"/>
    </w:r>
    <w:r>
      <w:instrText xml:space="preserve"> NUMPAGES  \* MERGEFORMAT </w:instrText>
    </w:r>
    <w:r>
      <w:fldChar w:fldCharType="separate"/>
    </w:r>
    <w:r>
      <w:rPr>
        <w:noProof/>
      </w:rPr>
      <w:t>32</w:t>
    </w:r>
    <w:r>
      <w:rPr>
        <w:noProof/>
      </w:rPr>
      <w:fldChar w:fldCharType="end"/>
    </w:r>
    <w:r>
      <w:tab/>
      <w:t>PE</w:t>
    </w:r>
    <w:r w:rsidRPr="008A039D">
      <w:rPr>
        <w:rStyle w:val="HideTWBExt"/>
      </w:rPr>
      <w:t>&lt;NoPE&gt;</w:t>
    </w:r>
    <w:r>
      <w:t>774.485</w:t>
    </w:r>
    <w:r w:rsidRPr="008A039D">
      <w:rPr>
        <w:rStyle w:val="HideTWBExt"/>
      </w:rPr>
      <w:t>&lt;/NoPE&gt;&lt;Version&gt;</w:t>
    </w:r>
    <w:r>
      <w:t>v02-00</w:t>
    </w:r>
    <w:r w:rsidRPr="008A039D">
      <w:rPr>
        <w:rStyle w:val="HideTWBExt"/>
      </w:rPr>
      <w:t>&lt;/Version&gt;</w:t>
    </w:r>
  </w:p>
  <w:p w:rsidR="007F187F" w:rsidRPr="00DE79FA" w:rsidRDefault="008A0CBA" w:rsidP="008A039D">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9D" w:rsidRDefault="008A0CBA" w:rsidP="008A039D">
    <w:pPr>
      <w:pStyle w:val="EPFooter"/>
    </w:pPr>
    <w:r w:rsidRPr="008A039D">
      <w:rPr>
        <w:rStyle w:val="HideTWBExt"/>
      </w:rPr>
      <w:t>&lt;PathFdR&gt;</w:t>
    </w:r>
    <w:r>
      <w:t>AD\1330179LT.docx</w:t>
    </w:r>
    <w:r w:rsidRPr="008A039D">
      <w:rPr>
        <w:rStyle w:val="HideTWBExt"/>
      </w:rPr>
      <w:t>&lt;/PathFdR&gt;</w:t>
    </w:r>
    <w:r>
      <w:tab/>
    </w:r>
    <w:r>
      <w:tab/>
      <w:t>PE</w:t>
    </w:r>
    <w:r w:rsidRPr="008A039D">
      <w:rPr>
        <w:rStyle w:val="HideTWBExt"/>
      </w:rPr>
      <w:t>&lt;NoPE&gt;</w:t>
    </w:r>
    <w:r>
      <w:t>774.485</w:t>
    </w:r>
    <w:r w:rsidRPr="008A039D">
      <w:rPr>
        <w:rStyle w:val="HideTWBExt"/>
      </w:rPr>
      <w:t>&lt;/NoPE&gt;&lt;Versio</w:t>
    </w:r>
    <w:r w:rsidRPr="008A039D">
      <w:rPr>
        <w:rStyle w:val="HideTWBExt"/>
      </w:rPr>
      <w:t>n&gt;</w:t>
    </w:r>
    <w:r>
      <w:t>v02-00</w:t>
    </w:r>
    <w:r w:rsidRPr="008A039D">
      <w:rPr>
        <w:rStyle w:val="HideTWBExt"/>
      </w:rPr>
      <w:t>&lt;/Version&gt;</w:t>
    </w:r>
  </w:p>
  <w:p w:rsidR="007F187F" w:rsidRPr="00DE79FA" w:rsidRDefault="008A0CBA" w:rsidP="008A039D">
    <w:pPr>
      <w:pStyle w:val="EPFooter2"/>
    </w:pPr>
    <w:r>
      <w:t>LT</w:t>
    </w:r>
    <w:r>
      <w:tab/>
    </w:r>
    <w:r w:rsidRPr="008A039D">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F1C" w:rsidRDefault="008A0CBA">
      <w:r>
        <w:separator/>
      </w:r>
    </w:p>
  </w:footnote>
  <w:footnote w:type="continuationSeparator" w:id="0">
    <w:p w:rsidR="00D91F1C" w:rsidRDefault="008A0CBA">
      <w:r>
        <w:continuationSeparator/>
      </w:r>
    </w:p>
  </w:footnote>
  <w:footnote w:id="1">
    <w:p w:rsidR="00C24ACB" w:rsidRPr="001629FF" w:rsidRDefault="008A0CBA" w:rsidP="00C24ACB">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ACB" w:rsidRDefault="00C24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ACB" w:rsidRDefault="00C24A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ACB" w:rsidRDefault="00C24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1"/>
    <w:docVar w:name="CODEMNU" w:val=" 1"/>
    <w:docVar w:name="COMKEY" w:val="PECH"/>
    <w:docVar w:name="DDATE" w:val="04/08/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48696 HideTWBExt;}{_x000d__x000a_\s18\ql \li0\ri0\sa120\nowidctlpar\wrapdefault\aspalpha\aspnum\faauto\adjustright\rin0\lin0\itap0 \rtlch\fcs1 \af0\afs20\alang1025 \ltrch\fcs0 \fs24\lang1063\langfe2057\cgrid\langnp1063\langfenp2057 \sbasedon0 \snext18 \spriority0 \styrsid10048696 _x000d__x000a_Normal6a;}{\s19\ql \li0\ri0\nowidctlpar\wrapdefault\aspalpha\aspnum\faauto\adjustright\rin0\lin0\itap0 \rtlch\fcs1 \af0\afs20\alang1025 \ltrch\fcs0 \b\fs24\lang1063\langfe2057\cgrid\langnp1063\langfenp2057 \sbasedon0 \snext19 \spriority0 \styrsid10048696 _x000d__x000a_NormalBold;}{\*\cs20 \additive \v\f1\fs20\cf15 \spriority0 \styrsid10048696 HideTWBInt;}{\s21\qc \li0\ri0\sa240\nowidctlpar\wrapdefault\aspalpha\aspnum\faauto\adjustright\rin0\lin0\itap0 \rtlch\fcs1 \af0\afs20\alang1025 \ltrch\fcs0 _x000d__x000a_\i\fs24\lang1063\langfe2057\cgrid\langnp1063\langfenp2057 \sbasedon0 \snext21 \spriority0 \styrsid1004869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10048696 AmNumberTabs;}{\s23\ql \li0\ri0\sb240\nowidctlpar\wrapdefault\aspalpha\aspnum\faauto\adjustright\rin0\lin0\itap0 \rtlch\fcs1 _x000d__x000a_\af0\afs20\alang1025 \ltrch\fcs0 \b\fs24\lang1063\langfe2057\cgrid\langnp1063\langfenp2057 \sbasedon0 \snext23 \spriority0 \styrsid10048696 NormalBold12b;}}{\*\rsidtbl \rsid24658\rsid223860\rsid735077\rsid1718133\rsid2892074\rsid3565327\rsid4666813_x000d__x000a_\rsid6641733\rsid7823322\rsid9636012\rsid10048696\rsid10377208\rsid11215221\rsid11228497\rsid11549030\rsid12154954\rsid14382809\rsid14424199\rsid15093639\rsid15204470\rsid15285974\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0\dy17\hr15\min35}{\revtim\yr2025\mo10\dy17\hr15\min35}{\version1}{\edmins0}{\nofpages1}{\nofwords34}{\nofchars196}{\nofcharsws229}{\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48696\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5093639 \chftnsep _x000d__x000a_\par }}{\*\ftnsepc \ltrpar \pard\plain \ltrpar\ql \li0\ri0\widctlpar\wrapdefault\aspalpha\aspnum\faauto\adjustright\rin0\lin0\itap0 \rtlch\fcs1 \af0\afs20\alang1025 \ltrch\fcs0 \fs24\lang2057\langfe2057\cgrid\langnp2057\langfenp2057 {\rtlch\fcs1 \af0 _x000d__x000a_\ltrch\fcs0 \insrsid15093639 \chftnsepc _x000d__x000a_\par }}{\*\aftnsep \ltrpar \pard\plain \ltrpar\ql \li0\ri0\widctlpar\wrapdefault\aspalpha\aspnum\faauto\adjustright\rin0\lin0\itap0 \rtlch\fcs1 \af0\afs20\alang1025 \ltrch\fcs0 \fs24\lang2057\langfe2057\cgrid\langnp2057\langfenp2057 {\rtlch\fcs1 \af0 _x000d__x000a_\ltrch\fcs0 \insrsid15093639 \chftnsep _x000d__x000a_\par }}{\*\aftnsepc \ltrpar \pard\plain \ltrpar\ql \li0\ri0\widctlpar\wrapdefault\aspalpha\aspnum\faauto\adjustright\rin0\lin0\itap0 \rtlch\fcs1 \af0\afs20\alang1025 \ltrch\fcs0 \fs24\lang2057\langfe2057\cgrid\langnp2057\langfenp2057 {\rtlch\fcs1 \af0 _x000d__x000a_\ltrch\fcs0 \insrsid150936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10048696\charrsid15801677 {\*\bkmkstart restartA_x000d__x000a_}\hich\af1\dbch\af31501\loch\f1 &lt;AmendA&gt;}{\rtlch\fcs1 \af0 \ltrch\fcs0 \insrsid10048696\charrsid15801677 Pakeitimas\tab \tab }{\rtlch\fcs1 \af0 \ltrch\fcs0 _x000d__x000a_\cs17\b0\v\fs20\cf9\lang1024\langfe1024\loch\af1\hich\af1\dbch\af31501\noproof\insrsid10048696\charrsid15801677 \hich\af1\dbch\af31501\loch\f1 &lt;NumAmA&gt;}{\rtlch\fcs1 \af0 \ltrch\fcs0 \insrsid10048696\charrsid15801677 #}{\rtlch\fcs1 \af1 \ltrch\fcs0 _x000d__x000a_\cs20\v\f1\fs20\cf15\insrsid10048696\charrsid15801677 ENMIENDA@NRAM@}{\rtlch\fcs1 \af0 \ltrch\fcs0 \insrsid10048696\charrsid15801677 #}{\rtlch\fcs1 \af0 \ltrch\fcs0 _x000d__x000a_\cs17\b0\v\fs20\cf9\lang1024\langfe1024\loch\af1\hich\af1\dbch\af31501\noproof\insrsid10048696\charrsid15801677 \hich\af1\dbch\af31501\loch\f1 &lt;/NumAmA&gt;}{\rtlch\fcs1 \af0 \ltrch\fcs0 \insrsid10048696\charrsid15801677 _x000d__x000a_\par }\pard\plain \ltrpar\s23\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10048696\charrsid15801677 \hich\af1\dbch\af31501\loch\f1 &lt;DocAmend&gt;}{\rtlch\fcs1 \af56 \ltrch\fcs0 \f56\insrsid10048696\charrsid15801677 _x000d__x000a_Teis\'ebk\'fbros rezoliucjos projektas}{\rtlch\fcs1 \af0 \ltrch\fcs0 \cs17\b0\v\fs20\cf9\lang1024\langfe1024\loch\af1\hich\af1\dbch\af31501\noproof\insrsid10048696\charrsid15801677 \hich\af1\dbch\af31501\loch\f1 &lt;/DocAmend&gt;}{\rtlch\fcs1 \af0 \ltrch\fcs0 _x000d__x000a_\insrsid10048696\charrsid15801677 _x000d__x000a_\par }\pard\plain \ltrpar\s19\ql \li0\ri0\nowidctlpar\wrapdefault\aspalpha\aspnum\faauto\adjustright\rin0\lin0\itap0\pararsid14374628 \rtlch\fcs1 \af0\afs20\alang1025 \ltrch\fcs0 \b\fs24\lang1063\langfe2057\cgrid\langnp1063\langfenp2057 {\rtlch\fcs1 \af0 _x000d__x000a_\ltrch\fcs0 \cs17\b0\v\fs20\cf9\lang1024\langfe1024\loch\af1\hich\af1\dbch\af31501\noproof\insrsid10048696\charrsid15801677 \hich\af1\dbch\af31501\loch\f1 &lt;Article&gt;}{\rtlch\fcs1 \af0 \ltrch\fcs0 \cf10\insrsid10048696\charrsid1126730 \u9668\'3f}{_x000d__x000a_\rtlch\fcs1 \af0 \ltrch\fcs0 \insrsid10048696\charrsid15801677 #}{\rtlch\fcs1 \af1 \ltrch\fcs0 \cs20\v\f1\fs20\cf15\insrsid10048696\charrsid15801677 TVTRESPART@RESPART@}{\rtlch\fcs1 \af0 \ltrch\fcs0 \insrsid10048696\charrsid15801677 #}{\rtlch\fcs1 \af0 _x000d__x000a_\ltrch\fcs0 \cf10\insrsid10048696\charrsid1126730 \u9658\'3f}{\rtlch\fcs1 \af0 \ltrch\fcs0 \cs17\b0\v\fs20\cf9\lang1024\langfe1024\loch\af1\hich\af1\dbch\af31501\noproof\insrsid10048696\charrsid15801677 \hich\af1\dbch\af31501\loch\f1 &lt;/Article&gt;}{_x000d__x000a_\rtlch\fcs1 \af0 \ltrch\fcs0 \insrsid10048696\charrsid15801677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3\langfe2057\langnp1063\insrsid10048696\charrsid15801677 \cell }\pard \ltrpar_x000d__x000a_\ql \li0\ri0\widctlpar\intbl\wrapdefault\aspalpha\aspnum\faauto\adjustright\rin0\lin0 {\rtlch\fcs1 \af0 \ltrch\fcs0 \lang1063\langfe2057\langnp1063\insrsid10048696\charrsid15801677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63\langfe2057\cgrid\langnp1063\langfenp2057 {_x000d__x000a_\rtlch\fcs1 \af56 \ltrch\fcs0 \f56\insrsid10048696\charrsid15801677 Teis\'ebk\'fbros rezoliucjos projektas\cell }{\rtlch\fcs1 \af0 \ltrch\fcs0 \insrsid10048696\charrsid15801677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10048696\charrsid15801677 \trowd \ltrrow\ts11\trqc\trgaph340\trleft-340\trftsWidth1\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1063\langfe2057\cgrid\langnp1063\langfenp2057 {_x000d__x000a_\rtlch\fcs1 \af0 \ltrch\fcs0 \insrsid10048696\charrsid15801677 #}{\rtlch\fcs1 \af1 \ltrch\fcs0 \cs20\v\f1\fs20\cf15\insrsid10048696\charrsid15801677 Tekstas}{\rtlch\fcs1 \af0 \ltrch\fcs0 \insrsid10048696\charrsid15801677 #\cell #}{\rtlch\fcs1 \af1 _x000d__x000a_\ltrch\fcs0 \cs20\v\f1\fs20\cf15\insrsid10048696\charrsid15801677 Tekstas}{\rtlch\fcs1 \af0 \ltrch\fcs0 \insrsid10048696\charrsid15801677 #}{\rtlch\fcs1 \af0\afs24 \ltrch\fcs0 \insrsid10048696\charrsid15801677 \cell }\pard\plain \ltrpar_x000d__x000a_\ql \li0\ri0\widctlpar\intbl\wrapdefault\aspalpha\aspnum\faauto\adjustright\rin0\lin0 \rtlch\fcs1 \af0\afs20\alang1025 \ltrch\fcs0 \fs24\lang2057\langfe2057\cgrid\langnp2057\langfenp2057 {\rtlch\fcs1 \af0 \ltrch\fcs0 _x000d__x000a_\lang1063\langfe2057\langnp1063\insrsid10048696\charrsid15801677 \trowd \lastrow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 \ltrpar\ql \li0\ri0\widctlpar\wrapdefault\aspalpha\aspnum\faauto\adjustright\rin0\lin0\itap0\pararsid16324206 {\rtlch\fcs1 \af0 \ltrch\fcs0 _x000d__x000a_\cs17\v\fs20\cf9\lang1024\langfe1024\loch\af1\hich\af1\dbch\af31501\noproof\langnp1063\insrsid10048696\charrsid15801677 \hich\af1\dbch\af31501\loch\f1 &lt;/AmendA&gt;}{\rtlch\fcs1 \af0 \ltrch\fcs0 \insrsid10048696\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e_x000d__x000a_1dde6a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11157 HideTWBExt;}{_x000d__x000a_\s18\ql \li0\ri0\sa120\nowidctlpar\wrapdefault\aspalpha\aspnum\faauto\adjustright\rin0\lin0\itap0 \rtlch\fcs1 \af0\afs20\alang1025 \ltrch\fcs0 \fs24\lang1063\langfe2057\cgrid\langnp1063\langfenp2057 \sbasedon0 \snext18 \spriority0 \styrsid10311157 _x000d__x000a_Normal6a;}{\s19\ql \li0\ri0\nowidctlpar\wrapdefault\aspalpha\aspnum\faauto\adjustright\rin0\lin0\itap0 \rtlch\fcs1 \af0\afs20\alang1025 \ltrch\fcs0 \b\fs24\lang1063\langfe2057\cgrid\langnp1063\langfenp2057 \sbasedon0 \snext19 \spriority0 \styrsid10311157 _x000d__x000a_NormalBold;}{\s20\ql \li0\ri0\sa240\nowidctlpar\wrapdefault\aspalpha\aspnum\faauto\adjustright\rin0\lin0\itap0 \rtlch\fcs1 \af0\afs20\alang1025 \ltrch\fcs0 \i\fs24\lang1063\langfe2057\cgrid\langnp1063\langfenp2057 _x000d__x000a_\sbasedon0 \snext20 \spriority0 \styrsid10311157 AmJustText;}{\s21\qc \li0\ri0\sb240\sa240\nowidctlpar\wrapdefault\aspalpha\aspnum\faauto\adjustright\rin0\lin0\itap0 \rtlch\fcs1 \af0\afs20\alang1025 \ltrch\fcs0 _x000d__x000a_\i\fs24\lang1063\langfe2057\cgrid\langnp1063\langfenp2057 \sbasedon0 \snext21 \spriority0 \styrsid10311157 AmCrossRef;}{\*\cs22 \additive \v\f1\fs20\cf15 \spriority0 \styrsid10311157 HideTWBInt;}{_x000d__x000a_\s23\qc \li0\ri0\sb240\sa240\keepn\nowidctlpar\wrapdefault\aspalpha\aspnum\faauto\adjustright\rin0\lin0\itap0 \rtlch\fcs1 \af0\afs20\alang1025 \ltrch\fcs0 \i\fs24\lang1063\langfe2057\cgrid\langnp1063\langfenp2057 _x000d__x000a_\sbasedon0 \snext20 \spriority0 \styrsid10311157 AmJustTitle;}{\s24\qc \li0\ri0\sa240\nowidctlpar\wrapdefault\aspalpha\aspnum\faauto\adjustright\rin0\lin0\itap0 \rtlch\fcs1 \af0\afs20\alang1025 \ltrch\fcs0 _x000d__x000a_\i\fs24\lang1063\langfe2057\cgrid\langnp1063\langfenp2057 \sbasedon0 \snext24 \spriority0 \styrsid1031115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10311157 AmNumberTabs;}{\s26\ql \li0\ri0\sb240\nowidctlpar\wrapdefault\aspalpha\aspnum\faauto\adjustright\rin0\lin0\itap0 \rtlch\fcs1 _x000d__x000a_\af0\afs20\alang1025 \ltrch\fcs0 \b\fs24\lang1063\langfe2057\cgrid\langnp1063\langfenp2057 \sbasedon0 \snext26 \spriority0 \styrsid10311157 NormalBold12b;}}{\*\rsidtbl \rsid24658\rsid223860\rsid735077\rsid1718133\rsid2892074\rsid3565327\rsid4666813_x000d__x000a_\rsid6641733\rsid7823322\rsid8412147\rsid9636012\rsid10311157\rsid10377208\rsid11215221\rsid11228497\rsid11549030\rsid12154954\rsid14382809\rsid14424199\rsid15204470\rsid15285974\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0\dy17\hr15\min35}{\revtim\yr2025\mo10\dy17\hr15\min35}{\version1}{\edmins0}{\nofpages1}{\nofwords101}{\nofchars580}{\nofcharsws680}{\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11157\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8412147 \chftnsep _x000d__x000a_\par }}{\*\ftnsepc \ltrpar \pard\plain \ltrpar\ql \li0\ri0\widctlpar\wrapdefault\aspalpha\aspnum\faauto\adjustright\rin0\lin0\itap0 \rtlch\fcs1 \af0\afs20\alang1025 \ltrch\fcs0 \fs24\lang2057\langfe2057\cgrid\langnp2057\langfenp2057 {\rtlch\fcs1 \af0 _x000d__x000a_\ltrch\fcs0 \insrsid8412147 \chftnsepc _x000d__x000a_\par }}{\*\aftnsep \ltrpar \pard\plain \ltrpar\ql \li0\ri0\widctlpar\wrapdefault\aspalpha\aspnum\faauto\adjustright\rin0\lin0\itap0 \rtlch\fcs1 \af0\afs20\alang1025 \ltrch\fcs0 \fs24\lang2057\langfe2057\cgrid\langnp2057\langfenp2057 {\rtlch\fcs1 \af0 _x000d__x000a_\ltrch\fcs0 \insrsid8412147 \chftnsep _x000d__x000a_\par }}{\*\aftnsepc \ltrpar \pard\plain \ltrpar\ql \li0\ri0\widctlpar\wrapdefault\aspalpha\aspnum\faauto\adjustright\rin0\lin0\itap0 \rtlch\fcs1 \af0\afs20\alang1025 \ltrch\fcs0 \fs24\lang2057\langfe2057\cgrid\langnp2057\langfenp2057 {\rtlch\fcs1 \af0 _x000d__x000a_\ltrch\fcs0 \insrsid8412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10311157\charrsid15801677 {\*\bkmkstart restartB_x000d__x000a_}\hich\af1\dbch\af31501\loch\f1 &lt;AmendB&gt;}{\rtlch\fcs1 \af0 \ltrch\fcs0 \insrsid10311157\charrsid15801677 Pakeitimas\tab \tab }{\rtlch\fcs1 \af0 \ltrch\fcs0 _x000d__x000a_\cs17\b0\v\fs20\cf9\lang1024\langfe1024\loch\af1\hich\af1\dbch\af31501\noproof\insrsid10311157\charrsid15801677 \hich\af1\dbch\af31501\loch\f1 &lt;NumAmB&gt;}{\rtlch\fcs1 \af0 \ltrch\fcs0 \insrsid10311157\charrsid15801677 #}{\rtlch\fcs1 \af1 \ltrch\fcs0 _x000d__x000a_\cs22\v\f1\fs20\cf15\insrsid10311157\charrsid15801677 ENMIENDA@NRAM@}{\rtlch\fcs1 \af0 \ltrch\fcs0 \insrsid10311157\charrsid15801677 #}{\rtlch\fcs1 \af0 \ltrch\fcs0 _x000d__x000a_\cs17\b0\v\fs20\cf9\lang1024\langfe1024\loch\af1\hich\af1\dbch\af31501\noproof\insrsid10311157\charrsid15801677 \hich\af1\dbch\af31501\loch\f1 &lt;/NumAmB&gt;}{\rtlch\fcs1 \af0 \ltrch\fcs0 \insrsid10311157\charrsid15801677 _x000d__x000a_\par }\pard\plain \ltrpar\s26\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10311157\charrsid15801677 \hich\af1\dbch\af31501\loch\f1 &lt;DocAmend&gt;}{\rtlch\fcs1 \af0 \ltrch\fcs0 \insrsid10311157\charrsid15801677 =#}{_x000d__x000a_\rtlch\fcs1 \af1 \ltrch\fcs0 \cs22\v\f1\fs20\cf15\insrsid10311157\charrsid15801677 MNU[OPTPROPOSALCOD][OPTPROPOSALCNS][OPTPROPOSALNLE][OPTPROPOSALINL]@CHOICE@CODEMNU}{\rtlch\fcs1 \af0 \ltrch\fcs0 \insrsid10311157\charrsid15801677 ##}{\rtlch\fcs1 \af1 _x000d__x000a_\ltrch\fcs0 \cs22\v\f1\fs20\cf15\insrsid10311157\charrsid15801677 MNU[AMACTYES][NOTAPP]@CHOICE@AMACTMNU}{\rtlch\fcs1 \af0 \ltrch\fcs0 \insrsid10311157\charrsid15801677 #}{\rtlch\fcs1 \af0 \ltrch\fcs0 _x000d__x000a_\cs17\b0\v\fs20\cf9\lang1024\langfe1024\loch\af1\hich\af1\dbch\af31501\noproof\insrsid10311157\charrsid15801677 \hich\af1\dbch\af31501\loch\f1 &lt;/DocAmend&gt;}{\rtlch\fcs1 \af0 \ltrch\fcs0 \insrsid10311157\charrsid15801677 _x000d__x000a_\par }\pard\plain \ltrpar\s19\ql \li0\ri0\keepn\nowidctlpar\wrapdefault\aspalpha\aspnum\faauto\adjustright\rin0\lin0\itap0\pararsid14374628 \rtlch\fcs1 \af0\afs20\alang1025 \ltrch\fcs0 \b\fs24\lang1063\langfe2057\cgrid\langnp1063\langfenp2057 {\rtlch\fcs1 _x000d__x000a_\af0 \ltrch\fcs0 \cs17\b0\v\fs20\cf9\lang1024\langfe1024\loch\af1\hich\af1\dbch\af31501\noproof\insrsid10311157\charrsid15801677 \hich\af1\dbch\af31501\loch\f1 &lt;Article&gt;}{\rtlch\fcs1 \af0 \ltrch\fcs0 \insrsid10311157\charrsid15801677 #}{\rtlch\fcs1 \af1 _x000d__x000a_\ltrch\fcs0 \cs22\v\f1\fs20\cf15\insrsid10311157\charrsid15801677 MNU[AMACTPARTYES][AMACTPARTNO]@CHOICE@AMACTMNU}{\rtlch\fcs1 \af0 \ltrch\fcs0 \insrsid10311157\charrsid15801677 #}{\rtlch\fcs1 \af0 \ltrch\fcs0 _x000d__x000a_\cs17\b0\v\fs20\cf9\lang1024\langfe1024\loch\af1\hich\af1\dbch\af31501\noproof\insrsid10311157\charrsid15801677 \hich\af1\dbch\af31501\loch\f1 &lt;/Article&gt;}{\rtlch\fcs1 \af0 \ltrch\fcs0 \insrsid10311157\charrsid1580167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63\insrsid10311157\charrsid15801677 \hich\af1\dbch\af31501\loch\f1 &lt;DocAmend2&gt;&lt;OptDel&gt;}{\rtlch\fcs1 \af0 \ltrch\fcs0 _x000d__x000a_\lang1063\langfe2057\langnp1063\insrsid10311157\charrsid15801677 #}{\rtlch\fcs1 \af1 \ltrch\fcs0 \cs22\v\f1\fs20\cf15\lang1063\langfe2057\langnp1063\insrsid10311157\charrsid15801677 MNU[OPTNRACTYES][NOTAPP]@CHOICE@AMACTMNU}{\rtlch\fcs1 \af0 \ltrch\fcs0 _x000d__x000a_\lang1063\langfe2057\langnp1063\insrsid10311157\charrsid15801677 #}{\rtlch\fcs1 \af0 \ltrch\fcs0 \cs17\v\fs20\cf9\lang1024\langfe1024\loch\af1\hich\af1\dbch\af31501\noproof\langnp1063\insrsid10311157\charrsid15801677 \hich\af1\dbch\af31501\loch\f1 _x000d__x000a_&lt;/OptDel&gt;&lt;/DocAmend2&gt;}{\rtlch\fcs1 \af0 \ltrch\fcs0 \lang1063\langfe2057\langnp1063\insrsid10311157\charrsid15801677 _x000d__x000a_\par }\pard \ltrpar\ql \li0\ri0\widctlpar\wrapdefault\aspalpha\aspnum\faauto\adjustright\rin0\lin0\itap0\pararsid14374628 {\rtlch\fcs1 \af0 \ltrch\fcs0 _x000d__x000a_\cs17\v\fs20\cf9\lang1024\langfe1024\loch\af1\hich\af1\dbch\af31501\noproof\langnp1063\insrsid10311157\charrsid15801677 \hich\af1\dbch\af31501\loch\f1 &lt;Article2&gt;&lt;OptDel&gt;}{\rtlch\fcs1 \af0 \ltrch\fcs0 _x000d__x000a_\lang1063\langfe2057\langnp1063\insrsid10311157\charrsid15801677 #}{\rtlch\fcs1 \af1 \ltrch\fcs0 \cs22\v\f1\fs20\cf15\lang1063\langfe2057\langnp1063\insrsid10311157\charrsid15801677 MNU[OPTACTPARTYES][NOTAPP]@CHOICE@AMACTMNU}{\rtlch\fcs1 \af0 \ltrch\fcs0 _x000d__x000a_\lang1063\langfe2057\langnp1063\insrsid10311157\charrsid15801677 #}{\rtlch\fcs1 \af0 \ltrch\fcs0 \cs17\v\fs20\cf9\lang1024\langfe1024\loch\af1\hich\af1\dbch\af31501\noproof\langnp1063\insrsid10311157\charrsid15801677 \hich\af1\dbch\af31501\loch\f1 _x000d__x000a_&lt;/OptDel&gt;&lt;/Article2&gt;}{\rtlch\fcs1 \af0 \ltrch\fcs0 \lang1063\langfe2057\langnp1063\insrsid10311157\charrsid15801677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63\langfe2057\langnp1063\insrsid10311157\charrsid15801677 \cell }\pard \ltrpar\ql \li0\ri0\widctlpar\intbl\wrapdefault\aspalpha\aspnum\faauto\adjustright\rin0\lin0 {\rtlch\fcs1 \af0 \ltrch\fcs0 _x000d__x000a_\lang1063\langfe2057\langnp1063\insrsid10311157\charrsid15801677 \trowd \ltrrow\ts11\trqc\trgaph340\trleft-340\trftsWidth3\trwWidth9752\trftsWidthB3\trpaddl340\trpaddr340\trpaddfl3\trpaddft3\trpaddfb3\trpaddfr3\tblrsid14374628\tblind0\tblindtype3 _x000d__x000a_\clvertalt\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3\langfe2057\cgrid\langnp1063\langfenp2057 {\rtlch\fcs1 \af0 \ltrch\fcs0 _x000d__x000a_\insrsid10311157\charrsid15801677 #}{\rtlch\fcs1 \af1 \ltrch\fcs0 \cs22\v\f1\fs20\cf15\insrsid10311157\charrsid15801677 MNU[OPTLEFTAMACT][LEFTPROP]@CHOICE@AMACTMNU}{\rtlch\fcs1 \af0 \ltrch\fcs0 \insrsid10311157\charrsid15801677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0311157\charrsid15801677 \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3\langfe2057\cgrid\langnp1063\langfenp2057 {\rtlch\fcs1 \af0 \ltrch\fcs0 \insrsid10311157\charrsid15801677 #}{\rtlch\fcs1 \af1 \ltrch\fcs0 \cs22\v\f1\fs20\cf15\insrsid10311157\charrsid15801677 Tekstas}{\rtlch\fcs1 \af0 \ltrch\fcs0 _x000d__x000a_\insrsid10311157\charrsid15801677 #\cell #}{\rtlch\fcs1 \af1 \ltrch\fcs0 \cs22\v\f1\fs20\cf15\insrsid10311157\charrsid15801677 Tekstas}{\rtlch\fcs1 \af0 \ltrch\fcs0 \insrsid10311157\charrsid15801677 #}{\rtlch\fcs1 \af0\afs24 \ltrch\fcs0 _x000d__x000a_\insrsid10311157\charrsid15801677 \cell }\pard\plain \ltrpar\ql \li0\ri0\widctlpar\intbl\wrapdefault\aspalpha\aspnum\faauto\adjustright\rin0\lin0 \rtlch\fcs1 \af0\afs20\alang1025 \ltrch\fcs0 \fs24\lang2057\langfe2057\cgrid\langnp2057\langfenp2057 {_x000d__x000a_\rtlch\fcs1 \af0 \ltrch\fcs0 \lang1063\langfe2057\langnp1063\insrsid10311157\charrsid15801677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63\langfe2057\cgrid\langnp1063\langfenp2057 {\rtlch\fcs1 \af0 \ltrch\fcs0 _x000d__x000a_\cs17\i0\v\fs20\cf9\lang1024\langfe1024\loch\af1\hich\af1\dbch\af31501\noproof\insrsid10311157\charrsid15801677 \hich\af1\dbch\af31501\loch\f1 &lt;OptDel&gt;}{\rtlch\fcs1 \af0 \ltrch\fcs0 \insrsid10311157\charrsid15801677 #}{\rtlch\fcs1 \af1 \ltrch\fcs0 _x000d__x000a_\cs22\v\f1\fs20\cf15\insrsid10311157\charrsid15801677 MNU[CROSSREFNO][CROSSREFYES]@CHOICE@}{\rtlch\fcs1 \af0 \ltrch\fcs0 \insrsid10311157\charrsid15801677 #}{\rtlch\fcs1 \af0 \ltrch\fcs0 _x000d__x000a_\cs17\i0\v\fs20\cf9\lang1024\langfe1024\loch\af1\hich\af1\dbch\af31501\noproof\insrsid10311157\charrsid15801677 \hich\af1\dbch\af31501\loch\f1 &lt;/OptDel&gt;}{\rtlch\fcs1 \af0 \ltrch\fcs0 \insrsid10311157\charrsid15801677 _x000d__x000a_\par }\pard\plain \ltrpar\s23\qc \li0\ri0\sb240\sa240\keepn\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10311157\charrsid15801677 \hich\af1\dbch\af31501\loch\f1 &lt;TitreJust&gt;}{\rtlch\fcs1 \af0 \ltrch\fcs0 \insrsid10311157\charrsid15801677 _x000d__x000a_Pagrindimas}{\rtlch\fcs1 \af0 \ltrch\fcs0 \cs17\i0\v\fs20\cf9\lang1024\langfe1024\loch\af1\hich\af1\dbch\af31501\noproof\insrsid10311157\charrsid15801677 \hich\af1\dbch\af31501\loch\f1 &lt;/TitreJust&gt;}{\rtlch\fcs1 \af0 \ltrch\fcs0 _x000d__x000a_\insrsid10311157\charrsid15801677 _x000d__x000a_\par }\pard\plain \ltrpar\s20\ql \li0\ri0\sa240\nowidctlpar\wrapdefault\aspalpha\aspnum\faauto\adjustright\rin0\lin0\itap0\pararsid14374628 \rtlch\fcs1 \af0\afs20\alang1025 \ltrch\fcs0 \i\fs24\lang1063\langfe2057\cgrid\langnp1063\langfenp2057 {\rtlch\fcs1 _x000d__x000a_\af0 \ltrch\fcs0 \cs17\i0\v\fs20\cf9\lang1024\langfe1024\loch\af1\hich\af1\dbch\af31501\noproof\insrsid10311157\charrsid15801677 \hich\af1\dbch\af31501\loch\f1 &lt;OptDelPrev&gt;}{\rtlch\fcs1 \af0 \ltrch\fcs0 \insrsid10311157\charrsid15801677 #}{\rtlch\fcs1 _x000d__x000a_\af1 \ltrch\fcs0 \cs22\v\f1\fs20\cf15\insrsid10311157\charrsid15801677 MNU[TEXTJUSTYES][TEXTJUSTNO]@CHOICE@}{\rtlch\fcs1 \af0 \ltrch\fcs0 \insrsid10311157\charrsid15801677 #}{\rtlch\fcs1 \af0 \ltrch\fcs0 _x000d__x000a_\cs17\i0\v\fs20\cf9\lang1024\langfe1024\loch\af1\hich\af1\dbch\af31501\noproof\insrsid10311157\charrsid15801677 \hich\af1\dbch\af31501\loch\f1 &lt;/OptDelPrev&gt;}{\rtlch\fcs1 \af0 \ltrch\fcs0 \insrsid10311157\charrsid1580167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10311157\charrsid15801677 \hich\af1\dbch\af31501\loch\f1 &lt;/AmendB&gt;}{\rtlch\fcs1 \af0 \ltrch\fcs0 \insrsid10311157\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3_x000d__x000a_9de16a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1248 HideTWBExt;}{_x000d__x000a_\s18\ql \li0\ri0\sa120\nowidctlpar\wrapdefault\aspalpha\aspnum\faauto\adjustright\rin0\lin0\itap0 \rtlch\fcs1 \af0\afs20\alang1025 \ltrch\fcs0 \fs24\lang2057\langfe2057\cgrid\langnp2057\langfenp2057 \sbasedon0 \snext18 \spriority0 \styrsid15951248 _x000d__x000a_Normal6a;}{\s19\ql \li0\ri0\nowidctlpar\wrapdefault\aspalpha\aspnum\faauto\adjustright\rin0\lin0\itap0 \rtlch\fcs1 \af0\afs20\alang1025 \ltrch\fcs0 \b\fs24\lang2057\langfe2057\cgrid\langnp2057\langfenp2057 \sbasedon0 \snext19 \spriority0 \styrsid15951248 _x000d__x000a_NormalBold;}{\s20\qc \li0\ri0\sa240\nowidctlpar\wrapdefault\aspalpha\aspnum\faauto\adjustright\rin0\lin0\itap0 \rtlch\fcs1 \af0\afs20\alang1025 \ltrch\fcs0 \i\fs24\lang2057\langfe2057\cgrid\langnp2057\langfenp2057 _x000d__x000a_\sbasedon0 \snext20 \spriority0 \styrsid1595124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51248 AmNumberTabs;}{\s22\ql \li0\ri0\sb240\nowidctlpar\wrapdefault\aspalpha\aspnum\faauto\adjustright\rin0\lin0\itap0 \rtlch\fcs1 _x000d__x000a_\af0\afs20\alang1025 \ltrch\fcs0 \b\fs24\lang2057\langfe2057\cgrid\langnp2057\langfenp2057 \sbasedon0 \snext22 \spriority0 \styrsid15951248 NormalBold12b;}}{\*\rsidtbl \rsid24658\rsid223860\rsid735077\rsid1718133\rsid2892074\rsid3565327\rsid4666813_x000d__x000a_\rsid6641733\rsid7823322\rsid9636012\rsid10377208\rsid11215221\rsid11228497\rsid11549030\rsid12154954\rsid14382809\rsid14424199\rsid14955773\rsid15204470\rsid15285974\rsid15950462\rsid15951248\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0\dy17\hr15\min35}{\revtim\yr2025\mo10\dy17\hr15\min35}{\version1}{\edmins0}{\nofpages1}{\nofwords24}{\nofchars139}{\nofcharsws162}{\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1248\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4955773 \chftnsep _x000d__x000a_\par }}{\*\ftnsepc \ltrpar \pard\plain \ltrpar\ql \li0\ri0\widctlpar\wrapdefault\aspalpha\aspnum\faauto\adjustright\rin0\lin0\itap0 \rtlch\fcs1 \af0\afs20\alang1025 \ltrch\fcs0 \fs24\lang2057\langfe2057\cgrid\langnp2057\langfenp2057 {\rtlch\fcs1 \af0 _x000d__x000a_\ltrch\fcs0 \insrsid14955773 \chftnsepc _x000d__x000a_\par }}{\*\aftnsep \ltrpar \pard\plain \ltrpar\ql \li0\ri0\widctlpar\wrapdefault\aspalpha\aspnum\faauto\adjustright\rin0\lin0\itap0 \rtlch\fcs1 \af0\afs20\alang1025 \ltrch\fcs0 \fs24\lang2057\langfe2057\cgrid\langnp2057\langfenp2057 {\rtlch\fcs1 \af0 _x000d__x000a_\ltrch\fcs0 \insrsid14955773 \chftnsep _x000d__x000a_\par }}{\*\aftnsepc \ltrpar \pard\plain \ltrpar\ql \li0\ri0\widctlpar\wrapdefault\aspalpha\aspnum\faauto\adjustright\rin0\lin0\itap0 \rtlch\fcs1 \af0\afs20\alang1025 \ltrch\fcs0 \fs24\lang2057\langfe2057\cgrid\langnp2057\langfenp2057 {\rtlch\fcs1 \af0 _x000d__x000a_\ltrch\fcs0 \insrsid149557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5951248\charrsid15879488 {\*\bkmkstart restartA_x000d__x000a_}\hich\af1\dbch\af31501\loch\f1 &lt;AmendA&gt;}{\rtlch\fcs1 \af0 \ltrch\fcs0 \insrsid15951248\charrsid15879488 [ZAMENDMENT]\tab \tab }{\rtlch\fcs1 \af0 \ltrch\fcs0 _x000d__x000a_\cs17\b0\v\fs20\cf9\lang1024\langfe1024\loch\af1\hich\af1\dbch\af31501\noproof\insrsid15951248\charrsid15879488 \hich\af1\dbch\af31501\loch\f1 &lt;NumAmA&gt;}{\rtlch\fcs1 \af0 \ltrch\fcs0 \insrsid15951248\charrsid15879488 [ZNRAM]}{\rtlch\fcs1 \af0 \ltrch\fcs0 _x000d__x000a_\cs17\b0\v\fs20\cf9\lang1024\langfe1024\loch\af1\hich\af1\dbch\af31501\noproof\insrsid15951248\charrsid15879488 \hich\af1\dbch\af31501\loch\f1 &lt;/NumAmA&gt;}{\rtlch\fcs1 \af0 \ltrch\fcs0 \insrsid15951248\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5951248\charrsid11356624 \hich\af1\dbch\af31501\loch\f1 &lt;DocAmend&gt;}{\rtlch\fcs1 \af0 \ltrch\fcs0 _x000d__x000a_\lang1036\langfe2057\langnp1036\insrsid15951248\charrsid11356624 [ZRESOLUTION]}{\rtlch\fcs1 \af0 \ltrch\fcs0 \cs17\b0\v\fs20\cf9\lang1024\langfe1024\loch\af1\hich\af1\dbch\af31501\noproof\langnp1036\insrsid15951248\charrsid11356624 _x000d__x000a_\hich\af1\dbch\af31501\loch\f1 &lt;/DocAmend&gt;}{\rtlch\fcs1 \af0 \ltrch\fcs0 \lang1036\langfe2057\langnp1036\insrsid15951248\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5951248\charrsid11356624 \hich\af1\dbch\af31501\loch\f1 &lt;Article&gt;}{\rtlch\fcs1 \af0 \ltrch\fcs0 _x000d__x000a_\lang1036\langfe2057\langnp1036\insrsid15951248\charrsid11356624 [ZRESPART]}{\rtlch\fcs1 \af0 \ltrch\fcs0 \cs17\b0\v\fs20\cf9\lang1024\langfe1024\loch\af1\hich\af1\dbch\af31501\noproof\langnp1036\insrsid15951248\charrsid11356624 _x000d__x000a_\hich\af1\dbch\af31501\loch\f1 &lt;/Article&gt;}{\rtlch\fcs1 \af0 \ltrch\fcs0 \lang1036\langfe2057\langnp1036\insrsid15951248\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51248\charrsid11356624 \cell }\pard \ltrpar_x000d__x000a_\ql \li0\ri0\widctlpar\intbl\wrapdefault\aspalpha\aspnum\faauto\adjustright\rin0\lin0 {\rtlch\fcs1 \af0 \ltrch\fcs0 \insrsid15951248\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5951248\charrsid15879488 [ZLEFTA]\cell [ZRIGHT]\cell }\pard\plain \ltrpar\ql \li0\ri0\widctlpar\intbl\wrapdefault\aspalpha\aspnum\faauto\adjustright\rin0\lin0 \rtlch\fcs1 \af0\afs20\alang1025 \ltrch\fcs0 _x000d__x000a_\fs24\lang2057\langfe2057\cgrid\langnp2057\langfenp2057 {\rtlch\fcs1 \af0 \ltrch\fcs0 \insrsid15951248\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51248\charrsid15879488 [ZTEXTL]\cell [ZTEXTR]}{\rtlch\fcs1 \af0\afs24 \ltrch\fcs0 \insrsid15951248\charrsid15879488 \cell }\pard\plain \ltrpar\ql \li0\ri0\widctlpar\intbl\wrapdefault\aspalpha\aspnum\faauto\adjustright\rin0\lin0 \rtlch\fcs1 _x000d__x000a_\af0\afs20\alang1025 \ltrch\fcs0 \fs24\lang2057\langfe2057\cgrid\langnp2057\langfenp2057 {\rtlch\fcs1 \af0 \ltrch\fcs0 \insrsid15951248\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5951248\charrsid15879488 _x000d__x000a_\hich\af1\dbch\af31501\loch\f1 &lt;/AmendA&gt;}{\rtlch\fcs1 \af0 \ltrch\fcs0 \insrsid1595124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ffe46a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52276 HideTWBExt;}{_x000d__x000a_\s18\ql \li0\ri0\sa120\nowidctlpar\wrapdefault\aspalpha\aspnum\faauto\adjustright\rin0\lin0\itap0 \rtlch\fcs1 \af0\afs20\alang1025 \ltrch\fcs0 \fs24\lang2057\langfe2057\cgrid\langnp2057\langfenp2057 \sbasedon0 \snext18 \spriority0 \styrsid15752276 _x000d__x000a_Normal6a;}{\s19\ql \li0\ri0\nowidctlpar\wrapdefault\aspalpha\aspnum\faauto\adjustright\rin0\lin0\itap0 \rtlch\fcs1 \af0\afs20\alang1025 \ltrch\fcs0 \b\fs24\lang2057\langfe2057\cgrid\langnp2057\langfenp2057 \sbasedon0 \snext19 \spriority0 \styrsid15752276 _x000d__x000a_NormalBold;}{\s20\ql \li0\ri0\sa240\nowidctlpar\wrapdefault\aspalpha\aspnum\faauto\adjustright\rin0\lin0\itap0 \rtlch\fcs1 \af0\afs20\alang1025 \ltrch\fcs0 \i\fs24\lang2057\langfe2057\cgrid\langnp2057\langfenp2057 _x000d__x000a_\sbasedon0 \snext20 \spriority0 \styrsid15752276 AmJustText;}{\s21\qc \li0\ri0\sb240\sa240\nowidctlpar\wrapdefault\aspalpha\aspnum\faauto\adjustright\rin0\lin0\itap0 \rtlch\fcs1 \af0\afs20\alang1025 \ltrch\fcs0 _x000d__x000a_\i\fs24\lang2057\langfe2057\cgrid\langnp2057\langfenp2057 \sbasedon0 \snext21 \spriority0 \styrsid15752276 AmCrossRef;}{\s22\qc \li0\ri0\sb240\sa240\keepn\nowidctlpar\wrapdefault\aspalpha\aspnum\faauto\adjustright\rin0\lin0\itap0 \rtlch\fcs1 _x000d__x000a_\af0\afs20\alang1025 \ltrch\fcs0 \i\fs24\lang2057\langfe2057\cgrid\langnp2057\langfenp2057 \sbasedon0 \snext20 \spriority0 \styrsid15752276 AmJustTitle;}{\s23\qc \li0\ri0\sa240\nowidctlpar\wrapdefault\aspalpha\aspnum\faauto\adjustright\rin0\lin0\itap0 _x000d__x000a_\rtlch\fcs1 \af0\afs20\alang1025 \ltrch\fcs0 \i\fs24\lang2057\langfe2057\cgrid\langnp2057\langfenp2057 \sbasedon0 \snext23 \spriority0 \styrsid1575227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752276 AmNumberTabs;}{\s25\ql \li0\ri0\sb240\nowidctlpar\wrapdefault\aspalpha\aspnum\faauto\adjustright\rin0\lin0\itap0 \rtlch\fcs1 _x000d__x000a_\af0\afs20\alang1025 \ltrch\fcs0 \b\fs24\lang2057\langfe2057\cgrid\langnp2057\langfenp2057 \sbasedon0 \snext25 \spriority0 \styrsid15752276 NormalBold12b;}}{\*\rsidtbl \rsid24658\rsid223860\rsid735077\rsid1718133\rsid2892074\rsid3565327\rsid4666813_x000d__x000a_\rsid4797506\rsid6641733\rsid7823322\rsid9636012\rsid10377208\rsid11215221\rsid11228497\rsid11549030\rsid12154954\rsid14382809\rsid14424199\rsid15204470\rsid15285974\rsid15752276\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0\dy17\hr15\min35}{\revtim\yr2025\mo10\dy17\hr15\min35}{\version1}{\edmins0}{\nofpages1}{\nofwords55}{\nofchars317}{\nofcharsws371}{\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52276\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4797506 \chftnsep _x000d__x000a_\par }}{\*\ftnsepc \ltrpar \pard\plain \ltrpar\ql \li0\ri0\widctlpar\wrapdefault\aspalpha\aspnum\faauto\adjustright\rin0\lin0\itap0 \rtlch\fcs1 \af0\afs20\alang1025 \ltrch\fcs0 \fs24\lang2057\langfe2057\cgrid\langnp2057\langfenp2057 {\rtlch\fcs1 \af0 _x000d__x000a_\ltrch\fcs0 \insrsid4797506 \chftnsepc _x000d__x000a_\par }}{\*\aftnsep \ltrpar \pard\plain \ltrpar\ql \li0\ri0\widctlpar\wrapdefault\aspalpha\aspnum\faauto\adjustright\rin0\lin0\itap0 \rtlch\fcs1 \af0\afs20\alang1025 \ltrch\fcs0 \fs24\lang2057\langfe2057\cgrid\langnp2057\langfenp2057 {\rtlch\fcs1 \af0 _x000d__x000a_\ltrch\fcs0 \insrsid4797506 \chftnsep _x000d__x000a_\par }}{\*\aftnsepc \ltrpar \pard\plain \ltrpar\ql \li0\ri0\widctlpar\wrapdefault\aspalpha\aspnum\faauto\adjustright\rin0\lin0\itap0 \rtlch\fcs1 \af0\afs20\alang1025 \ltrch\fcs0 \fs24\lang2057\langfe2057\cgrid\langnp2057\langfenp2057 {\rtlch\fcs1 \af0 _x000d__x000a_\ltrch\fcs0 \insrsid47975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5752276\charrsid15879488 {\*\bkmkstart restartB_x000d__x000a_}\hich\af1\dbch\af31501\loch\f1 &lt;AmendB&gt;}{\rtlch\fcs1 \af0 \ltrch\fcs0 \insrsid15752276\charrsid15879488 [ZAMENDMENT]\tab \tab }{\rtlch\fcs1 \af0 \ltrch\fcs0 _x000d__x000a_\cs17\b0\v\fs20\cf9\lang1024\langfe1024\loch\af1\hich\af1\dbch\af31501\noproof\insrsid15752276\charrsid15879488 \hich\af1\dbch\af31501\loch\f1 &lt;NumAmB&gt;}{\rtlch\fcs1 \af0 \ltrch\fcs0 \insrsid15752276\charrsid15879488 [ZNRAM]}{\rtlch\fcs1 \af0 \ltrch\fcs0 _x000d__x000a_\cs17\b0\v\fs20\cf9\lang1024\langfe1024\loch\af1\hich\af1\dbch\af31501\noproof\insrsid15752276\charrsid15879488 \hich\af1\dbch\af31501\loch\f1 &lt;/NumAmB&gt;}{\rtlch\fcs1 \af0 \ltrch\fcs0 \insrsid15752276\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5752276\charrsid15879488 \hich\af1\dbch\af31501\loch\f1 &lt;DocAmend&gt;}{\rtlch\fcs1 \af0 \ltrch\fcs0 \insrsid15752276\charrsid15879488 _x000d__x000a_[ZPROPOSAL][ZAMACT]}{\rtlch\fcs1 \af0 \ltrch\fcs0 \cs17\b0\v\fs20\cf9\lang1024\langfe1024\loch\af1\hich\af1\dbch\af31501\noproof\insrsid15752276\charrsid15879488 \hich\af1\dbch\af31501\loch\f1 &lt;/DocAmend&gt;}{\rtlch\fcs1 \af0 \ltrch\fcs0 _x000d__x000a_\insrsid15752276\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5752276\charrsid15879488 \hich\af1\dbch\af31501\loch\f1 &lt;Article&gt;}{\rtlch\fcs1 \af0 \ltrch\fcs0 \insrsid15752276\charrsid15879488 [ZAMPART]}{_x000d__x000a_\rtlch\fcs1 \af0 \ltrch\fcs0 \cs17\b0\v\fs20\cf9\lang1024\langfe1024\loch\af1\hich\af1\dbch\af31501\noproof\insrsid15752276\charrsid15879488 \hich\af1\dbch\af31501\loch\f1 &lt;/Article&gt;}{\rtlch\fcs1 \af0 \ltrch\fcs0 \insrsid15752276\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5752276\charrsid15879488 \hich\af1\dbch\af31501\loch\f1 &lt;DocAmend2&gt;&lt;OptDel&gt;}{\rtlch\fcs1 \af0 \ltrch\fcs0 \insrsid15752276\charrsid15879488 [ZNRACT]}{_x000d__x000a_\rtlch\fcs1 \af0 \ltrch\fcs0 \cs17\v\fs20\cf9\lang1024\langfe1024\loch\af1\hich\af1\dbch\af31501\noproof\insrsid15752276\charrsid15879488 \hich\af1\dbch\af31501\loch\f1 &lt;/OptDel&gt;&lt;/DocAmend2&gt;}{\rtlch\fcs1 \af0 \ltrch\fcs0 \insrsid15752276\charrsid15879488 _x000d__x000a__x000d__x000a_\par }\pard \ltrpar\ql \li0\ri0\widctlpar\wrapdefault\aspalpha\aspnum\faauto\adjustright\rin0\lin0\itap0\pararsid15956237 {\rtlch\fcs1 \af0 \ltrch\fcs0 _x000d__x000a_\cs17\v\fs20\cf9\lang1024\langfe1024\loch\af1\hich\af1\dbch\af31501\noproof\langnp1036\insrsid15752276\charrsid11356624 \hich\af1\dbch\af31501\loch\f1 &lt;Article2&gt;&lt;OptDel&gt;}{\rtlch\fcs1 \af0 \ltrch\fcs0 _x000d__x000a_\lang1036\langfe2057\langnp1036\insrsid15752276\charrsid11356624 [ZACTPART]}{\rtlch\fcs1 \af0 \ltrch\fcs0 \cs17\v\fs20\cf9\lang1024\langfe1024\loch\af1\hich\af1\dbch\af31501\noproof\langnp1036\insrsid15752276\charrsid11356624 _x000d__x000a_\hich\af1\dbch\af31501\loch\f1 &lt;/OptDel&gt;&lt;/Article2&gt;}{\rtlch\fcs1 \af0 \ltrch\fcs0 \lang1036\langfe2057\langnp1036\insrsid15752276\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5752276\charrsid11356624 \cell }\pard \ltrpar\ql \li0\ri0\widctlpar\intbl\wrapdefault\aspalpha\aspnum\faauto\adjustright\rin0\lin0 {\rtlch\fcs1 \af0 \ltrch\fcs0 \insrsid15752276\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5752276\charrsid15879488 [ZLEFTB]\cell [ZRIGHT]\cell }\pard\plain \ltrpar_x000d__x000a_\ql \li0\ri0\widctlpar\intbl\wrapdefault\aspalpha\aspnum\faauto\adjustright\rin0\lin0 \rtlch\fcs1 \af0\afs20\alang1025 \ltrch\fcs0 \fs24\lang2057\langfe2057\cgrid\langnp2057\langfenp2057 {\rtlch\fcs1 \af0 \ltrch\fcs0 \insrsid15752276\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752276\charrsid15879488 [ZTEXTL]\cell [ZTEXTR]}{\rtlch\fcs1 \af0\afs24 \ltrch\fcs0 \insrsid15752276\charrsid15879488 \cell }\pard\plain \ltrpar\ql \li0\ri0\widctlpar\intbl\wrapdefault\aspalpha\aspnum\faauto\adjustright\rin0\lin0 \rtlch\fcs1 _x000d__x000a_\af0\afs20\alang1025 \ltrch\fcs0 \fs24\lang2057\langfe2057\cgrid\langnp2057\langfenp2057 {\rtlch\fcs1 \af0 \ltrch\fcs0 \insrsid15752276\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5752276\charrsid15879488 \hich\af1\dbch\af31501\loch\f1 &lt;OptDel&gt;}{\rtlch\fcs1 \af0 \ltrch\fcs0 \insrsid15752276\charrsid15879488 [ZCROSSREF]}{\rtlch\fcs1 \af0 _x000d__x000a_\ltrch\fcs0 \cs17\i0\v\fs20\cf9\lang1024\langfe1024\loch\af1\hich\af1\dbch\af31501\noproof\insrsid15752276\charrsid15879488 \hich\af1\dbch\af31501\loch\f1 &lt;/OptDel&gt;}{\rtlch\fcs1 \af0 \ltrch\fcs0 \insrsid15752276\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5752276\charrsid15879488 \hich\af1\dbch\af31501\loch\f1 &lt;TitreJust&gt;}{\rtlch\fcs1 \af0 \ltrch\fcs0 \insrsid15752276\charrsid15879488 _x000d__x000a_[ZJUSTIFICATION]}{\rtlch\fcs1 \af0 \ltrch\fcs0 \cs17\i0\v\fs20\cf9\lang1024\langfe1024\loch\af1\hich\af1\dbch\af31501\noproof\insrsid15752276\charrsid15879488 \hich\af1\dbch\af31501\loch\f1 &lt;/TitreJust&gt;}{\rtlch\fcs1 \af0 \ltrch\fcs0 _x000d__x000a_\insrsid15752276\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5752276\charrsid15879488 \hich\af1\dbch\af31501\loch\f1 &lt;OptDelPrev&gt;}{\rtlch\fcs1 \af0 \ltrch\fcs0 \insrsid15752276\charrsid15879488 [ZTEXTJUST]}{_x000d__x000a_\rtlch\fcs1 \af0 \ltrch\fcs0 \cs17\i0\v\fs20\cf9\lang1024\langfe1024\loch\af1\hich\af1\dbch\af31501\noproof\insrsid15752276\charrsid15879488 \hich\af1\dbch\af31501\loch\f1 &lt;/OptDelPrev&gt;}{\rtlch\fcs1 \af0 \ltrch\fcs0 \insrsid15752276\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5752276\charrsid15879488 \hich\af1\dbch\af31501\loch\f1 &lt;/AmendB&gt;}{\rtlch\fcs1 \af0 \ltrch\fcs0 \insrsid1575227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1_x000d__x000a_53e86a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ITLECODMNU" w:val=" 1"/>
    <w:docVar w:name="TXTAUTHOR" w:val="Emma Fourreau"/>
    <w:docVar w:name="TXTLANGUE" w:val="LT"/>
    <w:docVar w:name="TXTLANGUEMIN" w:val="lt"/>
    <w:docVar w:name="TXTNRC" w:val="0074/2025"/>
    <w:docVar w:name="TXTNRCOM" w:val="(2025)0173"/>
    <w:docVar w:name="TXTNRPE" w:val="774.485"/>
    <w:docVar w:name="TXTNRPROC" w:val="2025/0090"/>
    <w:docVar w:name="TXTPEorAP" w:val="PE"/>
    <w:docVar w:name="TXTROUTE" w:val="AD\1330179LT.docx"/>
    <w:docVar w:name="TXTVERSION" w:val="02-00"/>
  </w:docVars>
  <w:rsids>
    <w:rsidRoot w:val="00F11D4D"/>
    <w:rsid w:val="00026559"/>
    <w:rsid w:val="00027FA8"/>
    <w:rsid w:val="0004474F"/>
    <w:rsid w:val="00082EC4"/>
    <w:rsid w:val="000D44A6"/>
    <w:rsid w:val="00122C05"/>
    <w:rsid w:val="00134974"/>
    <w:rsid w:val="00141CD7"/>
    <w:rsid w:val="00147FBF"/>
    <w:rsid w:val="001616BD"/>
    <w:rsid w:val="001629FF"/>
    <w:rsid w:val="001820A9"/>
    <w:rsid w:val="001A0556"/>
    <w:rsid w:val="001B0A1E"/>
    <w:rsid w:val="001C0886"/>
    <w:rsid w:val="001D5154"/>
    <w:rsid w:val="001E3AC4"/>
    <w:rsid w:val="0020077A"/>
    <w:rsid w:val="00207509"/>
    <w:rsid w:val="00212659"/>
    <w:rsid w:val="0023131B"/>
    <w:rsid w:val="002A67EE"/>
    <w:rsid w:val="00304EA8"/>
    <w:rsid w:val="00341A99"/>
    <w:rsid w:val="00360FAA"/>
    <w:rsid w:val="0038294E"/>
    <w:rsid w:val="003858C5"/>
    <w:rsid w:val="0039274C"/>
    <w:rsid w:val="003A2F84"/>
    <w:rsid w:val="003B4AE9"/>
    <w:rsid w:val="003C7390"/>
    <w:rsid w:val="003E1280"/>
    <w:rsid w:val="003F128E"/>
    <w:rsid w:val="0040055C"/>
    <w:rsid w:val="00487596"/>
    <w:rsid w:val="004B3A53"/>
    <w:rsid w:val="004C2A0D"/>
    <w:rsid w:val="004F1D2F"/>
    <w:rsid w:val="00502B76"/>
    <w:rsid w:val="00513F6F"/>
    <w:rsid w:val="00522379"/>
    <w:rsid w:val="00522B51"/>
    <w:rsid w:val="00524707"/>
    <w:rsid w:val="005539B7"/>
    <w:rsid w:val="00571233"/>
    <w:rsid w:val="005C3A28"/>
    <w:rsid w:val="005D4C6B"/>
    <w:rsid w:val="00613134"/>
    <w:rsid w:val="00626D52"/>
    <w:rsid w:val="00643DA8"/>
    <w:rsid w:val="00657D5C"/>
    <w:rsid w:val="00683DD1"/>
    <w:rsid w:val="00691B1C"/>
    <w:rsid w:val="006A0F0A"/>
    <w:rsid w:val="006A48AA"/>
    <w:rsid w:val="006B1267"/>
    <w:rsid w:val="006D292E"/>
    <w:rsid w:val="00712462"/>
    <w:rsid w:val="00715FEB"/>
    <w:rsid w:val="00716BAA"/>
    <w:rsid w:val="0077627D"/>
    <w:rsid w:val="0078548A"/>
    <w:rsid w:val="007B7CE3"/>
    <w:rsid w:val="007F187F"/>
    <w:rsid w:val="00817D13"/>
    <w:rsid w:val="00820C7D"/>
    <w:rsid w:val="00833D11"/>
    <w:rsid w:val="00836FD3"/>
    <w:rsid w:val="008375A8"/>
    <w:rsid w:val="00872A52"/>
    <w:rsid w:val="00876A73"/>
    <w:rsid w:val="0089388A"/>
    <w:rsid w:val="008A039D"/>
    <w:rsid w:val="008A0CBA"/>
    <w:rsid w:val="008F3DB0"/>
    <w:rsid w:val="00904864"/>
    <w:rsid w:val="009052FE"/>
    <w:rsid w:val="009215FC"/>
    <w:rsid w:val="00924555"/>
    <w:rsid w:val="009368B3"/>
    <w:rsid w:val="0097572E"/>
    <w:rsid w:val="00982B83"/>
    <w:rsid w:val="009857B4"/>
    <w:rsid w:val="0099178F"/>
    <w:rsid w:val="009C2995"/>
    <w:rsid w:val="009E7319"/>
    <w:rsid w:val="00A71228"/>
    <w:rsid w:val="00A74E25"/>
    <w:rsid w:val="00AB5551"/>
    <w:rsid w:val="00AC2A60"/>
    <w:rsid w:val="00AD49D0"/>
    <w:rsid w:val="00B00EE6"/>
    <w:rsid w:val="00B13D13"/>
    <w:rsid w:val="00B476DC"/>
    <w:rsid w:val="00B556CD"/>
    <w:rsid w:val="00B62D4B"/>
    <w:rsid w:val="00B735E3"/>
    <w:rsid w:val="00B904FA"/>
    <w:rsid w:val="00BA3E40"/>
    <w:rsid w:val="00BD1F76"/>
    <w:rsid w:val="00BE20CF"/>
    <w:rsid w:val="00C22327"/>
    <w:rsid w:val="00C24ACB"/>
    <w:rsid w:val="00C335C6"/>
    <w:rsid w:val="00C36610"/>
    <w:rsid w:val="00C4219C"/>
    <w:rsid w:val="00C52A28"/>
    <w:rsid w:val="00C709B7"/>
    <w:rsid w:val="00C75E98"/>
    <w:rsid w:val="00C81C5B"/>
    <w:rsid w:val="00C83B35"/>
    <w:rsid w:val="00C85D0F"/>
    <w:rsid w:val="00D25CF2"/>
    <w:rsid w:val="00D56CE0"/>
    <w:rsid w:val="00D6254D"/>
    <w:rsid w:val="00D67D0A"/>
    <w:rsid w:val="00D74FD1"/>
    <w:rsid w:val="00D91F1C"/>
    <w:rsid w:val="00D943A5"/>
    <w:rsid w:val="00D9581F"/>
    <w:rsid w:val="00DB56E4"/>
    <w:rsid w:val="00DE79FA"/>
    <w:rsid w:val="00E035A9"/>
    <w:rsid w:val="00E27F01"/>
    <w:rsid w:val="00E77FF5"/>
    <w:rsid w:val="00E94D64"/>
    <w:rsid w:val="00EA3802"/>
    <w:rsid w:val="00EF1432"/>
    <w:rsid w:val="00EF33D5"/>
    <w:rsid w:val="00F11D4D"/>
    <w:rsid w:val="00F15744"/>
    <w:rsid w:val="00F24D40"/>
    <w:rsid w:val="00FB578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C3B7D"/>
  <w15:chartTrackingRefBased/>
  <w15:docId w15:val="{49E5A05F-7039-40DB-A958-9EAE1FD2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DE79FA"/>
    <w:rPr>
      <w:sz w:val="24"/>
      <w:lang w:val="lt-LT"/>
    </w:rPr>
  </w:style>
  <w:style w:type="paragraph" w:customStyle="1" w:styleId="Normal6">
    <w:name w:val="Normal6"/>
    <w:basedOn w:val="Normal"/>
    <w:link w:val="Normal6Char"/>
    <w:rsid w:val="00DE79FA"/>
    <w:pPr>
      <w:spacing w:after="120"/>
    </w:pPr>
    <w:rPr>
      <w:szCs w:val="20"/>
    </w:rPr>
  </w:style>
  <w:style w:type="character" w:customStyle="1" w:styleId="NormalBoldChar">
    <w:name w:val="NormalBold Char"/>
    <w:basedOn w:val="DefaultParagraphFont"/>
    <w:link w:val="NormalBold"/>
    <w:locked/>
    <w:rsid w:val="00DE79FA"/>
    <w:rPr>
      <w:b/>
      <w:sz w:val="24"/>
      <w:lang w:val="lt-LT"/>
    </w:rPr>
  </w:style>
  <w:style w:type="paragraph" w:customStyle="1" w:styleId="ColumnHeading">
    <w:name w:val="ColumnHeading"/>
    <w:basedOn w:val="Normal"/>
    <w:rsid w:val="00DE79FA"/>
    <w:pPr>
      <w:spacing w:after="240"/>
      <w:jc w:val="center"/>
    </w:pPr>
    <w:rPr>
      <w:i/>
      <w:szCs w:val="20"/>
    </w:rPr>
  </w:style>
  <w:style w:type="paragraph" w:customStyle="1" w:styleId="AMNumberTabs0">
    <w:name w:val="AMNumberTabs"/>
    <w:basedOn w:val="Normal"/>
    <w:rsid w:val="00DE79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DE79FA"/>
    <w:pPr>
      <w:jc w:val="right"/>
    </w:pPr>
  </w:style>
  <w:style w:type="paragraph" w:styleId="Footer">
    <w:name w:val="footer"/>
    <w:basedOn w:val="Normal"/>
    <w:link w:val="FooterChar"/>
    <w:rsid w:val="005C3A28"/>
    <w:pPr>
      <w:tabs>
        <w:tab w:val="center" w:pos="4513"/>
        <w:tab w:val="right" w:pos="9026"/>
      </w:tabs>
    </w:pPr>
  </w:style>
  <w:style w:type="character" w:customStyle="1" w:styleId="FooterChar">
    <w:name w:val="Footer Char"/>
    <w:basedOn w:val="DefaultParagraphFont"/>
    <w:link w:val="Footer"/>
    <w:rsid w:val="005C3A28"/>
    <w:rPr>
      <w:sz w:val="24"/>
      <w:szCs w:val="24"/>
      <w:lang w:val="lt-LT"/>
    </w:rPr>
  </w:style>
  <w:style w:type="paragraph" w:styleId="Revision">
    <w:name w:val="Revision"/>
    <w:hidden/>
    <w:uiPriority w:val="99"/>
    <w:semiHidden/>
    <w:rsid w:val="00C24ACB"/>
    <w:rPr>
      <w:sz w:val="24"/>
      <w:szCs w:val="24"/>
    </w:rPr>
  </w:style>
  <w:style w:type="paragraph" w:styleId="BalloonText">
    <w:name w:val="Balloon Text"/>
    <w:basedOn w:val="Normal"/>
    <w:link w:val="BalloonTextChar"/>
    <w:semiHidden/>
    <w:unhideWhenUsed/>
    <w:rsid w:val="00C24ACB"/>
    <w:rPr>
      <w:rFonts w:ascii="Segoe UI" w:hAnsi="Segoe UI" w:cs="Segoe UI"/>
      <w:sz w:val="18"/>
      <w:szCs w:val="18"/>
    </w:rPr>
  </w:style>
  <w:style w:type="character" w:customStyle="1" w:styleId="BalloonTextChar">
    <w:name w:val="Balloon Text Char"/>
    <w:basedOn w:val="DefaultParagraphFont"/>
    <w:link w:val="BalloonText"/>
    <w:semiHidden/>
    <w:rsid w:val="00C24ACB"/>
    <w:rPr>
      <w:rFonts w:ascii="Segoe UI" w:hAnsi="Segoe UI" w:cs="Segoe UI"/>
      <w:sz w:val="18"/>
      <w:szCs w:val="18"/>
      <w:lang w:val="lt-LT"/>
    </w:rPr>
  </w:style>
  <w:style w:type="character" w:styleId="CommentReference">
    <w:name w:val="annotation reference"/>
    <w:basedOn w:val="DefaultParagraphFont"/>
    <w:rsid w:val="00C24ACB"/>
    <w:rPr>
      <w:sz w:val="16"/>
      <w:szCs w:val="16"/>
    </w:rPr>
  </w:style>
  <w:style w:type="paragraph" w:styleId="CommentText">
    <w:name w:val="annotation text"/>
    <w:basedOn w:val="Normal"/>
    <w:link w:val="CommentTextChar"/>
    <w:rsid w:val="00C24ACB"/>
    <w:rPr>
      <w:sz w:val="20"/>
      <w:szCs w:val="20"/>
    </w:rPr>
  </w:style>
  <w:style w:type="character" w:customStyle="1" w:styleId="CommentTextChar">
    <w:name w:val="Comment Text Char"/>
    <w:basedOn w:val="DefaultParagraphFont"/>
    <w:link w:val="CommentText"/>
    <w:rsid w:val="00C24ACB"/>
    <w:rPr>
      <w:lang w:val="lt-LT"/>
    </w:rPr>
  </w:style>
  <w:style w:type="paragraph" w:styleId="CommentSubject">
    <w:name w:val="annotation subject"/>
    <w:basedOn w:val="CommentText"/>
    <w:next w:val="CommentText"/>
    <w:link w:val="CommentSubjectChar"/>
    <w:semiHidden/>
    <w:unhideWhenUsed/>
    <w:rsid w:val="00C24ACB"/>
    <w:rPr>
      <w:b/>
      <w:bCs/>
    </w:rPr>
  </w:style>
  <w:style w:type="character" w:customStyle="1" w:styleId="CommentSubjectChar">
    <w:name w:val="Comment Subject Char"/>
    <w:basedOn w:val="CommentTextChar"/>
    <w:link w:val="CommentSubject"/>
    <w:semiHidden/>
    <w:rsid w:val="00C24ACB"/>
    <w:rPr>
      <w:b/>
      <w:bCs/>
      <w:lang w:val="lt-LT"/>
    </w:rPr>
  </w:style>
  <w:style w:type="paragraph" w:customStyle="1" w:styleId="Normal24a">
    <w:name w:val="Normal24a"/>
    <w:basedOn w:val="Normal"/>
    <w:rsid w:val="00C24ACB"/>
    <w:pPr>
      <w:spacing w:after="480"/>
    </w:pPr>
  </w:style>
  <w:style w:type="paragraph" w:customStyle="1" w:styleId="NormalBoldCenter">
    <w:name w:val="NormalBoldCenter"/>
    <w:basedOn w:val="Normal"/>
    <w:rsid w:val="00C24ACB"/>
    <w:pPr>
      <w:jc w:val="center"/>
    </w:pPr>
    <w:rPr>
      <w:b/>
    </w:rPr>
  </w:style>
  <w:style w:type="paragraph" w:customStyle="1" w:styleId="Footprint12b">
    <w:name w:val="Footprint12b"/>
    <w:basedOn w:val="Normal"/>
    <w:rsid w:val="00C24ACB"/>
    <w:pPr>
      <w:spacing w:before="240"/>
    </w:pPr>
  </w:style>
  <w:style w:type="paragraph" w:customStyle="1" w:styleId="NormalSingle">
    <w:name w:val="NormalSingle"/>
    <w:basedOn w:val="Normal"/>
    <w:qFormat/>
    <w:rsid w:val="00C24ACB"/>
  </w:style>
  <w:style w:type="paragraph" w:styleId="FootnoteText">
    <w:name w:val="footnote text"/>
    <w:basedOn w:val="Normal"/>
    <w:link w:val="FootnoteTextChar"/>
    <w:rsid w:val="00C24ACB"/>
    <w:rPr>
      <w:sz w:val="20"/>
      <w:szCs w:val="20"/>
    </w:rPr>
  </w:style>
  <w:style w:type="character" w:customStyle="1" w:styleId="FootnoteTextChar">
    <w:name w:val="Footnote Text Char"/>
    <w:basedOn w:val="DefaultParagraphFont"/>
    <w:link w:val="FootnoteText"/>
    <w:rsid w:val="00C24ACB"/>
    <w:rPr>
      <w:lang w:val="lt-LT"/>
    </w:rPr>
  </w:style>
  <w:style w:type="character" w:styleId="FootnoteReference">
    <w:name w:val="footnote reference"/>
    <w:basedOn w:val="DefaultParagraphFont"/>
    <w:rsid w:val="00C24ACB"/>
    <w:rPr>
      <w:vertAlign w:val="superscript"/>
    </w:rPr>
  </w:style>
  <w:style w:type="character" w:styleId="Hyperlink">
    <w:name w:val="Hyperlink"/>
    <w:basedOn w:val="DefaultParagraphFont"/>
    <w:rsid w:val="00C24ACB"/>
    <w:rPr>
      <w:color w:val="0563C1" w:themeColor="hyperlink"/>
      <w:u w:val="single"/>
    </w:rPr>
  </w:style>
  <w:style w:type="paragraph" w:customStyle="1" w:styleId="RollCallSymbols14pt">
    <w:name w:val="RollCallSymbols14pt"/>
    <w:basedOn w:val="Normal"/>
    <w:rsid w:val="00C24AC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24ACB"/>
    <w:pPr>
      <w:tabs>
        <w:tab w:val="center" w:pos="284"/>
        <w:tab w:val="left" w:pos="426"/>
      </w:tabs>
    </w:pPr>
    <w:rPr>
      <w:snapToGrid w:val="0"/>
      <w:szCs w:val="20"/>
      <w:lang w:eastAsia="en-US"/>
    </w:rPr>
  </w:style>
  <w:style w:type="paragraph" w:customStyle="1" w:styleId="RollCallVotes">
    <w:name w:val="RollCallVotes"/>
    <w:basedOn w:val="Normal"/>
    <w:rsid w:val="00C24ACB"/>
    <w:pPr>
      <w:spacing w:before="120" w:after="120"/>
      <w:jc w:val="center"/>
    </w:pPr>
    <w:rPr>
      <w:b/>
      <w:bCs/>
      <w:snapToGrid w:val="0"/>
      <w:sz w:val="16"/>
      <w:szCs w:val="20"/>
      <w:lang w:eastAsia="en-US"/>
    </w:rPr>
  </w:style>
  <w:style w:type="paragraph" w:customStyle="1" w:styleId="RollCallTable">
    <w:name w:val="RollCallTable"/>
    <w:basedOn w:val="Normal"/>
    <w:rsid w:val="00C24ACB"/>
    <w:pPr>
      <w:spacing w:before="120" w:after="120"/>
    </w:pPr>
    <w:rPr>
      <w:snapToGrid w:val="0"/>
      <w:sz w:val="16"/>
      <w:szCs w:val="20"/>
      <w:lang w:eastAsia="en-US"/>
    </w:rPr>
  </w:style>
  <w:style w:type="character" w:styleId="FollowedHyperlink">
    <w:name w:val="FollowedHyperlink"/>
    <w:basedOn w:val="DefaultParagraphFont"/>
    <w:uiPriority w:val="99"/>
    <w:unhideWhenUsed/>
    <w:rsid w:val="00C24ACB"/>
    <w:rPr>
      <w:color w:val="954F72" w:themeColor="followedHyperlink"/>
      <w:u w:val="single"/>
    </w:rPr>
  </w:style>
  <w:style w:type="paragraph" w:customStyle="1" w:styleId="msonormal0">
    <w:name w:val="msonormal"/>
    <w:basedOn w:val="Normal"/>
    <w:rsid w:val="00C24ACB"/>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data-protect/index.d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5C6B0-97F3-41D9-83A0-5A29240C1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32</Pages>
  <Words>7039</Words>
  <Characters>50118</Characters>
  <Application>Microsoft Office Word</Application>
  <DocSecurity>0</DocSecurity>
  <Lines>1856</Lines>
  <Paragraphs>534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2025-10-27T16:15:00Z</dcterms:created>
  <dcterms:modified xsi:type="dcterms:W3CDTF">2025-10-27T16:15:00Z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\\eiciLUXpr1\pdocep$\DocEP\TRANSFIL\LT\PA_Legam.LT(11/09/2024 13:27:01)</vt:lpwstr>
  </property>
  <property fmtid="{D5CDD505-2E9C-101B-9397-08002B2CF9AE}" pid="7" name="&lt;Type&gt;">
    <vt:lpwstr>AD</vt:lpwstr>
  </property>
  <property fmtid="{D5CDD505-2E9C-101B-9397-08002B2CF9AE}" pid="8" name="Bookout">
    <vt:lpwstr>OK - 2025/10/27 17:14</vt:lpwstr>
  </property>
  <property fmtid="{D5CDD505-2E9C-101B-9397-08002B2CF9AE}" pid="9" name="Created with">
    <vt:lpwstr>10.1.2 Build [20250715]</vt:lpwstr>
  </property>
  <property fmtid="{D5CDD505-2E9C-101B-9397-08002B2CF9AE}" pid="10" name="FooterPath">
    <vt:lpwstr>AD\1330179LT.docx</vt:lpwstr>
  </property>
  <property fmtid="{D5CDD505-2E9C-101B-9397-08002B2CF9AE}" pid="11" name="LastEdited with">
    <vt:lpwstr>10.1.2 Build [20250817]</vt:lpwstr>
  </property>
  <property fmtid="{D5CDD505-2E9C-101B-9397-08002B2CF9AE}" pid="12" name="PE number">
    <vt:lpwstr>774.485</vt:lpwstr>
  </property>
  <property fmtid="{D5CDD505-2E9C-101B-9397-08002B2CF9AE}" pid="13" name="SDLStudio">
    <vt:lpwstr/>
  </property>
</Properties>
</file>