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1F3CDD" w14:paraId="025F66A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FE53F6" w14:textId="5A42CC96" w:rsidR="004F48ED" w:rsidRPr="001F3CDD" w:rsidRDefault="001F3CDD" w:rsidP="00C85D0F">
            <w:pPr>
              <w:pStyle w:val="EPName"/>
            </w:pPr>
            <w:r>
              <w:t>Evropský parlament</w:t>
            </w:r>
          </w:p>
          <w:p w14:paraId="04E7D7EB" w14:textId="4B6CDA84" w:rsidR="004F48ED" w:rsidRPr="008055AA" w:rsidRDefault="008055AA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D52F3CA" w14:textId="77777777" w:rsidR="004F48ED" w:rsidRPr="001F3CDD" w:rsidRDefault="004F48ED" w:rsidP="00C85D0F">
            <w:pPr>
              <w:pStyle w:val="EPLogo"/>
            </w:pPr>
            <w:r w:rsidRPr="001F3CDD">
              <w:rPr>
                <w:noProof/>
                <w:lang w:eastAsia="ja-JP"/>
              </w:rPr>
              <w:drawing>
                <wp:inline distT="0" distB="0" distL="0" distR="0" wp14:anchorId="2319D3AF" wp14:editId="30DAA0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F2A99B" w14:textId="77777777" w:rsidR="00E9601C" w:rsidRPr="001F3CDD" w:rsidRDefault="00E9601C" w:rsidP="00E9601C">
      <w:pPr>
        <w:pStyle w:val="LineTop"/>
      </w:pPr>
    </w:p>
    <w:p w14:paraId="18615FFA" w14:textId="07103E8C" w:rsidR="00E9601C" w:rsidRPr="001F3CDD" w:rsidRDefault="00E9601C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{PECH}</w:t>
      </w:r>
      <w:r>
        <w:t>Výbor pro rybolov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6AABBAEE" w14:textId="77777777" w:rsidR="00E9601C" w:rsidRPr="001F3CDD" w:rsidRDefault="00E9601C" w:rsidP="00E9601C">
      <w:pPr>
        <w:pStyle w:val="LineBottom"/>
      </w:pPr>
    </w:p>
    <w:p w14:paraId="592F36BE" w14:textId="61CED443" w:rsidR="004E54DC" w:rsidRPr="001F3CDD" w:rsidRDefault="004E54DC" w:rsidP="004E54DC">
      <w:pPr>
        <w:pStyle w:val="CoverReference"/>
      </w:pPr>
      <w:r>
        <w:rPr>
          <w:rStyle w:val="HideTWBExt"/>
          <w:b w:val="0"/>
        </w:rPr>
        <w:t>&lt;RefProc&gt;</w:t>
      </w:r>
      <w:r>
        <w:t>2025/2156(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14:paraId="035401A7" w14:textId="177F7487" w:rsidR="002E2F2E" w:rsidRPr="001F3CDD" w:rsidRDefault="002E2F2E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{27/01/2026}</w:t>
      </w:r>
      <w:r>
        <w:t>27.1.2026</w:t>
      </w:r>
      <w:r>
        <w:rPr>
          <w:rStyle w:val="HideTWBExt"/>
        </w:rPr>
        <w:t>&lt;/Date&gt;</w:t>
      </w:r>
    </w:p>
    <w:p w14:paraId="48D002FD" w14:textId="7177861B" w:rsidR="002E2F2E" w:rsidRPr="001F3CDD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STANOVISKO</w:t>
      </w:r>
      <w:r>
        <w:rPr>
          <w:rStyle w:val="HideTWBExt"/>
          <w:b w:val="0"/>
        </w:rPr>
        <w:t>&lt;/TitreType&gt;</w:t>
      </w:r>
    </w:p>
    <w:p w14:paraId="6F0F7AE7" w14:textId="4A142834" w:rsidR="002E2F2E" w:rsidRPr="001F3CDD" w:rsidRDefault="002E2F2E">
      <w:pPr>
        <w:pStyle w:val="CoverNormal24a"/>
      </w:pPr>
      <w:r>
        <w:rPr>
          <w:rStyle w:val="HideTWBExt"/>
        </w:rPr>
        <w:t>&lt;CommissionResp&gt;</w:t>
      </w:r>
      <w:r>
        <w:t>Výboru pro rybolov</w:t>
      </w:r>
      <w:r>
        <w:rPr>
          <w:rStyle w:val="HideTWBExt"/>
        </w:rPr>
        <w:t>&lt;/CommissionResp&gt;</w:t>
      </w:r>
    </w:p>
    <w:p w14:paraId="3FEADC57" w14:textId="725E1CA7" w:rsidR="002E2F2E" w:rsidRPr="001F3CDD" w:rsidRDefault="002E2F2E" w:rsidP="0095497D">
      <w:pPr>
        <w:pStyle w:val="CoverNormal24a"/>
      </w:pPr>
      <w:r>
        <w:rPr>
          <w:rStyle w:val="HideTWBExt"/>
        </w:rPr>
        <w:t>&lt;CommissionInt&gt;</w:t>
      </w:r>
      <w:r>
        <w:t>pro Výbor pro rozpočtovou kontrolu</w:t>
      </w:r>
      <w:r>
        <w:rPr>
          <w:rStyle w:val="HideTWBExt"/>
        </w:rPr>
        <w:t>&lt;/CommissionInt&gt;</w:t>
      </w:r>
    </w:p>
    <w:p w14:paraId="3013C927" w14:textId="5FEE60CF" w:rsidR="002E2F2E" w:rsidRPr="001F3CDD" w:rsidRDefault="002E2F2E">
      <w:pPr>
        <w:pStyle w:val="CoverNormal"/>
      </w:pPr>
      <w:r>
        <w:rPr>
          <w:rStyle w:val="HideTWBExt"/>
        </w:rPr>
        <w:t>&lt;Titre&gt;</w:t>
      </w:r>
      <w:r>
        <w:t>k udělení absolutoria za plnění rozpočtu agentur Evropské unie na rozpočtový rok 2024</w:t>
      </w:r>
      <w:r>
        <w:rPr>
          <w:rStyle w:val="HideTWBExt"/>
        </w:rPr>
        <w:t>&lt;/Titre&gt;</w:t>
      </w:r>
    </w:p>
    <w:p w14:paraId="0218A4F4" w14:textId="46FD051C" w:rsidR="002E2F2E" w:rsidRPr="001F3CDD" w:rsidRDefault="002E2F2E">
      <w:pPr>
        <w:pStyle w:val="CoverNormal24a"/>
      </w:pPr>
      <w:r>
        <w:rPr>
          <w:rStyle w:val="HideTWBExt"/>
        </w:rPr>
        <w:t>&lt;DocRef&gt;</w:t>
      </w:r>
      <w:r>
        <w:t>(2025/2156(DEC))</w:t>
      </w:r>
      <w:r>
        <w:rPr>
          <w:rStyle w:val="HideTWBExt"/>
        </w:rPr>
        <w:t>&lt;/DocRef&gt;</w:t>
      </w:r>
    </w:p>
    <w:p w14:paraId="067CD892" w14:textId="78345178" w:rsidR="002E2F2E" w:rsidRPr="001F3CDD" w:rsidRDefault="008055AA"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r>
        <w:t>Giuseppe Lupo</w:t>
      </w:r>
      <w:r>
        <w:rPr>
          <w:rStyle w:val="HideTWBExt"/>
        </w:rPr>
        <w:t>&lt;/Depute&gt;</w:t>
      </w:r>
    </w:p>
    <w:p w14:paraId="7E8D07CB" w14:textId="77777777" w:rsidR="00977F76" w:rsidRPr="001F3CDD" w:rsidRDefault="00977F76" w:rsidP="00977F76">
      <w:pPr>
        <w:pStyle w:val="CoverNormal"/>
      </w:pPr>
    </w:p>
    <w:p w14:paraId="0370F4C5" w14:textId="13F22B11" w:rsidR="002E2F2E" w:rsidRPr="001F3CDD" w:rsidRDefault="002E2F2E" w:rsidP="00BB2AC1">
      <w:pPr>
        <w:widowControl/>
        <w:tabs>
          <w:tab w:val="center" w:pos="4677"/>
        </w:tabs>
      </w:pPr>
      <w:r>
        <w:br w:type="page"/>
      </w:r>
      <w:proofErr w:type="spellStart"/>
      <w:r>
        <w:lastRenderedPageBreak/>
        <w:t>PA_NonLegDec</w:t>
      </w:r>
      <w:proofErr w:type="spellEnd"/>
    </w:p>
    <w:p w14:paraId="1F6AE1D7" w14:textId="3EC671FB" w:rsidR="003E06CF" w:rsidRPr="001F3CDD" w:rsidRDefault="002E2F2E" w:rsidP="003E06CF">
      <w:pPr>
        <w:pStyle w:val="PageHeadingNotTOC"/>
      </w:pPr>
      <w:r>
        <w:br w:type="page"/>
        <w:t>STANOVISKO</w:t>
      </w:r>
    </w:p>
    <w:p w14:paraId="6266B864" w14:textId="18FA559C" w:rsidR="003E06CF" w:rsidRPr="001F3CDD" w:rsidRDefault="008055AA" w:rsidP="003E06CF">
      <w:pPr>
        <w:pStyle w:val="Normal12a"/>
      </w:pPr>
      <w:r>
        <w:t>Výbor pro rybolov vyzývá Výbor pro rozpočtovou kontrolu jako příslušný výbor, aby do návrhu usnesení, který přijme, začlenil následující:</w:t>
      </w:r>
    </w:p>
    <w:p w14:paraId="32F19FBA" w14:textId="5FBFEC62" w:rsidR="000D6E61" w:rsidRPr="00F97D2C" w:rsidRDefault="000D6E61" w:rsidP="000D6E61">
      <w:pPr>
        <w:pStyle w:val="NormalHanging12a"/>
      </w:pPr>
      <w:r>
        <w:t>1.</w:t>
      </w:r>
      <w:r>
        <w:tab/>
        <w:t xml:space="preserve">bere na vědomí zprávu Účetního dvora </w:t>
      </w:r>
      <w:r w:rsidR="00A3271F">
        <w:t>o </w:t>
      </w:r>
      <w:r>
        <w:t xml:space="preserve">ověření roční účetní závěrky Evropské agentury pro kontrolu rybolovu (dále jen „agentura“) za rozpočtový rok 2024, výroční zprávu agentury </w:t>
      </w:r>
      <w:r w:rsidR="00A3271F">
        <w:t>o </w:t>
      </w:r>
      <w:r>
        <w:t xml:space="preserve">činnosti za rok 2024 </w:t>
      </w:r>
      <w:r w:rsidR="00A3271F">
        <w:t>a </w:t>
      </w:r>
      <w:r>
        <w:t xml:space="preserve">analýzu </w:t>
      </w:r>
      <w:r w:rsidR="00A3271F">
        <w:t>a </w:t>
      </w:r>
      <w:r>
        <w:t>hodnocení této zprávy vypracované správní radou agentury;</w:t>
      </w:r>
    </w:p>
    <w:p w14:paraId="7A8975D0" w14:textId="3B4F6B1B" w:rsidR="000D6E61" w:rsidRPr="00F97D2C" w:rsidRDefault="000D6E61" w:rsidP="000D6E61">
      <w:pPr>
        <w:pStyle w:val="NormalHanging12a"/>
      </w:pPr>
      <w:r>
        <w:t>2.</w:t>
      </w:r>
      <w:r>
        <w:tab/>
        <w:t xml:space="preserve">vyjadřuje spokojenost </w:t>
      </w:r>
      <w:r w:rsidR="00A3271F">
        <w:t>s </w:t>
      </w:r>
      <w:r>
        <w:t xml:space="preserve">úkony provedenými Účetním dvorem </w:t>
      </w:r>
      <w:r w:rsidR="00A3271F">
        <w:t>a s </w:t>
      </w:r>
      <w:r>
        <w:t xml:space="preserve">jeho prohlášením, že účetní závěrka agentury za rok končící dnem 31. prosince 2024 je </w:t>
      </w:r>
      <w:r w:rsidR="00A3271F">
        <w:t>v </w:t>
      </w:r>
      <w:r>
        <w:t xml:space="preserve">souladu </w:t>
      </w:r>
      <w:r w:rsidR="00A3271F">
        <w:t>s </w:t>
      </w:r>
      <w:r>
        <w:t xml:space="preserve">finančním nařízením Unie </w:t>
      </w:r>
      <w:r w:rsidR="00A3271F">
        <w:t>a s </w:t>
      </w:r>
      <w:r>
        <w:t xml:space="preserve">účetními pravidly, která přijal účetní Komise; bere na vědomí připomínky Účetního dvora týkající se řídicích </w:t>
      </w:r>
      <w:r w:rsidR="00A3271F">
        <w:t>a </w:t>
      </w:r>
      <w:r>
        <w:t xml:space="preserve">kontrolních systémů </w:t>
      </w:r>
      <w:r w:rsidR="00A3271F">
        <w:t>a </w:t>
      </w:r>
      <w:r>
        <w:t xml:space="preserve">opakovaného využívání přenosu prostředků; bere na vědomí vysvětlení agentury </w:t>
      </w:r>
      <w:r w:rsidR="00A3271F">
        <w:t>a </w:t>
      </w:r>
      <w:r>
        <w:t xml:space="preserve">vítá, že se zavázala tyto problémy řešit; </w:t>
      </w:r>
    </w:p>
    <w:p w14:paraId="0679A533" w14:textId="0235557E" w:rsidR="000D6E61" w:rsidRPr="00F97D2C" w:rsidRDefault="000D6E61" w:rsidP="000D6E61">
      <w:pPr>
        <w:pStyle w:val="NormalHanging12a"/>
      </w:pPr>
      <w:r>
        <w:t>3.</w:t>
      </w:r>
      <w:r>
        <w:tab/>
        <w:t xml:space="preserve">konstatuje, že </w:t>
      </w:r>
      <w:r w:rsidR="00A3271F">
        <w:t>v </w:t>
      </w:r>
      <w:r>
        <w:t xml:space="preserve">roce 2024 agentura původně obdržela 30,58 milionu EUR jako příspěvek ze souhrnného rozpočtu Unie, což oproti roku 2023 představuje zvýšení </w:t>
      </w:r>
      <w:r w:rsidR="00A3271F">
        <w:t>o </w:t>
      </w:r>
      <w:r>
        <w:t xml:space="preserve">1,61 %; konečný příspěvek ze souhrnného rozpočtu, který agentura obdržela po schválení opravného rozpočtu, činil 30,79 milionu EUR, což ve srovnání </w:t>
      </w:r>
      <w:r w:rsidR="00A3271F">
        <w:t>s </w:t>
      </w:r>
      <w:r>
        <w:t xml:space="preserve">rokem 2023 představuje konečné zvýšení </w:t>
      </w:r>
      <w:r w:rsidR="00A3271F">
        <w:t>o </w:t>
      </w:r>
      <w:r>
        <w:t xml:space="preserve">2,31 %; upozorňuje, že jak roční rozpočet agentury, tak její počet zaměstnanců patří mezi agenturami Unie </w:t>
      </w:r>
      <w:r w:rsidR="00A3271F">
        <w:t>k </w:t>
      </w:r>
      <w:r>
        <w:t xml:space="preserve">nejnižším; zdůrazňuje, že činnost agentury mezitím narostla, zejména její úsilí </w:t>
      </w:r>
      <w:r w:rsidR="00A3271F">
        <w:t>v </w:t>
      </w:r>
      <w:r>
        <w:t xml:space="preserve">boji proti nezákonnému, nehlášenému </w:t>
      </w:r>
      <w:r w:rsidR="00A3271F">
        <w:t>a </w:t>
      </w:r>
      <w:r>
        <w:t xml:space="preserve">neregulovanému rybolovu </w:t>
      </w:r>
      <w:r w:rsidR="00A3271F">
        <w:t>a </w:t>
      </w:r>
      <w:r>
        <w:t xml:space="preserve">jeho dopadu na udržitelnost rybích populací, hospodářství, svrchovanost </w:t>
      </w:r>
      <w:r w:rsidR="00A3271F">
        <w:t>a </w:t>
      </w:r>
      <w:r>
        <w:t xml:space="preserve">bezpečnost Unie </w:t>
      </w:r>
      <w:r w:rsidR="00A3271F">
        <w:t>a </w:t>
      </w:r>
      <w:r>
        <w:t>jejích nejvzdálenějších regionů;</w:t>
      </w:r>
    </w:p>
    <w:p w14:paraId="03C35A17" w14:textId="5174735A" w:rsidR="000D6E61" w:rsidRPr="00F97D2C" w:rsidRDefault="000D6E61" w:rsidP="000D6E61">
      <w:pPr>
        <w:pStyle w:val="NormalHanging12a"/>
        <w:rPr>
          <w:noProof/>
        </w:rPr>
      </w:pPr>
      <w:r>
        <w:t>4.</w:t>
      </w:r>
      <w:r>
        <w:tab/>
        <w:t xml:space="preserve">zdůrazňuje, že agentura obdržela „jiné příjmy“ </w:t>
      </w:r>
      <w:r w:rsidR="00A3271F">
        <w:t>v </w:t>
      </w:r>
      <w:r>
        <w:t xml:space="preserve">hodnotě 1,23 milionu EUR, </w:t>
      </w:r>
      <w:r w:rsidR="00A3271F">
        <w:t>a </w:t>
      </w:r>
      <w:r>
        <w:t>proto celkové příjmy agentury činily 32,02 milionu EUR;</w:t>
      </w:r>
    </w:p>
    <w:p w14:paraId="7863DF8C" w14:textId="58B189D5" w:rsidR="000D6E61" w:rsidRPr="00F97D2C" w:rsidRDefault="000D6E61" w:rsidP="000D6E61">
      <w:pPr>
        <w:pStyle w:val="NormalHanging12a"/>
      </w:pPr>
      <w:r>
        <w:t>5.</w:t>
      </w:r>
      <w:r>
        <w:tab/>
        <w:t xml:space="preserve">bere na vědomí, že </w:t>
      </w:r>
      <w:r w:rsidR="00A3271F">
        <w:t>v </w:t>
      </w:r>
      <w:r>
        <w:t xml:space="preserve">rozpočtovém roce 2024 agentura realizovala 99,5 % svého ročního pracovního programu oproti 98 % </w:t>
      </w:r>
      <w:r w:rsidR="00A3271F">
        <w:t>v </w:t>
      </w:r>
      <w:r>
        <w:t xml:space="preserve">roce 2023; konstatuje, že agentura byla schopna vykonávat svou činnost </w:t>
      </w:r>
      <w:r w:rsidR="00A3271F">
        <w:t>a </w:t>
      </w:r>
      <w:r>
        <w:t xml:space="preserve">plnit svůj rozpočet podle plánu; blahopřeje agentuře </w:t>
      </w:r>
      <w:r w:rsidR="00A3271F">
        <w:t>k </w:t>
      </w:r>
      <w:r>
        <w:t xml:space="preserve">plnění rozpočtu ve výši 100 %, pokud jde </w:t>
      </w:r>
      <w:r w:rsidR="00A3271F">
        <w:t>o </w:t>
      </w:r>
      <w:r>
        <w:t xml:space="preserve">závazky, </w:t>
      </w:r>
      <w:r w:rsidR="00A3271F">
        <w:t>a </w:t>
      </w:r>
      <w:r>
        <w:t xml:space="preserve">76,6 %, pokud jde </w:t>
      </w:r>
      <w:r w:rsidR="00A3271F">
        <w:t>o </w:t>
      </w:r>
      <w:r>
        <w:t xml:space="preserve">platby, což ve srovnání </w:t>
      </w:r>
      <w:r w:rsidR="00A3271F">
        <w:t>s </w:t>
      </w:r>
      <w:r>
        <w:t xml:space="preserve">rokem 2023 představuje 4% nárůst; konstatuje, že při zohlednění účelově vázaných příjmů dosáhla agentura plnění ve výši 92,3 %, pokud jde </w:t>
      </w:r>
      <w:r w:rsidR="00A3271F">
        <w:t>o </w:t>
      </w:r>
      <w:r>
        <w:t xml:space="preserve">závazky, </w:t>
      </w:r>
      <w:r w:rsidR="00A3271F">
        <w:t>a </w:t>
      </w:r>
      <w:r>
        <w:t xml:space="preserve">76,9 %, pokud jde </w:t>
      </w:r>
      <w:r w:rsidR="00A3271F">
        <w:t>o </w:t>
      </w:r>
      <w:r>
        <w:t xml:space="preserve">platby; zastává názor, že tato úroveň provádění </w:t>
      </w:r>
      <w:r w:rsidR="00A3271F">
        <w:t>a </w:t>
      </w:r>
      <w:r>
        <w:t xml:space="preserve">účinnosti při využívání veřejných prostředků je příkladem řádného řízení, který by měl být inspirací pro ostatní agentury EU, zejména </w:t>
      </w:r>
      <w:r w:rsidR="00A3271F">
        <w:t>v </w:t>
      </w:r>
      <w:r>
        <w:t xml:space="preserve">době, kdy prioritou musí být rozpočtová kázeň </w:t>
      </w:r>
      <w:r w:rsidR="00A3271F">
        <w:t>a </w:t>
      </w:r>
      <w:r>
        <w:t>odpovědné využívání finančních prostředků;</w:t>
      </w:r>
    </w:p>
    <w:p w14:paraId="2A83EABB" w14:textId="3555F8A1" w:rsidR="000D6E61" w:rsidRPr="00F97D2C" w:rsidRDefault="000D6E61" w:rsidP="000D6E61">
      <w:pPr>
        <w:pStyle w:val="NormalHanging12a"/>
      </w:pPr>
      <w:bookmarkStart w:id="0" w:name="_Hlk220419949"/>
      <w:r>
        <w:t>6.</w:t>
      </w:r>
      <w:r>
        <w:tab/>
        <w:t xml:space="preserve">připomíná, že Unie uplatňuje přístup „nulové tolerance“ k nezákonnému, nehlášenému a neregulovanému rybolovu </w:t>
      </w:r>
      <w:r w:rsidR="00A3271F">
        <w:t>a </w:t>
      </w:r>
      <w:r>
        <w:t xml:space="preserve">že agentura má </w:t>
      </w:r>
      <w:r w:rsidR="00A3271F">
        <w:t>v </w:t>
      </w:r>
      <w:r>
        <w:t xml:space="preserve">boji proti tomuto rybolovu zásadní úlohu </w:t>
      </w:r>
      <w:r w:rsidR="00A3271F">
        <w:t>a </w:t>
      </w:r>
      <w:r>
        <w:t xml:space="preserve">přispívá </w:t>
      </w:r>
      <w:r w:rsidR="00A3271F">
        <w:t>k </w:t>
      </w:r>
      <w:r>
        <w:t xml:space="preserve">provádění společné rybářské politiky (SRP); </w:t>
      </w:r>
      <w:r w:rsidR="00A3271F">
        <w:t>v </w:t>
      </w:r>
      <w:r>
        <w:t xml:space="preserve">této souvislosti vyjadřuje politování nad tím, že </w:t>
      </w:r>
      <w:r w:rsidR="00A3271F">
        <w:t>v </w:t>
      </w:r>
      <w:r>
        <w:t xml:space="preserve">důsledku skončení platnosti rámcové smlouvy </w:t>
      </w:r>
      <w:r w:rsidR="00A3271F">
        <w:t>a </w:t>
      </w:r>
      <w:r>
        <w:t xml:space="preserve">zpoždění smlouvy </w:t>
      </w:r>
      <w:r w:rsidR="00A3271F">
        <w:t>o </w:t>
      </w:r>
      <w:r>
        <w:t xml:space="preserve">společném zadávání veřejných zakázek </w:t>
      </w:r>
      <w:r w:rsidR="00A3271F">
        <w:t>s </w:t>
      </w:r>
      <w:r>
        <w:t xml:space="preserve">agenturou </w:t>
      </w:r>
      <w:proofErr w:type="spellStart"/>
      <w:r>
        <w:t>Frontex</w:t>
      </w:r>
      <w:proofErr w:type="spellEnd"/>
      <w:r>
        <w:t xml:space="preserve"> nemohly být pronajaty žádné letecké prostředky </w:t>
      </w:r>
      <w:r w:rsidR="00A3271F">
        <w:t>s </w:t>
      </w:r>
      <w:r>
        <w:t xml:space="preserve">pevnými křídly; varuje, že konec použitelnosti těchto leteckých prostředků omezuje skutečnou operační kapacitu agentury, pokud jde </w:t>
      </w:r>
      <w:r w:rsidR="00A3271F">
        <w:t>o </w:t>
      </w:r>
      <w:r>
        <w:t xml:space="preserve">účinný boj proti nezákonnému, nehlášenému </w:t>
      </w:r>
      <w:r w:rsidR="00A3271F">
        <w:t>a </w:t>
      </w:r>
      <w:r>
        <w:t xml:space="preserve">neregulovanému rybolovu; vyzývá </w:t>
      </w:r>
      <w:r w:rsidR="00A3271F">
        <w:t>k </w:t>
      </w:r>
      <w:r>
        <w:t xml:space="preserve">přezkumu těchto postupů, aby se zabránilo narušením, která by mohla vést </w:t>
      </w:r>
      <w:r w:rsidR="00A3271F">
        <w:t>k </w:t>
      </w:r>
      <w:r>
        <w:t xml:space="preserve">nezákonným rybolovným činnostem </w:t>
      </w:r>
      <w:r w:rsidR="00A3271F">
        <w:t>v </w:t>
      </w:r>
      <w:r>
        <w:t xml:space="preserve">evropských vodách; konstatuje, že výdaje na pronájem pobřežních hlídkových plavidel klesly </w:t>
      </w:r>
      <w:r w:rsidR="00A3271F">
        <w:t>o </w:t>
      </w:r>
      <w:r>
        <w:t>2,5 %;</w:t>
      </w:r>
    </w:p>
    <w:p w14:paraId="21D0DEED" w14:textId="1F1B97D5" w:rsidR="000D6E61" w:rsidRPr="00F97D2C" w:rsidRDefault="000D6E61" w:rsidP="000D6E61">
      <w:pPr>
        <w:pStyle w:val="NormalHanging12a"/>
      </w:pPr>
      <w:r>
        <w:t>7.</w:t>
      </w:r>
      <w:r>
        <w:tab/>
        <w:t xml:space="preserve">zdůrazňuje, že navzdory pokračujícímu úsilí zůstává nezákonný, nehlášený </w:t>
      </w:r>
      <w:r w:rsidR="00A3271F">
        <w:t>a </w:t>
      </w:r>
      <w:r>
        <w:t xml:space="preserve">neregulovaný rybolov ve vodách EU závažným problémem, který narušuje konkurenceschopnost, oslabuje udržitelnost rybích populací </w:t>
      </w:r>
      <w:r w:rsidR="00A3271F">
        <w:t>a </w:t>
      </w:r>
      <w:r>
        <w:t xml:space="preserve">ohrožuje hospodářskou životaschopnost odvětví rybolovu EU </w:t>
      </w:r>
      <w:r w:rsidR="00A3271F">
        <w:t>a </w:t>
      </w:r>
      <w:r>
        <w:t xml:space="preserve">pobřežních komunit; zdůrazňuje, že je naléhavě nutné posílit kapacity leteckého </w:t>
      </w:r>
      <w:r w:rsidR="00A3271F">
        <w:t>a </w:t>
      </w:r>
      <w:r>
        <w:t xml:space="preserve">námořního dohledu </w:t>
      </w:r>
      <w:r w:rsidR="00A3271F">
        <w:t>a </w:t>
      </w:r>
      <w:r>
        <w:t xml:space="preserve">monitorování, zajistit účinné </w:t>
      </w:r>
      <w:r w:rsidR="00A3271F">
        <w:t>a </w:t>
      </w:r>
      <w:r>
        <w:t xml:space="preserve">přiměřené kontrolní </w:t>
      </w:r>
      <w:r w:rsidR="00A3271F">
        <w:t>a </w:t>
      </w:r>
      <w:r>
        <w:t xml:space="preserve">inspekční systémy </w:t>
      </w:r>
      <w:r w:rsidR="00A3271F">
        <w:t>a </w:t>
      </w:r>
      <w:r>
        <w:t xml:space="preserve">poskytovat cílenou podporu </w:t>
      </w:r>
      <w:r w:rsidR="00A3271F">
        <w:t>a </w:t>
      </w:r>
      <w:r>
        <w:t xml:space="preserve">odbornou přípravu vnitrostátním orgánům </w:t>
      </w:r>
      <w:r w:rsidR="00A3271F">
        <w:t>a </w:t>
      </w:r>
      <w:r>
        <w:t xml:space="preserve">místním pobřežním komunitám </w:t>
      </w:r>
      <w:r w:rsidR="00A3271F">
        <w:t>s </w:t>
      </w:r>
      <w:r>
        <w:t xml:space="preserve">cílem účinně odhalovat nezákonné, nehlášené </w:t>
      </w:r>
      <w:r w:rsidR="00A3271F">
        <w:t>a </w:t>
      </w:r>
      <w:r>
        <w:t xml:space="preserve">neregulované rybolovné činnosti ve vodách EU, předcházet jim </w:t>
      </w:r>
      <w:r w:rsidR="00A3271F">
        <w:t>a </w:t>
      </w:r>
      <w:r>
        <w:t>bojovat proti nim;</w:t>
      </w:r>
    </w:p>
    <w:p w14:paraId="6504FF84" w14:textId="77777777" w:rsidR="000D6E61" w:rsidRPr="00F97D2C" w:rsidRDefault="000D6E61" w:rsidP="000D6E61">
      <w:pPr>
        <w:pStyle w:val="NormalHanging12a"/>
      </w:pPr>
      <w:r>
        <w:t>8.</w:t>
      </w:r>
      <w:r>
        <w:tab/>
        <w:t>zdůrazňuje, že je důležité, aby agentura využívala externí zdroje příjmů, aby zajistila finanční prostředky na plnění svých statutárních cílů;</w:t>
      </w:r>
    </w:p>
    <w:p w14:paraId="0BCB477E" w14:textId="671EBF00" w:rsidR="000D6E61" w:rsidRPr="00F97D2C" w:rsidRDefault="000D6E61" w:rsidP="000D6E61">
      <w:pPr>
        <w:pStyle w:val="NormalHanging12a"/>
      </w:pPr>
      <w:r>
        <w:t>9.</w:t>
      </w:r>
      <w:r>
        <w:tab/>
        <w:t xml:space="preserve">připomíná, že za kontrolu rybolovných činností jsou primárně odpovědné členské státy, zatímco úkoly agentury se omezují na podporu, koordinaci </w:t>
      </w:r>
      <w:r w:rsidR="00A3271F">
        <w:t>a </w:t>
      </w:r>
      <w:r>
        <w:t xml:space="preserve">poskytování pomoci členským státům </w:t>
      </w:r>
      <w:r w:rsidR="00A3271F">
        <w:t>v </w:t>
      </w:r>
      <w:r>
        <w:t xml:space="preserve">této oblasti; zdůrazňuje zejména, že je důležité, aby agentura přispívala </w:t>
      </w:r>
      <w:r w:rsidR="00A3271F">
        <w:t>k </w:t>
      </w:r>
      <w:r>
        <w:t xml:space="preserve">harmonizaci kontrol prostřednictvím jednotného, předvídatelného </w:t>
      </w:r>
      <w:r w:rsidR="00A3271F">
        <w:t>a </w:t>
      </w:r>
      <w:r>
        <w:t xml:space="preserve">transparentního dohledu </w:t>
      </w:r>
      <w:r w:rsidR="00A3271F">
        <w:t>a </w:t>
      </w:r>
      <w:r>
        <w:t xml:space="preserve">zabránila rozdílným výkladům mezi členskými státy, které by mohly vést </w:t>
      </w:r>
      <w:r w:rsidR="00A3271F">
        <w:t>k </w:t>
      </w:r>
      <w:r>
        <w:t xml:space="preserve">nerovnému zacházení, </w:t>
      </w:r>
      <w:r w:rsidR="00A3271F">
        <w:t>s </w:t>
      </w:r>
      <w:r>
        <w:t xml:space="preserve">cílem zajistit rovnocenné podmínky </w:t>
      </w:r>
      <w:r w:rsidR="00A3271F">
        <w:t>i </w:t>
      </w:r>
      <w:r>
        <w:t>rovnost kontrol; trvá na tom, že nedostatečná kontrola rybolovných činností nesmí být kompenzována zvýšením dodatečné zátěže pro provozovatele ani ztrátou rovných podmínek;</w:t>
      </w:r>
    </w:p>
    <w:bookmarkEnd w:id="0"/>
    <w:p w14:paraId="10826CC4" w14:textId="6C216FBE" w:rsidR="000D6E61" w:rsidRPr="00F97D2C" w:rsidRDefault="000D6E61" w:rsidP="000D6E61">
      <w:pPr>
        <w:pStyle w:val="NormalHanging12a"/>
      </w:pPr>
      <w:r>
        <w:t>10.</w:t>
      </w:r>
      <w:r>
        <w:tab/>
        <w:t xml:space="preserve">zdůrazňuje, že nově přijatá revize nařízení </w:t>
      </w:r>
      <w:r w:rsidR="00A3271F">
        <w:t>o </w:t>
      </w:r>
      <w:r>
        <w:t xml:space="preserve">kontrole rybolovu zvýšila pracovní zátěž agentury, zejména činnost spojenou se zajištěním jednotnějšího uplatňování pravidel členskými státy; zdůrazňuje, že rostoucí povinnosti bez dostatečných zdrojů by oslabily schopnost agentury plnit důležité úkoly; </w:t>
      </w:r>
    </w:p>
    <w:p w14:paraId="76935352" w14:textId="33CCAC4B" w:rsidR="000D6E61" w:rsidRPr="00F97D2C" w:rsidRDefault="000D6E61" w:rsidP="000D6E61">
      <w:pPr>
        <w:pStyle w:val="NormalHanging12a"/>
      </w:pPr>
      <w:r>
        <w:t>11.</w:t>
      </w:r>
      <w:r>
        <w:tab/>
        <w:t xml:space="preserve">vyzývá Komisi, aby </w:t>
      </w:r>
      <w:r w:rsidR="00A3271F">
        <w:t>s </w:t>
      </w:r>
      <w:r>
        <w:t xml:space="preserve">agenturou spolupracovala při vypracovávání aktů </w:t>
      </w:r>
      <w:r w:rsidR="00A3271F">
        <w:t>v </w:t>
      </w:r>
      <w:r>
        <w:t xml:space="preserve">přenesené pravomoci </w:t>
      </w:r>
      <w:r w:rsidR="00A3271F">
        <w:t>a </w:t>
      </w:r>
      <w:r>
        <w:t xml:space="preserve">prováděcích aktů </w:t>
      </w:r>
      <w:r w:rsidR="00A3271F">
        <w:t>k </w:t>
      </w:r>
      <w:r>
        <w:t xml:space="preserve">nedávno přijatému nařízení </w:t>
      </w:r>
      <w:r w:rsidR="00A3271F">
        <w:t>o </w:t>
      </w:r>
      <w:r>
        <w:t xml:space="preserve">kontrole rybolovu </w:t>
      </w:r>
      <w:r w:rsidR="00A3271F">
        <w:t>a </w:t>
      </w:r>
      <w:r>
        <w:t>k</w:t>
      </w:r>
      <w:r w:rsidR="00584303">
        <w:t> </w:t>
      </w:r>
      <w:r>
        <w:t xml:space="preserve">nařízením týkajícím se činností agentury; </w:t>
      </w:r>
      <w:bookmarkStart w:id="1" w:name="_Hlk219831144"/>
      <w:r>
        <w:t xml:space="preserve">připomíná, že je třeba odvětví při provádění tohoto rámce usměrňovat vytvořením projektů, které </w:t>
      </w:r>
      <w:proofErr w:type="gramStart"/>
      <w:r>
        <w:t>podpoří</w:t>
      </w:r>
      <w:proofErr w:type="gramEnd"/>
      <w:r>
        <w:t xml:space="preserve"> zúčastněné strany v</w:t>
      </w:r>
      <w:r w:rsidR="00584303">
        <w:t> </w:t>
      </w:r>
      <w:r>
        <w:t xml:space="preserve">odvětví rybolovu </w:t>
      </w:r>
      <w:r w:rsidR="00A3271F">
        <w:t>a </w:t>
      </w:r>
      <w:r>
        <w:t xml:space="preserve">správní orgány při přechodu na digitální nástroje </w:t>
      </w:r>
      <w:r w:rsidR="00A3271F">
        <w:t>a </w:t>
      </w:r>
      <w:r>
        <w:t>aktualizovaná pravidla;</w:t>
      </w:r>
      <w:bookmarkEnd w:id="1"/>
    </w:p>
    <w:p w14:paraId="0CF072DE" w14:textId="15217BD4" w:rsidR="000D6E61" w:rsidRPr="00F97D2C" w:rsidRDefault="000D6E61" w:rsidP="000D6E61">
      <w:pPr>
        <w:pStyle w:val="NormalHanging12a"/>
      </w:pPr>
      <w:r>
        <w:t>12.</w:t>
      </w:r>
      <w:r>
        <w:tab/>
        <w:t xml:space="preserve">zdůrazňuje proto, že agentura musí mít zaručeny dostupné finanční </w:t>
      </w:r>
      <w:r w:rsidR="00A3271F">
        <w:t>a </w:t>
      </w:r>
      <w:r>
        <w:t xml:space="preserve">lidské zdroje </w:t>
      </w:r>
      <w:r w:rsidR="00A3271F">
        <w:t>a </w:t>
      </w:r>
      <w:r>
        <w:t xml:space="preserve">že tyto zdroje musí odpovídat úkolům, které jí byly svěřeny, </w:t>
      </w:r>
      <w:r w:rsidR="00A3271F">
        <w:t>a </w:t>
      </w:r>
      <w:r>
        <w:t xml:space="preserve">činnostem, jež má provádět, </w:t>
      </w:r>
      <w:r w:rsidR="00A3271F">
        <w:t>a </w:t>
      </w:r>
      <w:r>
        <w:t xml:space="preserve">že je nutné zabránit dalšímu tlaku na práci zaměstnanců </w:t>
      </w:r>
      <w:r w:rsidR="00A3271F">
        <w:t>a </w:t>
      </w:r>
      <w:r>
        <w:t xml:space="preserve">na kvalitu jejich pracovních podmínek; vybízí agenturu, aby nadále usilovala </w:t>
      </w:r>
      <w:r w:rsidR="00A3271F">
        <w:t>o </w:t>
      </w:r>
      <w:r>
        <w:t>optimální čerpání přidělených prostředků;</w:t>
      </w:r>
    </w:p>
    <w:p w14:paraId="7F736EB5" w14:textId="2490B178" w:rsidR="000D6E61" w:rsidRPr="00F97D2C" w:rsidRDefault="000D6E61" w:rsidP="000D6E61">
      <w:pPr>
        <w:pStyle w:val="NormalHanging12a"/>
      </w:pPr>
      <w:r>
        <w:t>13.</w:t>
      </w:r>
      <w:r>
        <w:tab/>
        <w:t xml:space="preserve">vyzývá agenturu, aby podporovala členské státy při monitorování </w:t>
      </w:r>
      <w:r w:rsidR="00A3271F">
        <w:t>a </w:t>
      </w:r>
      <w:r>
        <w:t xml:space="preserve">odhalování závažných porušení předpisů ve smyslu nařízení (EU) 2023/2842, </w:t>
      </w:r>
      <w:r w:rsidR="00A3271F">
        <w:t>a </w:t>
      </w:r>
      <w:r>
        <w:t xml:space="preserve">zejména porušení předpisů uvedených </w:t>
      </w:r>
      <w:r w:rsidR="00A3271F">
        <w:t>v </w:t>
      </w:r>
      <w:r>
        <w:t xml:space="preserve">čl. 90 odst. 2 písm. p) týkajících se nucené práce; poukazuje na to, že je důležité poskytovat inspektorům EU odpovídající odbornou přípravu </w:t>
      </w:r>
      <w:r w:rsidR="00A3271F">
        <w:t>v </w:t>
      </w:r>
      <w:r>
        <w:t xml:space="preserve">oblasti sledování </w:t>
      </w:r>
      <w:r w:rsidR="00A3271F">
        <w:t>a </w:t>
      </w:r>
      <w:r>
        <w:t>odhalování závažných porušení předpisů;</w:t>
      </w:r>
    </w:p>
    <w:p w14:paraId="0A6B2193" w14:textId="7B9C8957" w:rsidR="000D6E61" w:rsidRPr="00F97D2C" w:rsidRDefault="000D6E61" w:rsidP="000D6E61">
      <w:pPr>
        <w:pStyle w:val="NormalHanging12a"/>
      </w:pPr>
      <w:r>
        <w:t>14.</w:t>
      </w:r>
      <w:r>
        <w:tab/>
        <w:t xml:space="preserve">konstatuje, že </w:t>
      </w:r>
      <w:r w:rsidR="00A3271F">
        <w:t>v </w:t>
      </w:r>
      <w:r>
        <w:t xml:space="preserve">roce 2024 agentura informovala </w:t>
      </w:r>
      <w:r w:rsidR="00A3271F">
        <w:t>o </w:t>
      </w:r>
      <w:r>
        <w:t xml:space="preserve">celkovém počtu 45 734 inspekcí, což ve srovnání </w:t>
      </w:r>
      <w:r w:rsidR="00A3271F">
        <w:t>s </w:t>
      </w:r>
      <w:r>
        <w:t xml:space="preserve">rokem 2023 představuje nárůst </w:t>
      </w:r>
      <w:r w:rsidR="00A3271F">
        <w:t>o </w:t>
      </w:r>
      <w:r>
        <w:t xml:space="preserve">1,65 %; zdůrazňuje, že ačkoli se počet inspekcí zvýšil, což svědčí </w:t>
      </w:r>
      <w:r w:rsidR="00A3271F">
        <w:t>o </w:t>
      </w:r>
      <w:r>
        <w:t xml:space="preserve">účinnějším přidělování zdrojů, ukazuje to také, že ve všech vodách EU je účinné monitorování </w:t>
      </w:r>
      <w:r w:rsidR="00A3271F">
        <w:t>a </w:t>
      </w:r>
      <w:r>
        <w:t xml:space="preserve">prosazování předpisů </w:t>
      </w:r>
      <w:r w:rsidR="00A3271F">
        <w:t>i </w:t>
      </w:r>
      <w:r>
        <w:t xml:space="preserve">nadále nezbytné; domnívá se, že 14% nárůst počtu inspekcí </w:t>
      </w:r>
      <w:r w:rsidR="00A3271F">
        <w:t>s </w:t>
      </w:r>
      <w:r>
        <w:t xml:space="preserve">alespoň jedním podezřením na porušení předpisů ve srovnání </w:t>
      </w:r>
      <w:r w:rsidR="00A3271F">
        <w:t>s </w:t>
      </w:r>
      <w:r>
        <w:t xml:space="preserve">rokem 2023 poskytuje cenné informace pro další posílení dodržování předpisů </w:t>
      </w:r>
      <w:r w:rsidR="00A3271F">
        <w:t>a </w:t>
      </w:r>
      <w:r>
        <w:t xml:space="preserve">zajištění účinného dohledu; zdůrazňuje, že agentura by měla pokračovat ve zvyšování objemu svých inspekčních činností </w:t>
      </w:r>
      <w:r w:rsidR="00A3271F">
        <w:t>s </w:t>
      </w:r>
      <w:r>
        <w:t xml:space="preserve">cílem posílit prosazování, chránit rybí populace </w:t>
      </w:r>
      <w:r w:rsidR="00A3271F">
        <w:t>a </w:t>
      </w:r>
      <w:r>
        <w:t>zajistit živobytí rybářů;</w:t>
      </w:r>
    </w:p>
    <w:p w14:paraId="4AF3B5C8" w14:textId="53410D05" w:rsidR="000D6E61" w:rsidRPr="00F97D2C" w:rsidRDefault="000D6E61" w:rsidP="000D6E61">
      <w:pPr>
        <w:pStyle w:val="NormalHanging12a"/>
      </w:pPr>
      <w:r>
        <w:t>15.</w:t>
      </w:r>
      <w:r>
        <w:tab/>
        <w:t xml:space="preserve">znovu potvrzuje náš závazek </w:t>
      </w:r>
      <w:r w:rsidR="00A3271F">
        <w:t>k </w:t>
      </w:r>
      <w:r>
        <w:t xml:space="preserve">mezinárodnímu systému založenému na pravidlech </w:t>
      </w:r>
      <w:r w:rsidR="00A3271F">
        <w:t>a </w:t>
      </w:r>
      <w:r>
        <w:t xml:space="preserve">zdůrazňuje důležitou úlohu Unie </w:t>
      </w:r>
      <w:r w:rsidR="00A3271F">
        <w:t>v </w:t>
      </w:r>
      <w:r>
        <w:t xml:space="preserve">mezinárodní správě oceánů </w:t>
      </w:r>
      <w:r w:rsidR="00A3271F">
        <w:t>a </w:t>
      </w:r>
      <w:r>
        <w:t xml:space="preserve">diplomacii </w:t>
      </w:r>
      <w:r w:rsidR="00A3271F">
        <w:t>v </w:t>
      </w:r>
      <w:r>
        <w:t xml:space="preserve">této oblasti; </w:t>
      </w:r>
      <w:r w:rsidR="00A3271F">
        <w:t>v </w:t>
      </w:r>
      <w:r>
        <w:t xml:space="preserve">tomto ohledu </w:t>
      </w:r>
      <w:r w:rsidR="00A3271F">
        <w:t>a v </w:t>
      </w:r>
      <w:r>
        <w:t xml:space="preserve">souvislosti </w:t>
      </w:r>
      <w:r w:rsidR="00A3271F">
        <w:t>s </w:t>
      </w:r>
      <w:r>
        <w:t xml:space="preserve">bojem proti nezákonnému, nehlášenému </w:t>
      </w:r>
      <w:r w:rsidR="00A3271F">
        <w:t>a </w:t>
      </w:r>
      <w:r>
        <w:t xml:space="preserve">neregulovanému rybolovu zdůrazňuje, že agentura hraje významnou roli při prosazování důslednějšího </w:t>
      </w:r>
      <w:r w:rsidR="00A3271F">
        <w:t>a </w:t>
      </w:r>
      <w:r>
        <w:t xml:space="preserve">jednotného uplatňování zavedených kontrolních systémů EU, jakož </w:t>
      </w:r>
      <w:r w:rsidR="00A3271F">
        <w:t>i </w:t>
      </w:r>
      <w:r>
        <w:t xml:space="preserve">spolupráce se třetími zeměmi </w:t>
      </w:r>
      <w:r w:rsidR="00A3271F">
        <w:t>s </w:t>
      </w:r>
      <w:r>
        <w:t xml:space="preserve">cílem přispět </w:t>
      </w:r>
      <w:r w:rsidR="00A3271F">
        <w:t>k </w:t>
      </w:r>
      <w:r>
        <w:t xml:space="preserve">posílení celosvětového řádu založeného na pravidlech </w:t>
      </w:r>
      <w:r w:rsidR="00A3271F">
        <w:t>a </w:t>
      </w:r>
      <w:r>
        <w:t xml:space="preserve">mimo jiné bojovat proti nezákonnému rybolovu </w:t>
      </w:r>
      <w:r w:rsidR="00A3271F">
        <w:t>a </w:t>
      </w:r>
      <w:r>
        <w:t>zajistit dodržování lidských práv, včetně sociálních práv, osob pracujících na rybářských plavidlech;</w:t>
      </w:r>
    </w:p>
    <w:p w14:paraId="02918809" w14:textId="330FB1FD" w:rsidR="000D6E61" w:rsidRPr="00F97D2C" w:rsidRDefault="000D6E61" w:rsidP="000D6E61">
      <w:pPr>
        <w:pStyle w:val="NormalHanging12a"/>
      </w:pPr>
      <w:r>
        <w:t>16.</w:t>
      </w:r>
      <w:r>
        <w:tab/>
        <w:t xml:space="preserve">zdůrazňuje, že důvěryhodnost systému mezinárodní správy udržitelného rybolovu založeného na pravidlech závisí rovněž na schopnosti Unie zaručit, že produkty rybolovu dovážené na evropský trh ze třetích zemí byly vyrobeny </w:t>
      </w:r>
      <w:r w:rsidR="00A3271F">
        <w:t>v </w:t>
      </w:r>
      <w:r>
        <w:t>souladu se stejnými požadavky, jaké platí pro loďstva EU; varuje před rizikem nekalé hospodářské soutěže, nebude-li tato soudržnost důsledně zajištěna;</w:t>
      </w:r>
    </w:p>
    <w:p w14:paraId="241C7499" w14:textId="43FB05F0" w:rsidR="000D6E61" w:rsidRPr="00F97D2C" w:rsidRDefault="000D6E61" w:rsidP="000D6E61">
      <w:pPr>
        <w:pStyle w:val="NormalHanging12a"/>
      </w:pPr>
      <w:r>
        <w:t>17.</w:t>
      </w:r>
      <w:r>
        <w:tab/>
        <w:t xml:space="preserve">vítá podporu, kterou agentura EFCA poskytuje činnosti Unie </w:t>
      </w:r>
      <w:r w:rsidR="00A3271F">
        <w:t>v </w:t>
      </w:r>
      <w:r>
        <w:t xml:space="preserve">rámci regionálních organizací pro řízení rybolovu </w:t>
      </w:r>
      <w:r w:rsidR="00A3271F">
        <w:t>a </w:t>
      </w:r>
      <w:r>
        <w:t xml:space="preserve">spolupráci se zeměmi mimo EU </w:t>
      </w:r>
      <w:r w:rsidR="00A3271F">
        <w:t>s </w:t>
      </w:r>
      <w:r>
        <w:t xml:space="preserve">cílem zlepšit dodržování předpisů, rovné podmínky </w:t>
      </w:r>
      <w:r w:rsidR="00A3271F">
        <w:t>a </w:t>
      </w:r>
      <w:r>
        <w:t xml:space="preserve">budování kapacit; zdůrazňuje klíčovou úlohu agentury, pokud jde </w:t>
      </w:r>
      <w:r w:rsidR="00A3271F">
        <w:t>o </w:t>
      </w:r>
      <w:r>
        <w:t>podporu členských států při koordinovaném sledování oblastí s</w:t>
      </w:r>
      <w:r w:rsidR="00584303">
        <w:t> </w:t>
      </w:r>
      <w:r>
        <w:t>omezením rybolovu, které zřídila Generální komise pro rybolov ve Středozemním moři (GFCM);</w:t>
      </w:r>
    </w:p>
    <w:p w14:paraId="72B1D551" w14:textId="1AA05725" w:rsidR="000D6E61" w:rsidRPr="00F97D2C" w:rsidRDefault="000D6E61" w:rsidP="000D6E61">
      <w:pPr>
        <w:pStyle w:val="NormalHanging12a"/>
      </w:pPr>
      <w:r>
        <w:t>18.</w:t>
      </w:r>
      <w:r>
        <w:tab/>
        <w:t xml:space="preserve">s uspokojením bere na vědomí pokračující spolupráci agentury s Evropskou agenturou pro pohraniční </w:t>
      </w:r>
      <w:r w:rsidR="00A3271F">
        <w:t>a </w:t>
      </w:r>
      <w:r>
        <w:t xml:space="preserve">pobřežní stráž (FRONTEX) </w:t>
      </w:r>
      <w:r w:rsidR="00A3271F">
        <w:t>a </w:t>
      </w:r>
      <w:r>
        <w:t xml:space="preserve">Evropskou agenturou pro námořní bezpečnost (EMSA) při podpoře vnitrostátních orgánů, které plní funkce pobřežní stráže </w:t>
      </w:r>
      <w:r w:rsidR="00A3271F">
        <w:t>v </w:t>
      </w:r>
      <w:r>
        <w:t xml:space="preserve">souladu s článkem 8 nařízení (EU) 2019/473; domnívá se, že tato spolupráce je vzorným příkladem spolupráce </w:t>
      </w:r>
      <w:r w:rsidR="00A3271F">
        <w:t>a </w:t>
      </w:r>
      <w:r>
        <w:t xml:space="preserve">součinnosti mezi agenturami Unie, který by měl být podporován </w:t>
      </w:r>
      <w:r w:rsidR="00A3271F">
        <w:t>a </w:t>
      </w:r>
      <w:r>
        <w:t xml:space="preserve">který by měl být inspirací pro agentury v dalších oblastech; vybízí agenturu, aby </w:t>
      </w:r>
      <w:r w:rsidR="00A3271F">
        <w:t>v </w:t>
      </w:r>
      <w:r>
        <w:t>tomto ohledu pokračovala ve svém úsilí;</w:t>
      </w:r>
    </w:p>
    <w:p w14:paraId="2B517D10" w14:textId="2FE0BF5B" w:rsidR="000D6E61" w:rsidRPr="00F97D2C" w:rsidRDefault="000D6E61" w:rsidP="000D6E61">
      <w:pPr>
        <w:pStyle w:val="NormalHanging12a"/>
      </w:pPr>
      <w:r>
        <w:t>19.</w:t>
      </w:r>
      <w:r>
        <w:tab/>
        <w:t xml:space="preserve">je přesvědčen </w:t>
      </w:r>
      <w:r w:rsidR="00A3271F">
        <w:t>o </w:t>
      </w:r>
      <w:r>
        <w:t xml:space="preserve">tom, že posílení spolupráce agentury s Evropskou agenturou pro životní prostředí (EEA), zejména pokud jde </w:t>
      </w:r>
      <w:r w:rsidR="00A3271F">
        <w:t>o </w:t>
      </w:r>
      <w:r>
        <w:t xml:space="preserve">sdílení údajů, </w:t>
      </w:r>
      <w:r w:rsidR="00A3271F">
        <w:t>a </w:t>
      </w:r>
      <w:r>
        <w:t xml:space="preserve">s Evropskou kosmickou agenturou (ESA) skýtá kumulativní výhody; </w:t>
      </w:r>
      <w:r w:rsidR="00A3271F">
        <w:t>v </w:t>
      </w:r>
      <w:r>
        <w:t xml:space="preserve">této souvislosti vítá uzavření memoranda </w:t>
      </w:r>
      <w:r w:rsidR="00A3271F">
        <w:t>o </w:t>
      </w:r>
      <w:r>
        <w:t xml:space="preserve">porozumění </w:t>
      </w:r>
      <w:r w:rsidR="00A3271F">
        <w:t>s </w:t>
      </w:r>
      <w:r>
        <w:t xml:space="preserve">agenturou EEA za účelem výměny informací, znalostí </w:t>
      </w:r>
      <w:r w:rsidR="00A3271F">
        <w:t>a </w:t>
      </w:r>
      <w:r>
        <w:t xml:space="preserve">provádění pilotních projektů na moři, zejména projektu zaměřeného na odpad </w:t>
      </w:r>
      <w:r w:rsidR="00A3271F">
        <w:t>v </w:t>
      </w:r>
      <w:r>
        <w:t xml:space="preserve">moři, včetně monitorování, vytahování, sběru </w:t>
      </w:r>
      <w:r w:rsidR="00A3271F">
        <w:t>a </w:t>
      </w:r>
      <w:r>
        <w:t xml:space="preserve">recyklace opuštěných nebo ztracených lovných zařízení </w:t>
      </w:r>
      <w:r w:rsidR="00A3271F">
        <w:t>v </w:t>
      </w:r>
      <w:r>
        <w:t>určených námořních oblastech;</w:t>
      </w:r>
    </w:p>
    <w:p w14:paraId="7037935F" w14:textId="20D785B5" w:rsidR="000D6E61" w:rsidRPr="00F97D2C" w:rsidRDefault="000D6E61" w:rsidP="000D6E61">
      <w:pPr>
        <w:pStyle w:val="NormalHanging12a"/>
      </w:pPr>
      <w:r>
        <w:t>20.</w:t>
      </w:r>
      <w:r>
        <w:tab/>
        <w:t xml:space="preserve">vyzdvihuje úlohu agentury při poskytování pomoci třetím zemím s budováním kapacit </w:t>
      </w:r>
      <w:r w:rsidR="00A3271F">
        <w:t>a </w:t>
      </w:r>
      <w:r>
        <w:t xml:space="preserve">odbornou přípravou </w:t>
      </w:r>
      <w:r w:rsidR="00A3271F">
        <w:t>a </w:t>
      </w:r>
      <w:r>
        <w:t>její zásadní význam při zajišťování rovných podmínek se všemi pobřežními státy;</w:t>
      </w:r>
    </w:p>
    <w:p w14:paraId="1F1D8512" w14:textId="1D069D2B" w:rsidR="000D6E61" w:rsidRPr="00F97D2C" w:rsidRDefault="000D6E61" w:rsidP="000D6E61">
      <w:pPr>
        <w:pStyle w:val="NormalHanging12a"/>
      </w:pPr>
      <w:r>
        <w:t>21.</w:t>
      </w:r>
      <w:r>
        <w:tab/>
        <w:t xml:space="preserve">konstatuje, že ačkoli nezákonný, nehlášený </w:t>
      </w:r>
      <w:r w:rsidR="00A3271F">
        <w:t>a </w:t>
      </w:r>
      <w:r>
        <w:t xml:space="preserve">neregulovaný rybolov zůstává ve vodách EU závažným problémem, cílená podpora </w:t>
      </w:r>
      <w:r w:rsidR="00A3271F">
        <w:t>a </w:t>
      </w:r>
      <w:r>
        <w:t xml:space="preserve">posílené kapacity mohou dodržování </w:t>
      </w:r>
      <w:r w:rsidR="00A3271F">
        <w:t>a </w:t>
      </w:r>
      <w:r>
        <w:t xml:space="preserve">prosazování předpisů zlepšit; zdůrazňuje proto, že agentura EFCA by měla </w:t>
      </w:r>
      <w:r w:rsidR="00A3271F">
        <w:t>i </w:t>
      </w:r>
      <w:r>
        <w:t xml:space="preserve">nadále posilovat odbornou přípravu </w:t>
      </w:r>
      <w:r w:rsidR="00A3271F">
        <w:t>a </w:t>
      </w:r>
      <w:r>
        <w:t xml:space="preserve">podporu vnitrostátních orgánů, inspektorů </w:t>
      </w:r>
      <w:r w:rsidR="00A3271F">
        <w:t>a </w:t>
      </w:r>
      <w:r>
        <w:t xml:space="preserve">místních pobřežních komunit EU </w:t>
      </w:r>
      <w:r w:rsidR="00A3271F">
        <w:t>s </w:t>
      </w:r>
      <w:r>
        <w:t xml:space="preserve">cílem lépe odhalovat nezákonné, nehlášené </w:t>
      </w:r>
      <w:r w:rsidR="00A3271F">
        <w:t>a </w:t>
      </w:r>
      <w:r>
        <w:t xml:space="preserve">neregulované rybolovné činnosti, předcházet jim </w:t>
      </w:r>
      <w:r w:rsidR="00A3271F">
        <w:t>a </w:t>
      </w:r>
      <w:r>
        <w:t>bojovat proti nim;</w:t>
      </w:r>
    </w:p>
    <w:p w14:paraId="4A86CA32" w14:textId="685B1646" w:rsidR="000D6E61" w:rsidRPr="00F97D2C" w:rsidRDefault="000D6E61" w:rsidP="000D6E61">
      <w:pPr>
        <w:pStyle w:val="NormalHanging12a"/>
      </w:pPr>
      <w:r>
        <w:t>22.</w:t>
      </w:r>
      <w:r>
        <w:tab/>
        <w:t xml:space="preserve">zdůrazňuje zásadní úlohu agentury při prosazování dodržování mezinárodních pravidel rybolovu </w:t>
      </w:r>
      <w:r w:rsidR="00A3271F">
        <w:t>a </w:t>
      </w:r>
      <w:r>
        <w:t xml:space="preserve">při zajišťování skutečně rovných podmínek mezi Unií </w:t>
      </w:r>
      <w:r w:rsidR="00A3271F">
        <w:t>a </w:t>
      </w:r>
      <w:r>
        <w:t xml:space="preserve">všemi pobřežními státy, zejména ve sdíleném nebo společně řízeném rybolovu; konstatuje, že koordinovaná spolupráce, </w:t>
      </w:r>
      <w:r w:rsidR="00A3271F">
        <w:t>a </w:t>
      </w:r>
      <w:r>
        <w:t xml:space="preserve">to jak na vnější úrovni, tak </w:t>
      </w:r>
      <w:r w:rsidR="00A3271F">
        <w:t>v </w:t>
      </w:r>
      <w:r>
        <w:t xml:space="preserve">rámci Unie, má zásadní význam pro zachování udržitelného rybolovu, podporu spravedlivé hospodářské soutěže </w:t>
      </w:r>
      <w:r w:rsidR="00A3271F">
        <w:t>a </w:t>
      </w:r>
      <w:r>
        <w:t xml:space="preserve">ochranu dlouhodobé sociální </w:t>
      </w:r>
      <w:r w:rsidR="00A3271F">
        <w:t>a </w:t>
      </w:r>
      <w:r>
        <w:t>ekonomické životaschopnosti našich pobřežních regionů;</w:t>
      </w:r>
    </w:p>
    <w:p w14:paraId="3007C505" w14:textId="725CD2F6" w:rsidR="000D6E61" w:rsidRPr="00F97D2C" w:rsidRDefault="000D6E61" w:rsidP="000D6E61">
      <w:pPr>
        <w:pStyle w:val="NormalHanging12a"/>
      </w:pPr>
      <w:r>
        <w:t>23.</w:t>
      </w:r>
      <w:r>
        <w:tab/>
        <w:t xml:space="preserve">konstatuje, že k 31. prosinci 2024 byl plán pracovních míst naplněn z 97 % – ze 77 dočasných zaměstnanců povolených </w:t>
      </w:r>
      <w:r w:rsidR="00A3271F">
        <w:t>v </w:t>
      </w:r>
      <w:r>
        <w:t xml:space="preserve">rámci rozpočtu Unie jich bylo jmenováno 75; bere na vědomí zvýšení výdajů na zaměstnance </w:t>
      </w:r>
      <w:r w:rsidR="00A3271F">
        <w:t>o </w:t>
      </w:r>
      <w:r>
        <w:t>6,7 % ve srovnání s rokem 2023;</w:t>
      </w:r>
    </w:p>
    <w:p w14:paraId="351E1706" w14:textId="2CEDB272" w:rsidR="000D6E61" w:rsidRPr="00F97D2C" w:rsidRDefault="000D6E61" w:rsidP="000D6E61">
      <w:pPr>
        <w:pStyle w:val="NormalHanging12a"/>
      </w:pPr>
      <w:r>
        <w:t>24.</w:t>
      </w:r>
      <w:r>
        <w:tab/>
        <w:t xml:space="preserve">zdůrazňuje závazek agentury zajistit rovné zacházení se všemi zaměstnanci </w:t>
      </w:r>
      <w:r w:rsidR="00A3271F">
        <w:t>a </w:t>
      </w:r>
      <w:r>
        <w:t xml:space="preserve">dosáhnout genderové rovnosti ve všech platových třídách </w:t>
      </w:r>
      <w:r w:rsidR="00A3271F">
        <w:t>a </w:t>
      </w:r>
      <w:r>
        <w:t xml:space="preserve">na všech úrovních odpovědnosti; vyjadřuje znepokojení nad tím, že </w:t>
      </w:r>
      <w:r w:rsidR="00A3271F">
        <w:t>v </w:t>
      </w:r>
      <w:r>
        <w:t xml:space="preserve">platových třídách AD 8 </w:t>
      </w:r>
      <w:r w:rsidR="00A3271F">
        <w:t>a </w:t>
      </w:r>
      <w:r>
        <w:t xml:space="preserve">vyšších jsou ženy nadále zastoupeny jen z 39 %, což je údaj, který se od roku 2021 nemění, ačkoli ženy představují 50 % všech zaměstnaných osob; konstatuje proto, že pro dosažení vyváženého zastoupení na úrovni vedení je nutné učinit více; znovu vyzývá agenturu, aby prováděla </w:t>
      </w:r>
      <w:r w:rsidR="00A3271F">
        <w:t>a </w:t>
      </w:r>
      <w:r>
        <w:t xml:space="preserve">posilovala svou strategii pro genderovou rovnost </w:t>
      </w:r>
      <w:r w:rsidR="00A3271F">
        <w:t>a </w:t>
      </w:r>
      <w:r>
        <w:t xml:space="preserve">politiku </w:t>
      </w:r>
      <w:proofErr w:type="spellStart"/>
      <w:r>
        <w:t>inkluzivnosti</w:t>
      </w:r>
      <w:proofErr w:type="spellEnd"/>
      <w:r>
        <w:t>;</w:t>
      </w:r>
    </w:p>
    <w:p w14:paraId="5E662296" w14:textId="078B1415" w:rsidR="000D6E61" w:rsidRPr="00F97D2C" w:rsidRDefault="000D6E61" w:rsidP="000D6E61">
      <w:pPr>
        <w:pStyle w:val="NormalHanging12a"/>
      </w:pPr>
      <w:r>
        <w:t>25.</w:t>
      </w:r>
      <w:r>
        <w:tab/>
        <w:t xml:space="preserve">znovu potvrzuje své přesvědčení, že nedostatečné financování </w:t>
      </w:r>
      <w:r w:rsidR="00A3271F">
        <w:t>a </w:t>
      </w:r>
      <w:r>
        <w:t xml:space="preserve">neexistence zvláštního účelově vázaného </w:t>
      </w:r>
      <w:r w:rsidR="00A3271F">
        <w:t>a </w:t>
      </w:r>
      <w:r>
        <w:t xml:space="preserve">autonomního fondu pro rybolov </w:t>
      </w:r>
      <w:r w:rsidR="00A3271F">
        <w:t>a </w:t>
      </w:r>
      <w:r>
        <w:t xml:space="preserve">akvakulturu </w:t>
      </w:r>
      <w:r w:rsidR="00A3271F">
        <w:t>v </w:t>
      </w:r>
      <w:r>
        <w:t xml:space="preserve">návrhu víceletého finančního rámce na období 2028–2034, který předložila Komise, ještě více znesnadní specializovanou spolupráci mezi agenturou </w:t>
      </w:r>
      <w:r w:rsidR="00A3271F">
        <w:t>a </w:t>
      </w:r>
      <w:r>
        <w:t xml:space="preserve">členskými státy; poukazuje na to, že nedostatek vyčleněných finančních prostředků by měl rovněž závažné negativní dopady na rybářské loďstvo EU </w:t>
      </w:r>
      <w:r w:rsidR="00A3271F">
        <w:t>a </w:t>
      </w:r>
      <w:r>
        <w:t xml:space="preserve">jeho schopnost zajistit soulad </w:t>
      </w:r>
      <w:r w:rsidR="00A3271F">
        <w:t>s </w:t>
      </w:r>
      <w:r>
        <w:t xml:space="preserve">revidovaným nařízením </w:t>
      </w:r>
      <w:r w:rsidR="00A3271F">
        <w:t>o </w:t>
      </w:r>
      <w:r>
        <w:t xml:space="preserve">kontrole rybolovu, </w:t>
      </w:r>
      <w:r w:rsidR="00A3271F">
        <w:t>a v </w:t>
      </w:r>
      <w:r>
        <w:t>důsledku toho by mohl ohrozit potřebné provádění společné rybářské politiky;</w:t>
      </w:r>
    </w:p>
    <w:p w14:paraId="0F49B36E" w14:textId="4E6E8F79" w:rsidR="000D6E61" w:rsidRPr="00F97D2C" w:rsidRDefault="000D6E61" w:rsidP="000D6E61">
      <w:pPr>
        <w:pStyle w:val="NormalHanging12a"/>
      </w:pPr>
      <w:r>
        <w:t>26.</w:t>
      </w:r>
      <w:r>
        <w:tab/>
        <w:t xml:space="preserve">je rovněž znepokojen tím, že nedostatek finančních prostředků vyčleněných </w:t>
      </w:r>
      <w:r w:rsidR="00A3271F">
        <w:t>v </w:t>
      </w:r>
      <w:r>
        <w:t xml:space="preserve">budoucím VFR na rybolov omezí možnosti agentury podporovat provádění SRP, zejména harmonizaci kontroly rybolovu členskými státy, oslabí boj proti nezákonnému, nehlášenému </w:t>
      </w:r>
      <w:r w:rsidR="00A3271F">
        <w:t>a </w:t>
      </w:r>
      <w:r>
        <w:t xml:space="preserve">neregulovanému rybolovu </w:t>
      </w:r>
      <w:r w:rsidR="00A3271F">
        <w:t>a </w:t>
      </w:r>
      <w:r>
        <w:t xml:space="preserve">ohrozí rovné podmínky pro loďstva EU </w:t>
      </w:r>
      <w:r w:rsidR="00A3271F">
        <w:t>a </w:t>
      </w:r>
      <w:r>
        <w:t xml:space="preserve">mezi loďstvy EU </w:t>
      </w:r>
      <w:r w:rsidR="00A3271F">
        <w:t>a </w:t>
      </w:r>
      <w:r>
        <w:t xml:space="preserve">loďstvy třetích zemí; vyjadřuje politování nad nedostatečným financováním, </w:t>
      </w:r>
      <w:r w:rsidR="00A3271F">
        <w:t>a </w:t>
      </w:r>
      <w:r>
        <w:t xml:space="preserve">vyzývá proto Komisi </w:t>
      </w:r>
      <w:r w:rsidR="00A3271F">
        <w:t>a </w:t>
      </w:r>
      <w:r>
        <w:t xml:space="preserve">členské státy, aby pro rozpočet agentury vyčlenily </w:t>
      </w:r>
      <w:r w:rsidR="00A3271F">
        <w:t>v </w:t>
      </w:r>
      <w:r>
        <w:t>příštím VFR takové částky, které budou ve stálých cenách přinejmenším ve stejné výši;</w:t>
      </w:r>
    </w:p>
    <w:p w14:paraId="19753BC2" w14:textId="77777777" w:rsidR="000D6E61" w:rsidRPr="00F97D2C" w:rsidRDefault="000D6E61" w:rsidP="000D6E61">
      <w:pPr>
        <w:pStyle w:val="NormalHanging12a"/>
      </w:pPr>
      <w:r>
        <w:t>27.</w:t>
      </w:r>
      <w:r>
        <w:tab/>
        <w:t>navrhuje udělit výkonné ředitelce agentury absolutorium za plnění rozpočtu agentury na rozpočtový rok 2024.</w:t>
      </w:r>
    </w:p>
    <w:p w14:paraId="51705EFD" w14:textId="77777777" w:rsidR="00973071" w:rsidRDefault="00973071">
      <w:pPr>
        <w:widowControl/>
      </w:pPr>
      <w:r>
        <w:br w:type="page"/>
      </w:r>
    </w:p>
    <w:p w14:paraId="0071C517" w14:textId="77777777" w:rsidR="00973071" w:rsidRDefault="00973071">
      <w:pPr>
        <w:widowControl/>
        <w:rPr>
          <w:rStyle w:val="HideTWBExt"/>
        </w:rPr>
        <w:sectPr w:rsidR="00973071" w:rsidSect="000D6E6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EC68AE0" w14:textId="27A2A9A5" w:rsidR="00973071" w:rsidRDefault="00973071">
      <w:pPr>
        <w:widowControl/>
        <w:rPr>
          <w:rStyle w:val="HideTWBExt"/>
        </w:rPr>
      </w:pPr>
    </w:p>
    <w:p w14:paraId="65B97194" w14:textId="34FA0991" w:rsidR="00973071" w:rsidRPr="00D7238E" w:rsidRDefault="00973071" w:rsidP="002B2C72">
      <w:pPr>
        <w:pStyle w:val="PageHeadingNotTOC"/>
      </w:pPr>
      <w:bookmarkStart w:id="2" w:name="FootprintPageAD"/>
      <w:r>
        <w:t>PŘÍLOHA: ZVEŘEJŇOVÁNÍ PODNĚTŮ</w:t>
      </w:r>
    </w:p>
    <w:p w14:paraId="16472025" w14:textId="5511FEB2" w:rsidR="00973071" w:rsidRPr="0099178F" w:rsidRDefault="00973071" w:rsidP="00037518">
      <w:pPr>
        <w:pStyle w:val="Normal24a"/>
      </w:pPr>
      <w:r>
        <w:rPr>
          <w:rStyle w:val="HideTWBExt"/>
        </w:rPr>
        <w:t>&lt;FootprintIntro&gt;</w:t>
      </w:r>
      <w:r>
        <w:t xml:space="preserve">Zpravodaj prohlašuje na svou výhradní odpovědnost, že do svého stanoviska nezahrnul podněty od zástupců zájmových skupin spadajících do oblasti působnosti interinstitucionální dohody </w:t>
      </w:r>
      <w:r w:rsidR="00A3271F">
        <w:t>o </w:t>
      </w:r>
      <w:r>
        <w:t>povinném rejstříku transparentnosti</w:t>
      </w:r>
      <w:r w:rsidR="009D3D4B">
        <w:rPr>
          <w:rStyle w:val="FootnoteReference"/>
        </w:rPr>
        <w:footnoteReference w:id="1"/>
      </w:r>
      <w:r>
        <w:t xml:space="preserve"> nebo představitelů orgánů třetích zemí, včetně jejich diplomatických misí </w:t>
      </w:r>
      <w:r w:rsidR="00A3271F">
        <w:t>a </w:t>
      </w:r>
      <w:r>
        <w:t xml:space="preserve">velvyslanectví, kteří musí být uvedeni </w:t>
      </w:r>
      <w:r w:rsidR="00A3271F">
        <w:t>v </w:t>
      </w:r>
      <w:r>
        <w:t xml:space="preserve">této příloze </w:t>
      </w:r>
      <w:r w:rsidR="00A3271F">
        <w:t>v </w:t>
      </w:r>
      <w:r>
        <w:t>souladu s</w:t>
      </w:r>
      <w:r w:rsidR="00456C3B">
        <w:t> </w:t>
      </w:r>
      <w:r>
        <w:t xml:space="preserve">článkem 8 přílohy </w:t>
      </w:r>
      <w:r w:rsidR="00A3271F">
        <w:t>I </w:t>
      </w:r>
      <w:r>
        <w:t>jednacího řádu.</w:t>
      </w:r>
      <w:r>
        <w:rPr>
          <w:rStyle w:val="HideTWBExt"/>
        </w:rPr>
        <w:t>&lt;/FootprintIntro&gt;</w:t>
      </w:r>
    </w:p>
    <w:p w14:paraId="4372BED3" w14:textId="77777777" w:rsidR="00973071" w:rsidRPr="00973071" w:rsidRDefault="00973071" w:rsidP="00973071"/>
    <w:bookmarkEnd w:id="2"/>
    <w:p w14:paraId="5D9698C4" w14:textId="31CA92E9" w:rsidR="00E05697" w:rsidRPr="009D3D4B" w:rsidRDefault="00E05697" w:rsidP="009D3D4B">
      <w:pPr>
        <w:pStyle w:val="NormalHanging12a"/>
      </w:pPr>
    </w:p>
    <w:p w14:paraId="1A91775F" w14:textId="77777777" w:rsidR="009D3D4B" w:rsidRPr="009D3D4B" w:rsidRDefault="009D3D4B" w:rsidP="009D3D4B">
      <w:pPr>
        <w:sectPr w:rsidR="009D3D4B" w:rsidRPr="009D3D4B" w:rsidSect="000D6E6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F146EE" w14:textId="3E3DC600" w:rsidR="009D3D4B" w:rsidRDefault="009D3D4B" w:rsidP="009D3D4B">
      <w:pPr>
        <w:pStyle w:val="PageHeadingNotTOC"/>
      </w:pPr>
      <w:bookmarkStart w:id="3" w:name="ProcPageAD"/>
      <w:r>
        <w:t xml:space="preserve">INFORMACE </w:t>
      </w:r>
      <w:r w:rsidR="00A3271F">
        <w:t>O </w:t>
      </w:r>
      <w:r>
        <w:t>PŘIJETÍ VÝBOREM POSKYTUJÍCÍM STANOVISKO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9D3D4B" w14:paraId="4EDF571D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23AD96D" w14:textId="77777777" w:rsidR="009D3D4B" w:rsidRDefault="009D3D4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6B3F094" w14:textId="77777777" w:rsidR="009D3D4B" w:rsidRDefault="009D3D4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02150A1" w14:textId="77777777" w:rsidR="009D3D4B" w:rsidRDefault="009D3D4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91F1BDC" w14:textId="77777777" w:rsidR="009D3D4B" w:rsidRDefault="009D3D4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97CAC00" w14:textId="77777777" w:rsidR="009D3D4B" w:rsidRDefault="009D3D4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9D3D4B" w14:paraId="77D76B46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91DC894" w14:textId="77777777" w:rsidR="009D3D4B" w:rsidRDefault="009D3D4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6A4B5D3" w14:textId="77777777" w:rsidR="009D3D4B" w:rsidRDefault="009D3D4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67E0343F" w14:textId="77777777" w:rsidR="009D3D4B" w:rsidRDefault="009D3D4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1F413180" w14:textId="77777777" w:rsidR="009D3D4B" w:rsidRDefault="009D3D4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314C276" w14:textId="77777777" w:rsidR="009D3D4B" w:rsidRDefault="009D3D4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</w:t>
            </w:r>
          </w:p>
          <w:p w14:paraId="6E74DCDD" w14:textId="77777777" w:rsidR="009D3D4B" w:rsidRDefault="009D3D4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  <w:p w14:paraId="144A0CBD" w14:textId="77777777" w:rsidR="009D3D4B" w:rsidRDefault="009D3D4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</w:tr>
    </w:tbl>
    <w:p w14:paraId="1E3B5A9C" w14:textId="77777777" w:rsidR="009D3D4B" w:rsidRDefault="009D3D4B"/>
    <w:bookmarkEnd w:id="3"/>
    <w:p w14:paraId="65F361D1" w14:textId="77777777" w:rsidR="000D6E61" w:rsidRDefault="000D6E61" w:rsidP="000D6E61">
      <w:pPr>
        <w:sectPr w:rsidR="000D6E61" w:rsidSect="000D6E61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7527FFE9" w14:textId="44FC70DB" w:rsidR="000D6E61" w:rsidRPr="000D6E61" w:rsidRDefault="000D6E61" w:rsidP="000D6E61"/>
    <w:p w14:paraId="4ADC13CD" w14:textId="6A4FC2E1" w:rsidR="000D6E61" w:rsidRPr="0099178F" w:rsidRDefault="000D6E61" w:rsidP="00C36610">
      <w:pPr>
        <w:pStyle w:val="PageHeadingNotTOC"/>
      </w:pPr>
      <w:bookmarkStart w:id="4" w:name="RollCallPageAD"/>
      <w:r>
        <w:t>JMENOVITÉ KONEČNÉ HLASOVÁNÍ VE VÝBORU POSKYTUJÍCÍM 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D6E61" w:rsidRPr="00F97D2C" w14:paraId="2A845BA7" w14:textId="77777777" w:rsidTr="001E7B9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0B521ED" w14:textId="77777777" w:rsidR="000D6E61" w:rsidRPr="00F97D2C" w:rsidRDefault="000D6E61" w:rsidP="001E7B9E">
            <w:pPr>
              <w:pStyle w:val="RollCallVotes"/>
            </w:pPr>
            <w:r>
              <w:t>21</w:t>
            </w:r>
          </w:p>
        </w:tc>
        <w:tc>
          <w:tcPr>
            <w:tcW w:w="7371" w:type="dxa"/>
            <w:shd w:val="pct10" w:color="000000" w:fill="FFFFFF"/>
          </w:tcPr>
          <w:p w14:paraId="5FE33565" w14:textId="77777777" w:rsidR="000D6E61" w:rsidRPr="00F97D2C" w:rsidRDefault="000D6E61" w:rsidP="001E7B9E">
            <w:pPr>
              <w:pStyle w:val="RollCallSymbols14pt"/>
            </w:pPr>
            <w:r>
              <w:t>+</w:t>
            </w:r>
          </w:p>
        </w:tc>
      </w:tr>
      <w:tr w:rsidR="000D6E61" w:rsidRPr="00F97D2C" w14:paraId="3FC2A0C5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32BCE817" w14:textId="77777777" w:rsidR="000D6E61" w:rsidRPr="00F97D2C" w:rsidRDefault="000D6E61" w:rsidP="001E7B9E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14208CB4" w14:textId="77777777" w:rsidR="000D6E61" w:rsidRPr="00F97D2C" w:rsidRDefault="000D6E61" w:rsidP="001E7B9E">
            <w:pPr>
              <w:pStyle w:val="RollCallTable"/>
            </w:pPr>
            <w:r>
              <w:t xml:space="preserve">Stephen Nikola </w:t>
            </w:r>
            <w:proofErr w:type="spellStart"/>
            <w:r>
              <w:t>Bartulica</w:t>
            </w:r>
            <w:proofErr w:type="spellEnd"/>
            <w:r>
              <w:t xml:space="preserve">, Nora </w:t>
            </w:r>
            <w:proofErr w:type="spellStart"/>
            <w:r>
              <w:t>Junco</w:t>
            </w:r>
            <w:proofErr w:type="spellEnd"/>
            <w:r>
              <w:t xml:space="preserve"> </w:t>
            </w:r>
            <w:proofErr w:type="spellStart"/>
            <w:r>
              <w:t>García</w:t>
            </w:r>
            <w:proofErr w:type="spellEnd"/>
            <w:r>
              <w:t xml:space="preserve">, Giuseppe </w:t>
            </w:r>
            <w:proofErr w:type="spellStart"/>
            <w:r>
              <w:t>Milazzo</w:t>
            </w:r>
            <w:proofErr w:type="spellEnd"/>
            <w:r>
              <w:t xml:space="preserve">, Bert-Jan </w:t>
            </w:r>
            <w:proofErr w:type="spellStart"/>
            <w:r>
              <w:t>Ruissen</w:t>
            </w:r>
            <w:proofErr w:type="spellEnd"/>
          </w:p>
        </w:tc>
      </w:tr>
      <w:tr w:rsidR="000D6E61" w:rsidRPr="00F97D2C" w14:paraId="62F9489E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289E7511" w14:textId="77777777" w:rsidR="000D6E61" w:rsidRPr="00F97D2C" w:rsidRDefault="000D6E61" w:rsidP="001E7B9E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61FDDC4C" w14:textId="77777777" w:rsidR="000D6E61" w:rsidRPr="00F97D2C" w:rsidRDefault="000D6E61" w:rsidP="001E7B9E">
            <w:pPr>
              <w:pStyle w:val="RollCallTable"/>
            </w:pPr>
            <w:r>
              <w:t xml:space="preserve">Carmen </w:t>
            </w:r>
            <w:proofErr w:type="spellStart"/>
            <w:r>
              <w:t>Crespo</w:t>
            </w:r>
            <w:proofErr w:type="spellEnd"/>
            <w:r>
              <w:t xml:space="preserve"> </w:t>
            </w:r>
            <w:proofErr w:type="spellStart"/>
            <w:r>
              <w:t>Díaz</w:t>
            </w:r>
            <w:proofErr w:type="spellEnd"/>
            <w:r>
              <w:t xml:space="preserve">, Marco </w:t>
            </w:r>
            <w:proofErr w:type="spellStart"/>
            <w:r>
              <w:t>Falcone</w:t>
            </w:r>
            <w:proofErr w:type="spellEnd"/>
            <w:r>
              <w:t xml:space="preserve">, Isabelle </w:t>
            </w:r>
            <w:proofErr w:type="spellStart"/>
            <w:r>
              <w:t>Le</w:t>
            </w:r>
            <w:proofErr w:type="spellEnd"/>
            <w:r>
              <w:t xml:space="preserve"> </w:t>
            </w:r>
            <w:proofErr w:type="spellStart"/>
            <w:r>
              <w:t>Callennec</w:t>
            </w:r>
            <w:proofErr w:type="spellEnd"/>
            <w:r>
              <w:t xml:space="preserve">, Francisco José </w:t>
            </w:r>
            <w:proofErr w:type="spellStart"/>
            <w:r>
              <w:t>Millán</w:t>
            </w:r>
            <w:proofErr w:type="spellEnd"/>
            <w:r>
              <w:t xml:space="preserve"> Mon, Jessica </w:t>
            </w:r>
            <w:proofErr w:type="spellStart"/>
            <w:r>
              <w:t>Polfjärd</w:t>
            </w:r>
            <w:proofErr w:type="spellEnd"/>
            <w:r>
              <w:t xml:space="preserve">, Sander </w:t>
            </w:r>
            <w:proofErr w:type="spellStart"/>
            <w:r>
              <w:t>Smit</w:t>
            </w:r>
            <w:proofErr w:type="spellEnd"/>
            <w:r>
              <w:t xml:space="preserve">, </w:t>
            </w:r>
            <w:proofErr w:type="spellStart"/>
            <w:r>
              <w:t>Željana</w:t>
            </w:r>
            <w:proofErr w:type="spellEnd"/>
            <w:r>
              <w:t xml:space="preserve"> </w:t>
            </w:r>
            <w:proofErr w:type="spellStart"/>
            <w:r>
              <w:t>Zovko</w:t>
            </w:r>
            <w:proofErr w:type="spellEnd"/>
          </w:p>
        </w:tc>
      </w:tr>
      <w:tr w:rsidR="000D6E61" w:rsidRPr="00F97D2C" w14:paraId="57383732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1063BCA7" w14:textId="77777777" w:rsidR="000D6E61" w:rsidRPr="00F97D2C" w:rsidRDefault="000D6E61" w:rsidP="001E7B9E">
            <w:pPr>
              <w:pStyle w:val="RollCallTable"/>
            </w:pPr>
            <w:proofErr w:type="spellStart"/>
            <w:r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D4911AE" w14:textId="77777777" w:rsidR="000D6E61" w:rsidRPr="00F97D2C" w:rsidRDefault="000D6E61" w:rsidP="001E7B9E">
            <w:pPr>
              <w:pStyle w:val="RollCallTable"/>
            </w:pPr>
            <w:proofErr w:type="spellStart"/>
            <w:r>
              <w:t>Barry</w:t>
            </w:r>
            <w:proofErr w:type="spellEnd"/>
            <w:r>
              <w:t xml:space="preserve"> </w:t>
            </w:r>
            <w:proofErr w:type="spellStart"/>
            <w:r>
              <w:t>Cowen</w:t>
            </w:r>
            <w:proofErr w:type="spellEnd"/>
            <w:r>
              <w:t xml:space="preserve">, </w:t>
            </w:r>
            <w:proofErr w:type="spellStart"/>
            <w:r>
              <w:t>Elsi</w:t>
            </w:r>
            <w:proofErr w:type="spellEnd"/>
            <w:r>
              <w:t xml:space="preserve"> </w:t>
            </w:r>
            <w:proofErr w:type="spellStart"/>
            <w:r>
              <w:t>Katainen</w:t>
            </w:r>
            <w:proofErr w:type="spellEnd"/>
            <w:r>
              <w:t xml:space="preserve">, </w:t>
            </w:r>
            <w:proofErr w:type="spellStart"/>
            <w:r>
              <w:t>Ciaran</w:t>
            </w:r>
            <w:proofErr w:type="spellEnd"/>
            <w:r>
              <w:t xml:space="preserve"> </w:t>
            </w:r>
            <w:proofErr w:type="spellStart"/>
            <w:r>
              <w:t>Mullooly</w:t>
            </w:r>
            <w:proofErr w:type="spellEnd"/>
          </w:p>
        </w:tc>
      </w:tr>
      <w:tr w:rsidR="000D6E61" w:rsidRPr="00F97D2C" w14:paraId="764CC4BA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22AA6417" w14:textId="77777777" w:rsidR="000D6E61" w:rsidRPr="00F97D2C" w:rsidRDefault="000D6E61" w:rsidP="001E7B9E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7DCE818C" w14:textId="77777777" w:rsidR="000D6E61" w:rsidRPr="00F97D2C" w:rsidRDefault="000D6E61" w:rsidP="001E7B9E">
            <w:pPr>
              <w:pStyle w:val="RollCallTable"/>
            </w:pPr>
            <w:proofErr w:type="spellStart"/>
            <w:r>
              <w:t>Sakis</w:t>
            </w:r>
            <w:proofErr w:type="spellEnd"/>
            <w:r>
              <w:t xml:space="preserve"> </w:t>
            </w:r>
            <w:proofErr w:type="spellStart"/>
            <w:r>
              <w:t>Arnaoutoglou</w:t>
            </w:r>
            <w:proofErr w:type="spellEnd"/>
            <w:r>
              <w:t xml:space="preserve">, Thomas </w:t>
            </w:r>
            <w:proofErr w:type="spellStart"/>
            <w:r>
              <w:t>Bajada</w:t>
            </w:r>
            <w:proofErr w:type="spellEnd"/>
            <w:r>
              <w:t xml:space="preserve">, Giuseppe Lupo, André </w:t>
            </w:r>
            <w:proofErr w:type="spellStart"/>
            <w:r>
              <w:t>Rodrigues</w:t>
            </w:r>
            <w:proofErr w:type="spellEnd"/>
            <w:r>
              <w:t xml:space="preserve">, Eric </w:t>
            </w:r>
            <w:proofErr w:type="spellStart"/>
            <w:r>
              <w:t>Sargiacomo</w:t>
            </w:r>
            <w:proofErr w:type="spellEnd"/>
          </w:p>
        </w:tc>
      </w:tr>
      <w:tr w:rsidR="000D6E61" w:rsidRPr="00F97D2C" w14:paraId="1F0A6970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7A2410EC" w14:textId="77777777" w:rsidR="000D6E61" w:rsidRPr="00F97D2C" w:rsidRDefault="000D6E61" w:rsidP="001E7B9E">
            <w:pPr>
              <w:pStyle w:val="RollCallTable"/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4AA2997" w14:textId="77777777" w:rsidR="000D6E61" w:rsidRPr="00F97D2C" w:rsidRDefault="000D6E61" w:rsidP="001E7B9E">
            <w:pPr>
              <w:pStyle w:val="RollCallTable"/>
            </w:pPr>
            <w:r>
              <w:t xml:space="preserve">Luke Ming </w:t>
            </w:r>
            <w:proofErr w:type="spellStart"/>
            <w:r>
              <w:t>Flanagan</w:t>
            </w:r>
            <w:proofErr w:type="spellEnd"/>
          </w:p>
        </w:tc>
      </w:tr>
      <w:tr w:rsidR="000D6E61" w:rsidRPr="00F97D2C" w14:paraId="709AE482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6D7BB085" w14:textId="77777777" w:rsidR="000D6E61" w:rsidRPr="00F97D2C" w:rsidRDefault="000D6E61" w:rsidP="001E7B9E">
            <w:pPr>
              <w:pStyle w:val="RollCallTable"/>
            </w:pPr>
            <w:proofErr w:type="spellStart"/>
            <w:r>
              <w:t>Verts</w:t>
            </w:r>
            <w:proofErr w:type="spellEnd"/>
            <w:r>
              <w:t>/ALE</w:t>
            </w:r>
          </w:p>
        </w:tc>
        <w:tc>
          <w:tcPr>
            <w:tcW w:w="7371" w:type="dxa"/>
            <w:shd w:val="clear" w:color="auto" w:fill="FFFFFF"/>
          </w:tcPr>
          <w:p w14:paraId="3D2FDF6B" w14:textId="77777777" w:rsidR="000D6E61" w:rsidRPr="00F97D2C" w:rsidRDefault="000D6E61" w:rsidP="001E7B9E">
            <w:pPr>
              <w:pStyle w:val="RollCallTable"/>
            </w:pPr>
            <w:r>
              <w:t>Ana Miranda Paz</w:t>
            </w:r>
          </w:p>
        </w:tc>
      </w:tr>
    </w:tbl>
    <w:p w14:paraId="013D4ADD" w14:textId="77777777" w:rsidR="000D6E61" w:rsidRPr="00F97D2C" w:rsidRDefault="000D6E61" w:rsidP="000D6E61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D6E61" w:rsidRPr="00F97D2C" w14:paraId="75757BA9" w14:textId="77777777" w:rsidTr="001E7B9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76DA8AC" w14:textId="77777777" w:rsidR="000D6E61" w:rsidRPr="00F97D2C" w:rsidRDefault="000D6E61" w:rsidP="001E7B9E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14:paraId="34ECA4A7" w14:textId="77777777" w:rsidR="000D6E61" w:rsidRPr="00F97D2C" w:rsidRDefault="000D6E61" w:rsidP="001E7B9E">
            <w:pPr>
              <w:pStyle w:val="RollCallSymbols14pt"/>
            </w:pPr>
            <w:r>
              <w:t>-</w:t>
            </w:r>
          </w:p>
        </w:tc>
      </w:tr>
      <w:tr w:rsidR="000D6E61" w:rsidRPr="00F97D2C" w14:paraId="7E9D6D6F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3715F48C" w14:textId="77777777" w:rsidR="000D6E61" w:rsidRPr="00F97D2C" w:rsidRDefault="000D6E61" w:rsidP="001E7B9E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14:paraId="6053818A" w14:textId="77777777" w:rsidR="000D6E61" w:rsidRPr="00F97D2C" w:rsidRDefault="000D6E61" w:rsidP="001E7B9E">
            <w:pPr>
              <w:pStyle w:val="RollCallTable"/>
            </w:pPr>
            <w:proofErr w:type="spellStart"/>
            <w:r>
              <w:t>Siegbert</w:t>
            </w:r>
            <w:proofErr w:type="spellEnd"/>
            <w:r>
              <w:t xml:space="preserve"> Frank </w:t>
            </w:r>
            <w:proofErr w:type="spellStart"/>
            <w:r>
              <w:t>Droese</w:t>
            </w:r>
            <w:proofErr w:type="spellEnd"/>
          </w:p>
        </w:tc>
      </w:tr>
      <w:tr w:rsidR="000D6E61" w:rsidRPr="00F97D2C" w14:paraId="20100353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787C4783" w14:textId="77777777" w:rsidR="000D6E61" w:rsidRPr="00F97D2C" w:rsidRDefault="000D6E61" w:rsidP="001E7B9E">
            <w:pPr>
              <w:pStyle w:val="RollCallTable"/>
            </w:pPr>
            <w:proofErr w:type="spellStart"/>
            <w:r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2D06719" w14:textId="77777777" w:rsidR="000D6E61" w:rsidRPr="00F97D2C" w:rsidRDefault="000D6E61" w:rsidP="001E7B9E">
            <w:pPr>
              <w:pStyle w:val="RollCallTable"/>
            </w:pPr>
            <w:r>
              <w:t xml:space="preserve">France </w:t>
            </w:r>
            <w:proofErr w:type="spellStart"/>
            <w:r>
              <w:t>Jamet</w:t>
            </w:r>
            <w:proofErr w:type="spellEnd"/>
          </w:p>
        </w:tc>
      </w:tr>
    </w:tbl>
    <w:p w14:paraId="215C4771" w14:textId="77777777" w:rsidR="000D6E61" w:rsidRPr="00F97D2C" w:rsidRDefault="000D6E61" w:rsidP="000D6E61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D6E61" w:rsidRPr="00F97D2C" w14:paraId="1D74BB6C" w14:textId="77777777" w:rsidTr="001E7B9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6C2D8E0B" w14:textId="77777777" w:rsidR="000D6E61" w:rsidRPr="00F97D2C" w:rsidRDefault="000D6E61" w:rsidP="001E7B9E">
            <w:pPr>
              <w:pStyle w:val="RollCallVotes"/>
            </w:pPr>
            <w:r>
              <w:t>4</w:t>
            </w:r>
          </w:p>
        </w:tc>
        <w:tc>
          <w:tcPr>
            <w:tcW w:w="7371" w:type="dxa"/>
            <w:shd w:val="pct10" w:color="000000" w:fill="FFFFFF"/>
          </w:tcPr>
          <w:p w14:paraId="2AAF2D97" w14:textId="77777777" w:rsidR="000D6E61" w:rsidRPr="00F97D2C" w:rsidRDefault="000D6E61" w:rsidP="001E7B9E">
            <w:pPr>
              <w:pStyle w:val="RollCallSymbols14pt"/>
            </w:pPr>
            <w:r>
              <w:t>0</w:t>
            </w:r>
          </w:p>
        </w:tc>
      </w:tr>
      <w:tr w:rsidR="000D6E61" w:rsidRPr="00F97D2C" w14:paraId="55F8EC61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2246CF3D" w14:textId="77777777" w:rsidR="000D6E61" w:rsidRPr="00F97D2C" w:rsidRDefault="000D6E61" w:rsidP="001E7B9E">
            <w:pPr>
              <w:pStyle w:val="RollCallTable"/>
            </w:pPr>
            <w:proofErr w:type="spellStart"/>
            <w:r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1189290F" w14:textId="77777777" w:rsidR="000D6E61" w:rsidRPr="00F97D2C" w:rsidRDefault="000D6E61" w:rsidP="001E7B9E">
            <w:pPr>
              <w:pStyle w:val="RollCallTable"/>
            </w:pPr>
            <w:r>
              <w:t xml:space="preserve">Ton </w:t>
            </w:r>
            <w:proofErr w:type="spellStart"/>
            <w:r>
              <w:t>Diepeveen</w:t>
            </w:r>
            <w:proofErr w:type="spellEnd"/>
            <w:r>
              <w:t xml:space="preserve">, </w:t>
            </w:r>
            <w:proofErr w:type="spellStart"/>
            <w:r>
              <w:t>António</w:t>
            </w:r>
            <w:proofErr w:type="spellEnd"/>
            <w:r>
              <w:t xml:space="preserve"> </w:t>
            </w:r>
            <w:proofErr w:type="spellStart"/>
            <w:r>
              <w:t>Tânger</w:t>
            </w:r>
            <w:proofErr w:type="spellEnd"/>
            <w:r>
              <w:t xml:space="preserve"> </w:t>
            </w:r>
            <w:proofErr w:type="spellStart"/>
            <w:r>
              <w:t>Corrêa</w:t>
            </w:r>
            <w:proofErr w:type="spellEnd"/>
          </w:p>
        </w:tc>
      </w:tr>
      <w:tr w:rsidR="000D6E61" w:rsidRPr="00F97D2C" w14:paraId="05732297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49912D77" w14:textId="77777777" w:rsidR="000D6E61" w:rsidRPr="00F97D2C" w:rsidRDefault="000D6E61" w:rsidP="001E7B9E">
            <w:pPr>
              <w:pStyle w:val="RollCallTable"/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6189FB1B" w14:textId="77777777" w:rsidR="000D6E61" w:rsidRPr="00F97D2C" w:rsidRDefault="000D6E61" w:rsidP="001E7B9E">
            <w:pPr>
              <w:pStyle w:val="RollCallTable"/>
            </w:pPr>
            <w:r>
              <w:t xml:space="preserve">Emma </w:t>
            </w:r>
            <w:proofErr w:type="spellStart"/>
            <w:r>
              <w:t>Fourreau</w:t>
            </w:r>
            <w:proofErr w:type="spellEnd"/>
          </w:p>
        </w:tc>
      </w:tr>
      <w:tr w:rsidR="000D6E61" w:rsidRPr="00F97D2C" w14:paraId="0BD2988F" w14:textId="77777777" w:rsidTr="001E7B9E">
        <w:trPr>
          <w:cantSplit/>
        </w:trPr>
        <w:tc>
          <w:tcPr>
            <w:tcW w:w="1701" w:type="dxa"/>
            <w:shd w:val="clear" w:color="auto" w:fill="FFFFFF"/>
          </w:tcPr>
          <w:p w14:paraId="2D029DEC" w14:textId="77777777" w:rsidR="000D6E61" w:rsidRPr="00F97D2C" w:rsidRDefault="000D6E61" w:rsidP="001E7B9E">
            <w:pPr>
              <w:pStyle w:val="RollCallTable"/>
            </w:pPr>
            <w:proofErr w:type="spellStart"/>
            <w:r>
              <w:t>Verts</w:t>
            </w:r>
            <w:proofErr w:type="spellEnd"/>
            <w:r>
              <w:t>/ALE</w:t>
            </w:r>
          </w:p>
        </w:tc>
        <w:tc>
          <w:tcPr>
            <w:tcW w:w="7371" w:type="dxa"/>
            <w:shd w:val="clear" w:color="auto" w:fill="FFFFFF"/>
          </w:tcPr>
          <w:p w14:paraId="587140DF" w14:textId="77777777" w:rsidR="000D6E61" w:rsidRPr="00F97D2C" w:rsidRDefault="000D6E61" w:rsidP="001E7B9E">
            <w:pPr>
              <w:pStyle w:val="RollCallTable"/>
            </w:pPr>
            <w:r>
              <w:t xml:space="preserve">Isabella </w:t>
            </w:r>
            <w:proofErr w:type="spellStart"/>
            <w:r>
              <w:t>Lövin</w:t>
            </w:r>
            <w:proofErr w:type="spellEnd"/>
          </w:p>
        </w:tc>
      </w:tr>
    </w:tbl>
    <w:p w14:paraId="65C92C73" w14:textId="77777777" w:rsidR="000D6E61" w:rsidRDefault="000D6E61" w:rsidP="00147FBF">
      <w:pPr>
        <w:pStyle w:val="Normal12a"/>
      </w:pPr>
    </w:p>
    <w:p w14:paraId="71BB143C" w14:textId="07A8CC9F" w:rsidR="000D6E61" w:rsidRDefault="000D6E61" w:rsidP="00B735E3">
      <w:r>
        <w:t>Význam zkratek:</w:t>
      </w:r>
    </w:p>
    <w:p w14:paraId="3104478C" w14:textId="38BD1604" w:rsidR="000D6E61" w:rsidRDefault="000D6E61" w:rsidP="003858C5">
      <w:pPr>
        <w:pStyle w:val="RollCallTabs"/>
      </w:pPr>
      <w:r>
        <w:t>+</w:t>
      </w:r>
      <w:r>
        <w:tab/>
        <w:t>:</w:t>
      </w:r>
      <w:r>
        <w:tab/>
        <w:t>pro</w:t>
      </w:r>
    </w:p>
    <w:p w14:paraId="0C39822E" w14:textId="7B8DB543" w:rsidR="000D6E61" w:rsidRDefault="000D6E61" w:rsidP="003858C5">
      <w:pPr>
        <w:pStyle w:val="RollCallTabs"/>
      </w:pPr>
      <w:r>
        <w:t>-</w:t>
      </w:r>
      <w:r>
        <w:tab/>
        <w:t>:</w:t>
      </w:r>
      <w:r>
        <w:tab/>
        <w:t>proti</w:t>
      </w:r>
    </w:p>
    <w:p w14:paraId="1543DAA8" w14:textId="0A1FA267" w:rsidR="000D6E61" w:rsidRDefault="000D6E61" w:rsidP="003858C5">
      <w:pPr>
        <w:pStyle w:val="RollCallTabs"/>
      </w:pPr>
      <w:r>
        <w:t>0</w:t>
      </w:r>
      <w:r>
        <w:tab/>
        <w:t>:</w:t>
      </w:r>
      <w:r>
        <w:tab/>
        <w:t>zdrželi se</w:t>
      </w:r>
    </w:p>
    <w:p w14:paraId="67281E7E" w14:textId="77777777" w:rsidR="000D6E61" w:rsidRDefault="000D6E61" w:rsidP="00207509"/>
    <w:bookmarkEnd w:id="4"/>
    <w:p w14:paraId="6E203DE5" w14:textId="77777777" w:rsidR="009D3D4B" w:rsidRPr="000D6E61" w:rsidRDefault="009D3D4B" w:rsidP="009D3D4B"/>
    <w:sectPr w:rsidR="009D3D4B" w:rsidRPr="000D6E61" w:rsidSect="000D6E61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77D79" w14:textId="77777777" w:rsidR="001F3CDD" w:rsidRPr="001F3CDD" w:rsidRDefault="001F3CDD">
      <w:r w:rsidRPr="001F3CDD">
        <w:separator/>
      </w:r>
    </w:p>
  </w:endnote>
  <w:endnote w:type="continuationSeparator" w:id="0">
    <w:p w14:paraId="4829535E" w14:textId="77777777" w:rsidR="001F3CDD" w:rsidRPr="001F3CDD" w:rsidRDefault="001F3CDD">
      <w:r w:rsidRPr="001F3C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E8209" w14:textId="77777777" w:rsidR="009D3D4B" w:rsidRDefault="009D3D4B" w:rsidP="009D3D4B">
    <w:pPr>
      <w:pStyle w:val="EPFooter"/>
    </w:pPr>
    <w:r>
      <w:t>PE</w:t>
    </w:r>
    <w:r w:rsidRPr="009D3D4B">
      <w:rPr>
        <w:rStyle w:val="HideTWBExt"/>
      </w:rPr>
      <w:t>&lt;NoPE&gt;</w:t>
    </w:r>
    <w:r>
      <w:t>779.547</w:t>
    </w:r>
    <w:r w:rsidRPr="009D3D4B">
      <w:rPr>
        <w:rStyle w:val="HideTWBExt"/>
      </w:rPr>
      <w:t>&lt;/NoPE&gt;&lt;Version&gt;</w:t>
    </w:r>
    <w:r>
      <w:t>v02-00</w:t>
    </w:r>
    <w:r w:rsidRPr="009D3D4B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6</w:t>
    </w:r>
    <w:r>
      <w:fldChar w:fldCharType="end"/>
    </w:r>
    <w:r>
      <w:t>/</w:t>
    </w:r>
    <w:r w:rsidR="00A3271F">
      <w:fldChar w:fldCharType="begin"/>
    </w:r>
    <w:r w:rsidR="00A3271F">
      <w:instrText xml:space="preserve"> NUMPAGES  \* MERGEFORMAT </w:instrText>
    </w:r>
    <w:r w:rsidR="00A3271F">
      <w:fldChar w:fldCharType="separate"/>
    </w:r>
    <w:r>
      <w:rPr>
        <w:noProof/>
      </w:rPr>
      <w:t>6</w:t>
    </w:r>
    <w:r w:rsidR="00A3271F">
      <w:rPr>
        <w:noProof/>
      </w:rPr>
      <w:fldChar w:fldCharType="end"/>
    </w:r>
    <w:r>
      <w:tab/>
    </w:r>
    <w:r w:rsidRPr="009D3D4B">
      <w:rPr>
        <w:rStyle w:val="HideTWBExt"/>
      </w:rPr>
      <w:t>&lt;PathFdR&gt;</w:t>
    </w:r>
    <w:r>
      <w:t>AD\1336056CS.docx</w:t>
    </w:r>
    <w:r w:rsidRPr="009D3D4B">
      <w:rPr>
        <w:rStyle w:val="HideTWBExt"/>
      </w:rPr>
      <w:t>&lt;/PathFdR&gt;</w:t>
    </w:r>
  </w:p>
  <w:p w14:paraId="5B66B784" w14:textId="739B2E5A" w:rsidR="00C75378" w:rsidRPr="001F3CDD" w:rsidRDefault="009D3D4B" w:rsidP="009D3D4B">
    <w:pPr>
      <w:pStyle w:val="EPFooter2"/>
    </w:pPr>
    <w:r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6295D" w14:textId="77777777" w:rsidR="009D3D4B" w:rsidRDefault="009D3D4B" w:rsidP="009D3D4B">
    <w:pPr>
      <w:pStyle w:val="EPFooter"/>
    </w:pPr>
    <w:r w:rsidRPr="009D3D4B">
      <w:rPr>
        <w:rStyle w:val="HideTWBExt"/>
      </w:rPr>
      <w:t>&lt;PathFdR&gt;</w:t>
    </w:r>
    <w:r>
      <w:t>AD\1336056CS.docx</w:t>
    </w:r>
    <w:r w:rsidRPr="009D3D4B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5</w:t>
    </w:r>
    <w:r>
      <w:fldChar w:fldCharType="end"/>
    </w:r>
    <w:r>
      <w:t>/</w:t>
    </w:r>
    <w:r w:rsidR="00A3271F">
      <w:fldChar w:fldCharType="begin"/>
    </w:r>
    <w:r w:rsidR="00A3271F">
      <w:instrText xml:space="preserve"> NUMPAGES  \* MERGEFORMAT </w:instrText>
    </w:r>
    <w:r w:rsidR="00A3271F">
      <w:fldChar w:fldCharType="separate"/>
    </w:r>
    <w:r>
      <w:rPr>
        <w:noProof/>
      </w:rPr>
      <w:t>6</w:t>
    </w:r>
    <w:r w:rsidR="00A3271F">
      <w:rPr>
        <w:noProof/>
      </w:rPr>
      <w:fldChar w:fldCharType="end"/>
    </w:r>
    <w:r>
      <w:tab/>
      <w:t>PE</w:t>
    </w:r>
    <w:r w:rsidRPr="009D3D4B">
      <w:rPr>
        <w:rStyle w:val="HideTWBExt"/>
      </w:rPr>
      <w:t>&lt;NoPE&gt;</w:t>
    </w:r>
    <w:r>
      <w:t>779.547</w:t>
    </w:r>
    <w:r w:rsidRPr="009D3D4B">
      <w:rPr>
        <w:rStyle w:val="HideTWBExt"/>
      </w:rPr>
      <w:t>&lt;/NoPE&gt;&lt;Version&gt;</w:t>
    </w:r>
    <w:r>
      <w:t>v02-00</w:t>
    </w:r>
    <w:r w:rsidRPr="009D3D4B">
      <w:rPr>
        <w:rStyle w:val="HideTWBExt"/>
      </w:rPr>
      <w:t>&lt;/Version&gt;</w:t>
    </w:r>
  </w:p>
  <w:p w14:paraId="536D0AAA" w14:textId="42150E34" w:rsidR="00C75378" w:rsidRPr="001F3CDD" w:rsidRDefault="009D3D4B" w:rsidP="009D3D4B">
    <w:pPr>
      <w:pStyle w:val="EPFooter2"/>
    </w:pPr>
    <w:r>
      <w:tab/>
    </w:r>
    <w:r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49C3F" w14:textId="77777777" w:rsidR="009D3D4B" w:rsidRDefault="009D3D4B" w:rsidP="009D3D4B">
    <w:pPr>
      <w:pStyle w:val="EPFooter"/>
    </w:pPr>
    <w:r w:rsidRPr="009D3D4B">
      <w:rPr>
        <w:rStyle w:val="HideTWBExt"/>
      </w:rPr>
      <w:t>&lt;PathFdR&gt;</w:t>
    </w:r>
    <w:r>
      <w:t>AD\1336056CS.docx</w:t>
    </w:r>
    <w:r w:rsidRPr="009D3D4B">
      <w:rPr>
        <w:rStyle w:val="HideTWBExt"/>
      </w:rPr>
      <w:t>&lt;/PathFdR&gt;</w:t>
    </w:r>
    <w:r>
      <w:tab/>
    </w:r>
    <w:r>
      <w:tab/>
      <w:t>PE</w:t>
    </w:r>
    <w:r w:rsidRPr="009D3D4B">
      <w:rPr>
        <w:rStyle w:val="HideTWBExt"/>
      </w:rPr>
      <w:t>&lt;NoPE&gt;</w:t>
    </w:r>
    <w:r>
      <w:t>779.547</w:t>
    </w:r>
    <w:r w:rsidRPr="009D3D4B">
      <w:rPr>
        <w:rStyle w:val="HideTWBExt"/>
      </w:rPr>
      <w:t>&lt;/NoPE&gt;&lt;Version&gt;</w:t>
    </w:r>
    <w:r>
      <w:t>v02-00</w:t>
    </w:r>
    <w:r w:rsidRPr="009D3D4B">
      <w:rPr>
        <w:rStyle w:val="HideTWBExt"/>
      </w:rPr>
      <w:t>&lt;/Version&gt;</w:t>
    </w:r>
  </w:p>
  <w:p w14:paraId="1AA3C6B2" w14:textId="5B4319E3" w:rsidR="00C75378" w:rsidRPr="001F3CDD" w:rsidRDefault="009D3D4B" w:rsidP="009D3D4B">
    <w:pPr>
      <w:pStyle w:val="EPFooter2"/>
    </w:pPr>
    <w:r>
      <w:t>CS</w:t>
    </w:r>
    <w:r>
      <w:tab/>
    </w:r>
    <w:r w:rsidRPr="009D3D4B">
      <w:rPr>
        <w:b w:val="0"/>
        <w:i/>
        <w:color w:val="C0C0C0"/>
        <w:sz w:val="22"/>
      </w:rPr>
      <w:t>Jednotná v rozmanitosti</w:t>
    </w:r>
    <w:r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43A1F" w14:textId="77777777" w:rsidR="001F3CDD" w:rsidRPr="001F3CDD" w:rsidRDefault="001F3CDD">
      <w:r w:rsidRPr="001F3CDD">
        <w:separator/>
      </w:r>
    </w:p>
  </w:footnote>
  <w:footnote w:type="continuationSeparator" w:id="0">
    <w:p w14:paraId="55C8BC3A" w14:textId="77777777" w:rsidR="001F3CDD" w:rsidRPr="001F3CDD" w:rsidRDefault="001F3CDD">
      <w:r w:rsidRPr="001F3CDD">
        <w:continuationSeparator/>
      </w:r>
    </w:p>
  </w:footnote>
  <w:footnote w:id="1">
    <w:p w14:paraId="41064754" w14:textId="7AF2982C" w:rsidR="009D3D4B" w:rsidRDefault="009D3D4B">
      <w:pPr>
        <w:pStyle w:val="FootnoteText"/>
      </w:pPr>
      <w:r>
        <w:rPr>
          <w:rStyle w:val="FootnoteReference"/>
        </w:rPr>
        <w:footnoteRef/>
      </w:r>
      <w:r>
        <w:t xml:space="preserve"> Interinstitucionální dohoda ze dne 20. května 2021 mezi Evropským parlamentem, Radou Evropské unie a Evropskou komisí o povinném rejstříku transparentnosti (Úř. věst. L 207, 11.6.2021, s. 1, ELI: </w:t>
      </w:r>
      <w:hyperlink r:id="rId1" w:history="1">
        <w:r>
          <w:rPr>
            <w:rStyle w:val="Hyperlink"/>
            <w:sz w:val="24"/>
          </w:rPr>
          <w:t>http://data.europa.eu/eli/agree_interinstit/2021/611/oj</w:t>
        </w:r>
      </w:hyperlink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25903" w14:textId="77777777" w:rsidR="000D6E61" w:rsidRDefault="000D6E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1AA76" w14:textId="77777777" w:rsidR="000D6E61" w:rsidRDefault="000D6E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F7641" w14:textId="77777777" w:rsidR="000D6E61" w:rsidRDefault="000D6E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9758999">
    <w:abstractNumId w:val="9"/>
  </w:num>
  <w:num w:numId="2" w16cid:durableId="93092863">
    <w:abstractNumId w:val="9"/>
  </w:num>
  <w:num w:numId="3" w16cid:durableId="216671518">
    <w:abstractNumId w:val="7"/>
  </w:num>
  <w:num w:numId="4" w16cid:durableId="1569881656">
    <w:abstractNumId w:val="7"/>
  </w:num>
  <w:num w:numId="5" w16cid:durableId="1602645973">
    <w:abstractNumId w:val="6"/>
  </w:num>
  <w:num w:numId="6" w16cid:durableId="827988221">
    <w:abstractNumId w:val="6"/>
  </w:num>
  <w:num w:numId="7" w16cid:durableId="1909218881">
    <w:abstractNumId w:val="5"/>
  </w:num>
  <w:num w:numId="8" w16cid:durableId="185608195">
    <w:abstractNumId w:val="5"/>
  </w:num>
  <w:num w:numId="9" w16cid:durableId="587735043">
    <w:abstractNumId w:val="4"/>
  </w:num>
  <w:num w:numId="10" w16cid:durableId="1227717758">
    <w:abstractNumId w:val="4"/>
  </w:num>
  <w:num w:numId="11" w16cid:durableId="1030684785">
    <w:abstractNumId w:val="8"/>
  </w:num>
  <w:num w:numId="12" w16cid:durableId="1612980218">
    <w:abstractNumId w:val="8"/>
  </w:num>
  <w:num w:numId="13" w16cid:durableId="1153109512">
    <w:abstractNumId w:val="3"/>
  </w:num>
  <w:num w:numId="14" w16cid:durableId="220404164">
    <w:abstractNumId w:val="3"/>
  </w:num>
  <w:num w:numId="15" w16cid:durableId="1436051887">
    <w:abstractNumId w:val="2"/>
  </w:num>
  <w:num w:numId="16" w16cid:durableId="718364163">
    <w:abstractNumId w:val="2"/>
  </w:num>
  <w:num w:numId="17" w16cid:durableId="324209417">
    <w:abstractNumId w:val="1"/>
  </w:num>
  <w:num w:numId="18" w16cid:durableId="1094089825">
    <w:abstractNumId w:val="1"/>
  </w:num>
  <w:num w:numId="19" w16cid:durableId="229000039">
    <w:abstractNumId w:val="0"/>
  </w:num>
  <w:num w:numId="20" w16cid:durableId="2043048273">
    <w:abstractNumId w:val="0"/>
  </w:num>
  <w:num w:numId="21" w16cid:durableId="742028602">
    <w:abstractNumId w:val="9"/>
  </w:num>
  <w:num w:numId="22" w16cid:durableId="736437737">
    <w:abstractNumId w:val="7"/>
  </w:num>
  <w:num w:numId="23" w16cid:durableId="958148199">
    <w:abstractNumId w:val="6"/>
  </w:num>
  <w:num w:numId="24" w16cid:durableId="714235027">
    <w:abstractNumId w:val="5"/>
  </w:num>
  <w:num w:numId="25" w16cid:durableId="1464348044">
    <w:abstractNumId w:val="4"/>
  </w:num>
  <w:num w:numId="26" w16cid:durableId="1485387434">
    <w:abstractNumId w:val="8"/>
  </w:num>
  <w:num w:numId="27" w16cid:durableId="894700222">
    <w:abstractNumId w:val="3"/>
  </w:num>
  <w:num w:numId="28" w16cid:durableId="670446726">
    <w:abstractNumId w:val="2"/>
  </w:num>
  <w:num w:numId="29" w16cid:durableId="1894734007">
    <w:abstractNumId w:val="1"/>
  </w:num>
  <w:num w:numId="30" w16cid:durableId="2029405447">
    <w:abstractNumId w:val="0"/>
  </w:num>
  <w:num w:numId="31" w16cid:durableId="2143158969">
    <w:abstractNumId w:val="9"/>
  </w:num>
  <w:num w:numId="32" w16cid:durableId="1699424607">
    <w:abstractNumId w:val="7"/>
  </w:num>
  <w:num w:numId="33" w16cid:durableId="476411279">
    <w:abstractNumId w:val="6"/>
  </w:num>
  <w:num w:numId="34" w16cid:durableId="928856874">
    <w:abstractNumId w:val="5"/>
  </w:num>
  <w:num w:numId="35" w16cid:durableId="450707032">
    <w:abstractNumId w:val="4"/>
  </w:num>
  <w:num w:numId="36" w16cid:durableId="925650701">
    <w:abstractNumId w:val="8"/>
  </w:num>
  <w:num w:numId="37" w16cid:durableId="152845022">
    <w:abstractNumId w:val="3"/>
  </w:num>
  <w:num w:numId="38" w16cid:durableId="2041467386">
    <w:abstractNumId w:val="2"/>
  </w:num>
  <w:num w:numId="39" w16cid:durableId="848375429">
    <w:abstractNumId w:val="1"/>
  </w:num>
  <w:num w:numId="40" w16cid:durableId="622155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1"/>
    <w:docVar w:name="COMKEY" w:val="PECH"/>
    <w:docVar w:name="CONTRIBUTIONMNU" w:val=" 2"/>
    <w:docVar w:name="DOCDT" w:val="10/11/2025"/>
    <w:docVar w:name="FONCTIONMNU" w:val=" 1"/>
    <w:docVar w:name="LastEditedSection" w:val=" 4"/>
    <w:docVar w:name="PARTCOUNT" w:val="0"/>
    <w:docVar w:name="strDocTypeID" w:val="PA_NonLegDec"/>
    <w:docVar w:name="strSubDir" w:val="1336"/>
    <w:docVar w:name="TITLEMNU" w:val=" 1"/>
    <w:docVar w:name="TXTAUTHOR" w:val="Giuseppe Lupo"/>
    <w:docVar w:name="TXTBUDYEAR" w:val="2024"/>
    <w:docVar w:name="TXTLANGUE" w:val="CS"/>
    <w:docVar w:name="TXTLANGUEMIN" w:val="cs"/>
    <w:docVar w:name="TXTNRPE" w:val="779.547"/>
    <w:docVar w:name="TXTNRPROC" w:val="2025/2156"/>
    <w:docVar w:name="TXTPEorAP" w:val="PE"/>
    <w:docVar w:name="TXTROUTE" w:val="AD\1336056CS.docx"/>
    <w:docVar w:name="TXTVERSION" w:val="02-00"/>
  </w:docVars>
  <w:rsids>
    <w:rsidRoot w:val="001F3CDD"/>
    <w:rsid w:val="000048A8"/>
    <w:rsid w:val="00007A18"/>
    <w:rsid w:val="00062634"/>
    <w:rsid w:val="000A05CA"/>
    <w:rsid w:val="000B6C4B"/>
    <w:rsid w:val="000D001F"/>
    <w:rsid w:val="000D099F"/>
    <w:rsid w:val="000D6E61"/>
    <w:rsid w:val="000E6813"/>
    <w:rsid w:val="000F07FE"/>
    <w:rsid w:val="0012458B"/>
    <w:rsid w:val="001275F4"/>
    <w:rsid w:val="001A455F"/>
    <w:rsid w:val="001F2766"/>
    <w:rsid w:val="001F3CDD"/>
    <w:rsid w:val="001F6ED8"/>
    <w:rsid w:val="00212D35"/>
    <w:rsid w:val="00245C7F"/>
    <w:rsid w:val="00271180"/>
    <w:rsid w:val="002A4AC9"/>
    <w:rsid w:val="002B2892"/>
    <w:rsid w:val="002B77AD"/>
    <w:rsid w:val="002C0EE6"/>
    <w:rsid w:val="002C34AE"/>
    <w:rsid w:val="002E2F2E"/>
    <w:rsid w:val="00307C14"/>
    <w:rsid w:val="003707A7"/>
    <w:rsid w:val="00385BAB"/>
    <w:rsid w:val="0039003E"/>
    <w:rsid w:val="00396FA9"/>
    <w:rsid w:val="003B72FC"/>
    <w:rsid w:val="003D684B"/>
    <w:rsid w:val="003E06CF"/>
    <w:rsid w:val="003E35FB"/>
    <w:rsid w:val="003F3B83"/>
    <w:rsid w:val="00431E30"/>
    <w:rsid w:val="00456C3B"/>
    <w:rsid w:val="00487232"/>
    <w:rsid w:val="00495CA4"/>
    <w:rsid w:val="004A34E6"/>
    <w:rsid w:val="004C28FB"/>
    <w:rsid w:val="004E54DC"/>
    <w:rsid w:val="004F48ED"/>
    <w:rsid w:val="00514664"/>
    <w:rsid w:val="0053326D"/>
    <w:rsid w:val="0055017A"/>
    <w:rsid w:val="00561D94"/>
    <w:rsid w:val="00577018"/>
    <w:rsid w:val="005779E7"/>
    <w:rsid w:val="00584303"/>
    <w:rsid w:val="005D0786"/>
    <w:rsid w:val="005D61B0"/>
    <w:rsid w:val="005E3670"/>
    <w:rsid w:val="00600DC9"/>
    <w:rsid w:val="00643F39"/>
    <w:rsid w:val="0066728C"/>
    <w:rsid w:val="006819E0"/>
    <w:rsid w:val="0071319E"/>
    <w:rsid w:val="00722749"/>
    <w:rsid w:val="007D53A5"/>
    <w:rsid w:val="008055AA"/>
    <w:rsid w:val="00806587"/>
    <w:rsid w:val="008818A9"/>
    <w:rsid w:val="008C6240"/>
    <w:rsid w:val="008E7494"/>
    <w:rsid w:val="008F36CD"/>
    <w:rsid w:val="008F7002"/>
    <w:rsid w:val="0095301E"/>
    <w:rsid w:val="0095497D"/>
    <w:rsid w:val="009669A8"/>
    <w:rsid w:val="00972FD8"/>
    <w:rsid w:val="00973071"/>
    <w:rsid w:val="00977F76"/>
    <w:rsid w:val="0098140C"/>
    <w:rsid w:val="009A33F4"/>
    <w:rsid w:val="009A403C"/>
    <w:rsid w:val="009A47C2"/>
    <w:rsid w:val="009B5265"/>
    <w:rsid w:val="009D3D4B"/>
    <w:rsid w:val="00A2041C"/>
    <w:rsid w:val="00A3271F"/>
    <w:rsid w:val="00A722B1"/>
    <w:rsid w:val="00A8267E"/>
    <w:rsid w:val="00A93570"/>
    <w:rsid w:val="00A9617A"/>
    <w:rsid w:val="00AA1A2C"/>
    <w:rsid w:val="00AA223C"/>
    <w:rsid w:val="00AF77DA"/>
    <w:rsid w:val="00B107A4"/>
    <w:rsid w:val="00B1441B"/>
    <w:rsid w:val="00B362F7"/>
    <w:rsid w:val="00B779F4"/>
    <w:rsid w:val="00B900B7"/>
    <w:rsid w:val="00BB2AC1"/>
    <w:rsid w:val="00C04938"/>
    <w:rsid w:val="00C175C0"/>
    <w:rsid w:val="00C47E30"/>
    <w:rsid w:val="00C54F53"/>
    <w:rsid w:val="00C75378"/>
    <w:rsid w:val="00CA0D01"/>
    <w:rsid w:val="00CF7076"/>
    <w:rsid w:val="00D41244"/>
    <w:rsid w:val="00D438D0"/>
    <w:rsid w:val="00D44697"/>
    <w:rsid w:val="00D47632"/>
    <w:rsid w:val="00D625A2"/>
    <w:rsid w:val="00D71751"/>
    <w:rsid w:val="00D759AA"/>
    <w:rsid w:val="00DA7632"/>
    <w:rsid w:val="00E01434"/>
    <w:rsid w:val="00E05697"/>
    <w:rsid w:val="00E12435"/>
    <w:rsid w:val="00E3462E"/>
    <w:rsid w:val="00E729C7"/>
    <w:rsid w:val="00E83B40"/>
    <w:rsid w:val="00E9601C"/>
    <w:rsid w:val="00EA78B3"/>
    <w:rsid w:val="00EB19AA"/>
    <w:rsid w:val="00EB3DDD"/>
    <w:rsid w:val="00EC2C85"/>
    <w:rsid w:val="00F036E0"/>
    <w:rsid w:val="00F129D0"/>
    <w:rsid w:val="00F46E44"/>
    <w:rsid w:val="00F611FC"/>
    <w:rsid w:val="00F61E8C"/>
    <w:rsid w:val="00F707AB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BE01C"/>
  <w15:chartTrackingRefBased/>
  <w15:docId w15:val="{C710F512-6E65-416F-A9BC-59D0D6390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customStyle="1" w:styleId="Normal24a">
    <w:name w:val="Normal24a"/>
    <w:basedOn w:val="Normal"/>
    <w:rsid w:val="00973071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973071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97307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73071"/>
    <w:rPr>
      <w:szCs w:val="24"/>
    </w:rPr>
  </w:style>
  <w:style w:type="paragraph" w:styleId="FootnoteText">
    <w:name w:val="footnote text"/>
    <w:basedOn w:val="Normal"/>
    <w:link w:val="FootnoteTextChar"/>
    <w:rsid w:val="00973071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73071"/>
    <w:rPr>
      <w:lang w:val="cs-CZ"/>
    </w:rPr>
  </w:style>
  <w:style w:type="character" w:styleId="FootnoteReference">
    <w:name w:val="footnote reference"/>
    <w:basedOn w:val="DefaultParagraphFont"/>
    <w:rsid w:val="00973071"/>
    <w:rPr>
      <w:vertAlign w:val="superscript"/>
    </w:rPr>
  </w:style>
  <w:style w:type="character" w:styleId="Hyperlink">
    <w:name w:val="Hyperlink"/>
    <w:basedOn w:val="DefaultParagraphFont"/>
    <w:rsid w:val="00973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07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EB3D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B3DDD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0D6E61"/>
    <w:rPr>
      <w:sz w:val="24"/>
    </w:rPr>
  </w:style>
  <w:style w:type="paragraph" w:customStyle="1" w:styleId="RollCallSymbols14pt">
    <w:name w:val="RollCallSymbols14pt"/>
    <w:basedOn w:val="Normal"/>
    <w:rsid w:val="000D6E6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D6E6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D6E6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D6E61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1987</Words>
  <Characters>12717</Characters>
  <Application>Microsoft Office Word</Application>
  <DocSecurity>0</DocSecurity>
  <Lines>363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2026-02-10T09:59:00Z</dcterms:created>
  <dcterms:modified xsi:type="dcterms:W3CDTF">2026-02-10T09:59:00Z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10.2.0 Build [20251001]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1336056</vt:lpwstr>
  </property>
  <property fmtid="{D5CDD505-2E9C-101B-9397-08002B2CF9AE}" pid="6" name="&lt;Type&gt;">
    <vt:lpwstr>AD</vt:lpwstr>
  </property>
  <property fmtid="{D5CDD505-2E9C-101B-9397-08002B2CF9AE}" pid="7" name="&lt;ModelCod&gt;">
    <vt:lpwstr>\\eiciLUXpr1\pdocep$\DocEP\DOCS\General\PA\PA_NonLeg\PA_NonLegDec.dotx(08/11/2024 09:44:10)</vt:lpwstr>
  </property>
  <property fmtid="{D5CDD505-2E9C-101B-9397-08002B2CF9AE}" pid="8" name="&lt;ModelTra&gt;">
    <vt:lpwstr>\\eiciLUXpr1\pdocep$\DocEP\TRANSFIL\CS\PA_NonLegDec.CS(22/01/2025 13:17:00)</vt:lpwstr>
  </property>
  <property fmtid="{D5CDD505-2E9C-101B-9397-08002B2CF9AE}" pid="9" name="&lt;Model&gt;">
    <vt:lpwstr>PA_NonLegDec</vt:lpwstr>
  </property>
  <property fmtid="{D5CDD505-2E9C-101B-9397-08002B2CF9AE}" pid="10" name="FooterPath">
    <vt:lpwstr>AD\1336056CS.docx</vt:lpwstr>
  </property>
  <property fmtid="{D5CDD505-2E9C-101B-9397-08002B2CF9AE}" pid="11" name="PE number">
    <vt:lpwstr>779.547</vt:lpwstr>
  </property>
  <property fmtid="{D5CDD505-2E9C-101B-9397-08002B2CF9AE}" pid="12" name="SDLStudio">
    <vt:lpwstr/>
  </property>
  <property fmtid="{D5CDD505-2E9C-101B-9397-08002B2CF9AE}" pid="13" name="Bookout">
    <vt:lpwstr>OK - 2026/02/10 09:51</vt:lpwstr>
  </property>
</Properties>
</file>