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B9433D" w14:paraId="05A75A0C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30C0078" w14:textId="77777777" w:rsidR="004F48ED" w:rsidRPr="00081B01" w:rsidRDefault="001401C1" w:rsidP="00C85D0F">
            <w:pPr>
              <w:pStyle w:val="EPName"/>
            </w:pPr>
            <w:r>
              <w:t>Parlament Ewropew</w:t>
            </w:r>
          </w:p>
          <w:p w14:paraId="6E7AC672" w14:textId="77777777" w:rsidR="004F48ED" w:rsidRPr="00081B01" w:rsidRDefault="001401C1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71BEEDC" w14:textId="77777777" w:rsidR="004F48ED" w:rsidRPr="00081B01" w:rsidRDefault="001401C1" w:rsidP="00C85D0F">
            <w:pPr>
              <w:pStyle w:val="EPLogo"/>
            </w:pPr>
            <w:r w:rsidRPr="00081B01">
              <w:rPr>
                <w:noProof/>
                <w:lang w:eastAsia="ja-JP"/>
              </w:rPr>
              <w:drawing>
                <wp:inline distT="0" distB="0" distL="0" distR="0" wp14:anchorId="43677366" wp14:editId="72C2E20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363609" w14:textId="77777777" w:rsidR="00E9601C" w:rsidRPr="00081B01" w:rsidRDefault="00E9601C" w:rsidP="00E9601C">
      <w:pPr>
        <w:pStyle w:val="LineTop"/>
      </w:pPr>
    </w:p>
    <w:p w14:paraId="3AC3A92C" w14:textId="77777777" w:rsidR="00E9601C" w:rsidRPr="00081B01" w:rsidRDefault="001401C1" w:rsidP="00E9601C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{PECH}</w:t>
      </w:r>
      <w:r>
        <w:t>Kumitat għas-Sajd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14:paraId="7F3DD5C6" w14:textId="77777777" w:rsidR="00E9601C" w:rsidRPr="00081B01" w:rsidRDefault="00E9601C" w:rsidP="00E9601C">
      <w:pPr>
        <w:pStyle w:val="LineBottom"/>
      </w:pPr>
    </w:p>
    <w:p w14:paraId="023EFE86" w14:textId="77777777" w:rsidR="004E54DC" w:rsidRPr="00081B01" w:rsidRDefault="001401C1" w:rsidP="004E54DC">
      <w:pPr>
        <w:pStyle w:val="CoverReference"/>
      </w:pPr>
      <w:r>
        <w:rPr>
          <w:rStyle w:val="HideTWBExt"/>
          <w:b w:val="0"/>
        </w:rPr>
        <w:t>&lt;RefProc&gt;</w:t>
      </w:r>
      <w:r>
        <w:t>2025/2156</w:t>
      </w:r>
      <w:r>
        <w:rPr>
          <w:rStyle w:val="HideTWBExt"/>
          <w:b w:val="0"/>
        </w:rPr>
        <w:t>&lt;/RefProc&gt;&lt;RefTypeProc&gt;</w:t>
      </w:r>
      <w:r>
        <w:t>(DEC)</w:t>
      </w:r>
      <w:r>
        <w:rPr>
          <w:rStyle w:val="HideTWBExt"/>
          <w:b w:val="0"/>
        </w:rPr>
        <w:t>&lt;/RefTypeProc&gt;</w:t>
      </w:r>
    </w:p>
    <w:p w14:paraId="45B71C3E" w14:textId="77777777" w:rsidR="002E2F2E" w:rsidRPr="00081B01" w:rsidRDefault="001401C1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{27/01/2026}</w:t>
      </w:r>
      <w:r>
        <w:t>27.1.2026</w:t>
      </w:r>
      <w:r>
        <w:rPr>
          <w:rStyle w:val="HideTWBExt"/>
        </w:rPr>
        <w:t>&lt;/Date&gt;</w:t>
      </w:r>
    </w:p>
    <w:p w14:paraId="1CC34DE5" w14:textId="77777777" w:rsidR="002E2F2E" w:rsidRPr="00081B01" w:rsidRDefault="001401C1">
      <w:pPr>
        <w:pStyle w:val="CoverDocType24a"/>
      </w:pPr>
      <w:r>
        <w:rPr>
          <w:rStyle w:val="HideTWBExt"/>
          <w:b w:val="0"/>
        </w:rPr>
        <w:t>&lt;TitreType&gt;</w:t>
      </w:r>
      <w:r>
        <w:t>OPINJONI</w:t>
      </w:r>
      <w:r>
        <w:rPr>
          <w:rStyle w:val="HideTWBExt"/>
          <w:b w:val="0"/>
        </w:rPr>
        <w:t>&lt;/TitreType&gt;</w:t>
      </w:r>
    </w:p>
    <w:p w14:paraId="0B900CBB" w14:textId="77777777" w:rsidR="002E2F2E" w:rsidRPr="00081B01" w:rsidRDefault="001401C1">
      <w:pPr>
        <w:pStyle w:val="CoverNormal24a"/>
      </w:pPr>
      <w:r>
        <w:rPr>
          <w:rStyle w:val="HideTWBExt"/>
        </w:rPr>
        <w:t>&lt;CommissionResp&gt;</w:t>
      </w:r>
      <w:r>
        <w:t xml:space="preserve">tal-Kumitat </w:t>
      </w:r>
      <w:r>
        <w:t>għas-Sajd</w:t>
      </w:r>
      <w:r>
        <w:rPr>
          <w:rStyle w:val="HideTWBExt"/>
        </w:rPr>
        <w:t>&lt;/CommissionResp&gt;</w:t>
      </w:r>
    </w:p>
    <w:p w14:paraId="304520CD" w14:textId="77777777" w:rsidR="002E2F2E" w:rsidRPr="00081B01" w:rsidRDefault="001401C1" w:rsidP="0095497D">
      <w:pPr>
        <w:pStyle w:val="CoverNormal24a"/>
      </w:pPr>
      <w:r>
        <w:rPr>
          <w:rStyle w:val="HideTWBExt"/>
        </w:rPr>
        <w:t>&lt;CommissionInt&gt;</w:t>
      </w:r>
      <w:r>
        <w:t>għall-Kumitat għall-Kontroll tal-Baġit</w:t>
      </w:r>
      <w:r>
        <w:rPr>
          <w:rStyle w:val="HideTWBExt"/>
        </w:rPr>
        <w:t>&lt;/CommissionInt&gt;</w:t>
      </w:r>
    </w:p>
    <w:p w14:paraId="67081B28" w14:textId="77777777" w:rsidR="004D04D6" w:rsidRPr="00F97D2C" w:rsidRDefault="001401C1" w:rsidP="004D04D6">
      <w:pPr>
        <w:pStyle w:val="CoverNormal"/>
      </w:pPr>
      <w:r>
        <w:rPr>
          <w:rStyle w:val="HideTWBExt"/>
        </w:rPr>
        <w:t>&lt;Titre&gt;</w:t>
      </w:r>
      <w:r>
        <w:t>dwar il-kwittanza għall-implimentazzjoni tal-baġit tal-Aġenziji tal-Unjoni Ewropea għas-sena finanzjarja 2024</w:t>
      </w:r>
      <w:r>
        <w:rPr>
          <w:rStyle w:val="HideTWBExt"/>
        </w:rPr>
        <w:t>&lt;/Titre&gt;</w:t>
      </w:r>
    </w:p>
    <w:p w14:paraId="3D06C0B2" w14:textId="77777777" w:rsidR="002E2F2E" w:rsidRPr="00081B01" w:rsidRDefault="001401C1" w:rsidP="004D04D6">
      <w:pPr>
        <w:pStyle w:val="CoverNormal24a"/>
      </w:pPr>
      <w:r>
        <w:rPr>
          <w:rStyle w:val="HideTWBExt"/>
        </w:rPr>
        <w:t>&lt;DocRef&gt;</w:t>
      </w:r>
      <w:r>
        <w:t>(2025/2156(DEC))</w:t>
      </w:r>
      <w:r>
        <w:rPr>
          <w:rStyle w:val="HideTWBExt"/>
        </w:rPr>
        <w:t>&lt;/DocRef&gt;</w:t>
      </w:r>
    </w:p>
    <w:p w14:paraId="471B4D79" w14:textId="77777777" w:rsidR="002E2F2E" w:rsidRPr="00081B01" w:rsidRDefault="001401C1">
      <w:pPr>
        <w:pStyle w:val="CoverNormal24a"/>
      </w:pPr>
      <w:r>
        <w:t xml:space="preserve">Rapporteur għal opinjoni: </w:t>
      </w:r>
      <w:r>
        <w:rPr>
          <w:rStyle w:val="HideTWBExt"/>
        </w:rPr>
        <w:t>&lt;Depute&gt;</w:t>
      </w:r>
      <w:r>
        <w:t>Giuseppe Lupo</w:t>
      </w:r>
      <w:r>
        <w:rPr>
          <w:rStyle w:val="HideTWBExt"/>
        </w:rPr>
        <w:t>&lt;/Depute&gt;</w:t>
      </w:r>
    </w:p>
    <w:p w14:paraId="7D77E881" w14:textId="77777777" w:rsidR="00977F76" w:rsidRPr="00081B01" w:rsidRDefault="00977F76" w:rsidP="00977F76">
      <w:pPr>
        <w:pStyle w:val="CoverNormal"/>
      </w:pPr>
    </w:p>
    <w:p w14:paraId="7C1F9CFD" w14:textId="77777777" w:rsidR="002E2F2E" w:rsidRPr="00081B01" w:rsidRDefault="001401C1" w:rsidP="00BB2AC1">
      <w:pPr>
        <w:widowControl/>
        <w:tabs>
          <w:tab w:val="center" w:pos="4677"/>
        </w:tabs>
      </w:pPr>
      <w:r>
        <w:br w:type="page"/>
      </w:r>
      <w:r>
        <w:lastRenderedPageBreak/>
        <w:t>PA_NonLegDec</w:t>
      </w:r>
    </w:p>
    <w:p w14:paraId="63D68720" w14:textId="77777777" w:rsidR="003E06CF" w:rsidRPr="00081B01" w:rsidRDefault="001401C1" w:rsidP="003E06CF">
      <w:pPr>
        <w:pStyle w:val="PageHeadingNotTOC"/>
      </w:pPr>
      <w:r>
        <w:br w:type="page"/>
      </w:r>
      <w:r>
        <w:lastRenderedPageBreak/>
        <w:t>OPINJONI</w:t>
      </w:r>
    </w:p>
    <w:p w14:paraId="380AC226" w14:textId="77777777" w:rsidR="004D04D6" w:rsidRPr="00F97D2C" w:rsidRDefault="001401C1" w:rsidP="004D04D6">
      <w:pPr>
        <w:pStyle w:val="Normal12a"/>
      </w:pPr>
      <w:r>
        <w:t>Il-Kumitat għas-Sajd jistieden lill-Kumitat għall-Kontroll tal-Baġit, bħala l-kumitat responsabbli, biex jinkorpora dan li ġej fil-mozzjoni għal riżoluzzjoni tiegħu:</w:t>
      </w:r>
    </w:p>
    <w:p w14:paraId="0FC6F862" w14:textId="77777777" w:rsidR="004D04D6" w:rsidRPr="00F97D2C" w:rsidRDefault="001401C1" w:rsidP="004D04D6">
      <w:pPr>
        <w:pStyle w:val="NormalHanging12a"/>
      </w:pPr>
      <w:r>
        <w:t>1.</w:t>
      </w:r>
      <w:r>
        <w:tab/>
        <w:t>Jieħu nota tar-rapport tal-Qorti tal-Awdituri (il-“Qorti”) dwar il-kontijiet annwali tal-Aġenzija Ewropea għall-Kontroll tas-Sajd (l-“Aġenzija”) għas-sena finanzjarja 2024, tar-rapport annwali tal-attività 2024 tal-Aġenzija kif ukoll tal-analiżi u tal-valutazzjoni ta’ dak ir-rapport min-naħa tal-Bord Amministrattiv tal-Aġenzija;</w:t>
      </w:r>
    </w:p>
    <w:p w14:paraId="5F339381" w14:textId="77777777" w:rsidR="004D04D6" w:rsidRPr="00F97D2C" w:rsidRDefault="001401C1" w:rsidP="004D04D6">
      <w:pPr>
        <w:pStyle w:val="NormalHanging12a"/>
      </w:pPr>
      <w:r>
        <w:t>2.</w:t>
      </w:r>
      <w:r>
        <w:tab/>
        <w:t>Jesprimi s-sodisfazzjon tiegħu rigward l-attivitajiet imwettqa mill-Qorti u d-dikjarazzjoni tal-Qorti li l-kontijiet tal-Aġenzija għas-sena li ntemmet fil-31 ta’ Diċembru 2024 huma f’konformità mar-Regolament Finanzjarju tal-Unjoni u mar-regoli kontabilistiċi adottati mill-uffiċjal tal-kontabbiltà tal-Kummissjoni; jinnota l-osservazzjonijiet tal-Qorti rigward is-sistemi ta’ ġestjoni u kontroll u l-użu ripetut tar-riporti; jilqa’ l-ispjegazzjonijiet tal-Aġenzija u l-impenn tagħha li tindirizza dawn il-kwist</w:t>
      </w:r>
      <w:r>
        <w:t xml:space="preserve">jonijiet; </w:t>
      </w:r>
    </w:p>
    <w:p w14:paraId="58AE95C7" w14:textId="77777777" w:rsidR="004D04D6" w:rsidRPr="00F97D2C" w:rsidRDefault="001401C1" w:rsidP="004D04D6">
      <w:pPr>
        <w:pStyle w:val="NormalHanging12a"/>
      </w:pPr>
      <w:r>
        <w:t>3.</w:t>
      </w:r>
      <w:r>
        <w:tab/>
        <w:t xml:space="preserve">Jinnota li, inizjalment, l-Aġenzija rċeviet kontribuzzjoni ta’ EUR 30,58 miljun fl-ambitu tal-baġit ġenerali tal-Unjoni fl-2024, liema </w:t>
      </w:r>
      <w:r>
        <w:t>kontribuzzjoni tirrappreżenta żieda ta’ 1,61 % meta mqabbla mal-2023; il-kontribuzzjoni finali tal-baġit ġenerali li rċeviet l-Aġenzija, wara li ġie approvat il-baġit emendatorju, kienet tammonta għal EUR 30,79 miljun, li tirrappreżenta żieda finali ta’ 2,31 % meta mqabbla mal-2023; jirrimarka li kemm il-baġit annwali tal-Aġenzija kif ukoll l-għadd totali tal-persunal tagħha huma fost l-aktar baxxi fost l-aġenziji tal-Unjoni; jisħaq li, sadanittant, l-attivitajiet tal-Aġenzija żdiedu, b’mod partikolari l-is</w:t>
      </w:r>
      <w:r>
        <w:t>forzi tagħha kontra s-sajd IUU u l-konsegwenzi tiegħu fuq is-sostenibbiltà tar-riżorsi tas-sajd, l-ekonomija, is-sovranità u s-sigurtà tal-Unjoni u tar-reġjuni ultraperiferiċi tagħha;</w:t>
      </w:r>
    </w:p>
    <w:p w14:paraId="3CB4CBEF" w14:textId="77777777" w:rsidR="004D04D6" w:rsidRPr="00F97D2C" w:rsidRDefault="001401C1" w:rsidP="004D04D6">
      <w:pPr>
        <w:pStyle w:val="NormalHanging12a"/>
        <w:rPr>
          <w:noProof/>
        </w:rPr>
      </w:pPr>
      <w:r>
        <w:t>4.</w:t>
      </w:r>
      <w:r>
        <w:tab/>
        <w:t>Jisħaq li l-Aġenzija rċeviet “dħul ieħor” b’valur ta’ EUR 1,23 miljun, u għalhekk, id-dħul totali tal-Aġenzija ammonta għal EUR 32,02 miljun;</w:t>
      </w:r>
    </w:p>
    <w:p w14:paraId="7F006517" w14:textId="77777777" w:rsidR="004D04D6" w:rsidRPr="00F97D2C" w:rsidRDefault="001401C1" w:rsidP="004D04D6">
      <w:pPr>
        <w:pStyle w:val="NormalHanging12a"/>
      </w:pPr>
      <w:r>
        <w:t>5.</w:t>
      </w:r>
      <w:r>
        <w:tab/>
        <w:t>Jirrikonoxxi li fis-sena finanzjarja 2024 l-Aġenzija rnexxielha timplimenta 99,5 % tal-programm ta’ ħidma annwali tagħha meta mqabbel ma’ 98 % fl-2023; jinnota li l-Aġenzija rnexxielha twettaq l-operazzjonijiet tagħha u timplimenta l-baġit tagħha kif ippjanat; jifraħ lill-Aġenzija għall-implimentazzjoni tal-baġit ta’ 100 % f’termini ta’ impenji u 76,6 % f’termini ta’ pagamenti, jiġifieri żieda ta’ 4 % meta mqabbla mal-2023; jinnota li, meta jitqies id-dħul assenjat, l-Aġenzija laħqet implimentazzjoni ta’ 9</w:t>
      </w:r>
      <w:r>
        <w:t>2,3 % f’termini ta’ impenji u 76,9 % f’termini ta’ pagamenti; iqis li dan il-livell ta’ implimentazzjoni u effiċjenza fl-użu tar-riżorsi pubbliċi jikkostitwixxi eżempju ta’ ġestjoni tajba li għandu jservi ta’ ispirazzjoni għal aġenziji oħra tal-UE, b’mod partikolari fi żmien meta d-dixxiplina baġitarja u l-użu responsabbli tal-fondi jridu jkunu prijorità;</w:t>
      </w:r>
    </w:p>
    <w:p w14:paraId="4D331851" w14:textId="77777777" w:rsidR="004D04D6" w:rsidRPr="00F97D2C" w:rsidRDefault="001401C1" w:rsidP="004D04D6">
      <w:pPr>
        <w:pStyle w:val="NormalHanging12a"/>
      </w:pPr>
      <w:bookmarkStart w:id="0" w:name="_Hlk220419949"/>
      <w:r>
        <w:t>6.</w:t>
      </w:r>
      <w:r>
        <w:tab/>
        <w:t>Ifakkar fl-approċċ tal-Unjoni ta’ “tolleranza żero” għas-sajd illegali, mhux irrappurtat u mhux irregolat (IUU) u fir-rwol vitali tal-Aġenzija fil-ġlieda kontra s-sajd IUU kif ukoll il-kontribut tal-Aġenzija għall-implimentazzjoni tal-politika komuni tas-sajd (PKS); jiddeplora, f’dan ir-rigward, il-fatt li minħabba l-iskadenza tal-kuntratt qafas u d-</w:t>
      </w:r>
      <w:r>
        <w:lastRenderedPageBreak/>
        <w:t>dewmien fil-kuntratt ta’ akkwist konġunt mal-Frontex, l-ebda assi tal-ajru bi ġwienaħ fissi ma setgħu jiġu chartered; iwissi li l-iskadenza ta’ dawn l-assi tal</w:t>
      </w:r>
      <w:r>
        <w:t>-ajru tillimita l-kapaċità operazzjonali reali tal-Aġenzija fir-rigward ta’ ġlieda effettiva kontra s-sajd IUU; jitlob li dawn il-proċeduri jiġu rieżaminati biex jiġi evitat tfixkil li jista’ jagħti lok għal attivitajiet illegali tas-sajd fl-ibħra Ewropej; jinnota li l-ispejjeż għaċ-chartering ta’ Bastimenti tal-Għassa Off-Shore naqsu bi 2,5 %;</w:t>
      </w:r>
    </w:p>
    <w:p w14:paraId="3C38CA18" w14:textId="77777777" w:rsidR="004D04D6" w:rsidRPr="00F97D2C" w:rsidRDefault="001401C1" w:rsidP="004D04D6">
      <w:pPr>
        <w:pStyle w:val="NormalHanging12a"/>
      </w:pPr>
      <w:r>
        <w:t>7.</w:t>
      </w:r>
      <w:r>
        <w:tab/>
        <w:t>Jisħaq li, minkejja l-isforzi li għaddejjin, is-sajd IUU għadu sfida serja fl-ilmijiet tal-UE, ifixkel il-kompetittività, jimmina s-sostenibbiltà tal-istokkijiet tal-ħut, u jhedded il-vijabbiltà ekonomika tas-settur tas-sajd u tal-komunitajiet kostali tal-UE; jenfasizza l-ħtieġa urġenti li jissaħħu l-kapaċitajiet ta’ sorveljanza u monitoraġġ mill-ajru u marittimi, li jiġu żgurati sistemi effettivi u proporzjonati ta’ kontroll u spezzjoni, u li jiġi pprovdut appoġġ u taħriġ immirati lill-awtoritajiet nazzjo</w:t>
      </w:r>
      <w:r>
        <w:t>nali u lill-komunitajiet kostali lokali, sabiex jiġu identifikati, ipprevenuti u miġġielda b’mod effettiv l-attivitajiet IUU fl-ilmijiet tal-UE;</w:t>
      </w:r>
    </w:p>
    <w:p w14:paraId="69ADDF6C" w14:textId="77777777" w:rsidR="004D04D6" w:rsidRPr="00F97D2C" w:rsidRDefault="001401C1" w:rsidP="004D04D6">
      <w:pPr>
        <w:pStyle w:val="NormalHanging12a"/>
      </w:pPr>
      <w:r>
        <w:t>8.</w:t>
      </w:r>
      <w:r>
        <w:tab/>
        <w:t>Jisħaq fuq l-importanza tad-dipendenza tal-Aġenzija fuq sorsi esterni ta’ dħul bl-għan li tiżgura fondi biex tissodisfa l-objettivi statutorji tagħha;</w:t>
      </w:r>
    </w:p>
    <w:p w14:paraId="4E6110DE" w14:textId="77777777" w:rsidR="004D04D6" w:rsidRPr="00F97D2C" w:rsidRDefault="001401C1" w:rsidP="004D04D6">
      <w:pPr>
        <w:pStyle w:val="NormalHanging12a"/>
      </w:pPr>
      <w:r>
        <w:t>9.</w:t>
      </w:r>
      <w:r>
        <w:tab/>
        <w:t xml:space="preserve">Ifakkar li l-kontroll tal-attivitajiet tas-sajd primarjament huwa r-responsabbiltà tal-Istati Membri, filwaqt li l-kompiti tal-Aġenzija huma limitati għall-appoġġ, għall-koordinazzjoni, kif ukoll biex tiġi pprovduta assistenza f’dan il-qasam lill-Istati Membri; jenfasizza b’mod speċjali l-importanza li l-Aġenzija tikkontribwixxi għall-armonizzazzjoni tal-kontroll b’superviżjoni uniformi, prevedibbli u trasparenti, filwaqt li jiġu evitati interpretazzjonijiet diverġenti fost l-Istati Membri li jissograw li </w:t>
      </w:r>
      <w:r>
        <w:t>joħolqu trattament inugwali, sabiex jiġu żgurati kundizzjonijiet ekwi u ugwaljanza fil-kontrolli; jinsisti li n-nuqqas ta’ kontroll tal-attivitajiet tas-sajd ma jridx jiġi kkumpensat biż-żieda ta’ piżijiet addizzjonali għall-operaturi, jew bit-telf ta’ kundizzjonijiet ekwi;</w:t>
      </w:r>
    </w:p>
    <w:bookmarkEnd w:id="0"/>
    <w:p w14:paraId="7CD0FE4B" w14:textId="77777777" w:rsidR="004D04D6" w:rsidRPr="00F97D2C" w:rsidRDefault="001401C1" w:rsidP="004D04D6">
      <w:pPr>
        <w:pStyle w:val="NormalHanging12a"/>
      </w:pPr>
      <w:r>
        <w:t>10.</w:t>
      </w:r>
      <w:r>
        <w:tab/>
        <w:t xml:space="preserve">Jisħaq li r-reviżjoni li għadha kemm ġiet adottata tar-Regolament dwar il-Kontroll tas-Sajd żiedet il-volum ta’ xogħol tal-Aġenzija b’mod partikolari biex tippermetti applikazzjoni aktar armonizzata tar-regoli fost l-Istati Membri; jenfasizza li l-obbligi jikbru mingħajr biżżejjed riżorsi biex dawn jiġu ssodisfati jfixklu l-kapaċità tal-Aġenzija li twettaq il-kompiti importanti tagħha; </w:t>
      </w:r>
    </w:p>
    <w:p w14:paraId="78B887CB" w14:textId="77777777" w:rsidR="004D04D6" w:rsidRPr="00F97D2C" w:rsidRDefault="001401C1" w:rsidP="004D04D6">
      <w:pPr>
        <w:pStyle w:val="NormalHanging12a"/>
      </w:pPr>
      <w:r>
        <w:t>11.</w:t>
      </w:r>
      <w:r>
        <w:tab/>
        <w:t xml:space="preserve">Jistieden lill-Kummissjoni tikkollabora mal-Aġenzija fit-tfassil tal-atti delegati u ta’ implimentazzjoni għar-Regolament dwar il-Kontroll tas-Sajd li ġie adottat reċentement u dwar ir-regolamenti marbuta mal-attivitajiet tagħha; </w:t>
      </w:r>
      <w:bookmarkStart w:id="1" w:name="_Hlk219831144"/>
      <w:r>
        <w:t>ifakkar fil-ħtieġa li s-settur jiġi ggwidat fl-implimentazzjoni ta’ dan il-qafas billi jiġu stabbiliti proġetti li jappoġġjaw lill-partijiet ikkonċernati u lill-amministrazzjonijiet tas-sajd fit-tranżizzjoni lejn għodod diġitali u regoli aġġornati;</w:t>
      </w:r>
      <w:bookmarkEnd w:id="1"/>
    </w:p>
    <w:p w14:paraId="5A3E5D06" w14:textId="77777777" w:rsidR="004D04D6" w:rsidRPr="00F97D2C" w:rsidRDefault="001401C1" w:rsidP="004D04D6">
      <w:pPr>
        <w:pStyle w:val="NormalHanging12a"/>
      </w:pPr>
      <w:r>
        <w:t>12.</w:t>
      </w:r>
      <w:r>
        <w:tab/>
        <w:t>Jisħaq, għalhekk, li r-riżorsi finanzjarji u umani disponibbli għall-Aġenzija jridu jiġu ggarantiti u jkunu koerenti mal-kompiti assenjati lilha u mal-attivitajiet li għandhom jitwettqu u li trid tiġi evitata kwalunkwe pressjoni addizzjonali fuq l-attività tal-persunal u l-kwalità tal-kundizzjonijiet tax-xogħol tagħhom; jistieden lill-Aġenzija tkompli bl-isforzi tagħha biex tiżgura l-użu ottimali tal-approprjazzjonijiet allokati;</w:t>
      </w:r>
    </w:p>
    <w:p w14:paraId="258386C6" w14:textId="77777777" w:rsidR="004D04D6" w:rsidRPr="00F97D2C" w:rsidRDefault="001401C1" w:rsidP="004D04D6">
      <w:pPr>
        <w:pStyle w:val="NormalHanging12a"/>
      </w:pPr>
      <w:r>
        <w:t>13.</w:t>
      </w:r>
      <w:r>
        <w:tab/>
        <w:t xml:space="preserve">Jistieden lill-Aġenzija tappoġġja lill-Istati Membri fil-monitoraġġ u l-identifikazzjoni </w:t>
      </w:r>
      <w:r>
        <w:lastRenderedPageBreak/>
        <w:t>ta’ ksur serju kif definit fir-Regolament (UE) 2023/2842 u speċjalment ksur imsemmi fl-Artikolu 90(2), il-punt (p) dwar ix-xogħol furzat; jirrimarka l-importanza li jiġi pprovdut taħriġ adegwat għall-ispetturi tal-UE fir-rigward tal-monitoraġġ u l-identifikazzjoni ta’ ksur serju;</w:t>
      </w:r>
    </w:p>
    <w:p w14:paraId="41D61A5E" w14:textId="77777777" w:rsidR="004D04D6" w:rsidRPr="00F97D2C" w:rsidRDefault="001401C1" w:rsidP="004D04D6">
      <w:pPr>
        <w:pStyle w:val="NormalHanging12a"/>
      </w:pPr>
      <w:r>
        <w:t>14.</w:t>
      </w:r>
      <w:r>
        <w:tab/>
        <w:t>Jinnota li, fl-2024, l-Aġenzija rrappurtat għadd totali ta’ 45 734 spezzjoni, żieda ta’ 1,65 % meta mqabbel mal-2023; jissottolinja li, filwaqt li l-għadd ta’ spezzjonijiet żdied, u dan jindika allokazzjoni aktar effiċjenti tar-riżorsi, dan juri wkoll il-ħtieġa ta’ monitoraġġ u infurzar effettivi li jibqgħu essenzjali fl-ilmijiet kollha tal-UE; iqis li ż-żieda ta’ 14 % fl-ispezzjonijiet b’mill-anqas ksur suspettat wieħed meta mqabbel mal-2023 toffri għarfien siewi biex tkompli tissaħħaħ il-konformità u tiġ</w:t>
      </w:r>
      <w:r>
        <w:t>i żgurata sorveljanza effettiva; jenfasizza li l-Aġenzija għandha ssostni ż-żieda fl-attivitajiet ta’ spezzjoni tagħha biex issaħħaħ l-infurzar, tipproteġi l-istokkijiet tal-ħut u tissalvagwardja l-għajxien tas-sajjieda;</w:t>
      </w:r>
    </w:p>
    <w:p w14:paraId="4DBE6A14" w14:textId="77777777" w:rsidR="004D04D6" w:rsidRPr="00F97D2C" w:rsidRDefault="001401C1" w:rsidP="004D04D6">
      <w:pPr>
        <w:pStyle w:val="NormalHanging12a"/>
      </w:pPr>
      <w:r>
        <w:t>15.</w:t>
      </w:r>
      <w:r>
        <w:tab/>
        <w:t>Jikkonferma mill-ġdid l-impenn tagħna favur sistema internazzjonali bbażata fuq ir-regoli u jenfasizza r-rwol importanti tal-Unjoni fil-Governanza u d-Diplomazija Internazzjonali tal-Oċeani; jenfasizza, f’dan ir-rigward u fir-rigward tal-ġlieda kontra s-sajd IUU, li l-aġenzija għandha rwol importanti biex tinkoraġġixxi applikazzjoni akbar u armonizzata tas-sistemi ta’ kontroll tal-UE stabbiliti kif ukoll kollaborazzjoni ma’ pajjiżi terzi sabiex ikun hemm kontribut għat-tisħiħ tal-ordni bbażata fuq ir-regol</w:t>
      </w:r>
      <w:r>
        <w:t>i globali u fost l-oħrajn għall-ġlieda kontra s-sajd illegali u biex tiżgura li drittijiet tal-bniedem, inklużi d-drittijiet soċjali, ta’ dawk li jaħdmu fuq il-bastimenti tas-sajd, jiġu rispettati;</w:t>
      </w:r>
    </w:p>
    <w:p w14:paraId="1CF86A9E" w14:textId="77777777" w:rsidR="004D04D6" w:rsidRPr="00F97D2C" w:rsidRDefault="001401C1" w:rsidP="004D04D6">
      <w:pPr>
        <w:pStyle w:val="NormalHanging12a"/>
      </w:pPr>
      <w:r>
        <w:t>16.</w:t>
      </w:r>
      <w:r>
        <w:tab/>
        <w:t>Jenfasizza li l-kredibbiltà tas-sistema ta’ governanza internazzjonali tas-sajd sostenibbli bbażata fuq ir-regoli tiddependi wkoll mill-kapaċità tal-Unjoni li tiggarantixxi li l-prodotti tas-sajd importati minn pajjiżi terzi fis-suq tal-Unjoni jkunu ġew prodotti billi jissodisfaw l-istess rekwiżiti bħal dawk għall-flotot tal-UE; iwissi dwar ir-riskju ta’ kompetizzjoni inġusta jekk din il-konsistenza ma tkunx żgurata b’mod strett;</w:t>
      </w:r>
    </w:p>
    <w:p w14:paraId="011EF1B7" w14:textId="77777777" w:rsidR="004D04D6" w:rsidRPr="00F97D2C" w:rsidRDefault="001401C1" w:rsidP="004D04D6">
      <w:pPr>
        <w:pStyle w:val="NormalHanging12a"/>
      </w:pPr>
      <w:r>
        <w:t>17.</w:t>
      </w:r>
      <w:r>
        <w:tab/>
        <w:t>Jilqa’ l-appoġġ ipprovdut mill-EFCA għall-ħidma tal-Unjoni fl-Organizzazzjonijiet Reġjonali tal-Ġestjoni tas-Sajd (RFMO) u l-kooperazzjoni ma’ pajjiżi mhux tal-UE biex tittejjeb il-konformità, il-kundizzjonijiet ekwi u jitwassal il-bini tal-kapaċitajiet; jissottolinja r-rwol kruċjali tal-aġenzija fl-appoġġ lill-Istati Membri fil-monitoraġġ koordinat taż-Żoni Ristretti għas-Sajd (FRAs) stabbiliti mill-Kummissjoni Ġenerali tas-Sajd għall-Mediterran (GFCM);</w:t>
      </w:r>
    </w:p>
    <w:p w14:paraId="1B2BA371" w14:textId="77777777" w:rsidR="004D04D6" w:rsidRPr="00F97D2C" w:rsidRDefault="001401C1" w:rsidP="004D04D6">
      <w:pPr>
        <w:pStyle w:val="NormalHanging12a"/>
      </w:pPr>
      <w:r>
        <w:t>18.</w:t>
      </w:r>
      <w:r>
        <w:tab/>
        <w:t xml:space="preserve">Jinnota b’apprezzament il-kooperazzjoni kontinwa tal-Aġenzija mal-Aġenzija Ewropea għall-Gwardja tal-Fruntiera u tal-Kosta (Frontex) u mal-Aġenzija Ewropea għas-Sigurtà Marittima (EMSA) biex tappoġġja lill-awtoritajiet nazzjonali li jwettqu funzjonijiet ta’ gwardja tal-kosta f’konformità mal-Artikolu 8 tar-Regolament (UE) 2019/473; iqis din il-kooperazzjoni bħala eżempju tajjeb ta’ kooperazzjoni u sinerġiji bejn l-aġenziji tal-Unjoni li għandha titħeġġeġ u tkun ta’ ispirazzjoni għal aġenziji f’oqsma oħra; </w:t>
      </w:r>
      <w:r>
        <w:t>jistieden lill-Aġenzija tkompli bl-isforzi tagħha f’dak ir-rigward;</w:t>
      </w:r>
    </w:p>
    <w:p w14:paraId="7429F519" w14:textId="77777777" w:rsidR="004D04D6" w:rsidRPr="00F97D2C" w:rsidRDefault="001401C1" w:rsidP="004D04D6">
      <w:pPr>
        <w:pStyle w:val="NormalHanging12a"/>
      </w:pPr>
      <w:r>
        <w:t>19.</w:t>
      </w:r>
      <w:r>
        <w:tab/>
        <w:t>Jesprimi l-konvinzjoni tiegħu li żieda fil-kooperazzjoni bejn l-Aġenzija u l-Aġenzija Ewropea għall-Ambjent (EEA), speċjalment rigward il-kondiviżjoni tad-data, u l-Aġenzija Spazjali Ewropea (ESA) tipprovdi benefiċċji kumulattivi; jilqa’ f’dak ir-</w:t>
      </w:r>
      <w:r>
        <w:lastRenderedPageBreak/>
        <w:t>rigward l-iffirmar ta’ Memorandum ta’ Qbil (MtQ) mal-EEA għall-iskambju ta’ informazzjoni, għarfien u twettiq ta’ proġetti pilota fuq il-baħar, b’mod partikolari proġett iddedikat għall-iskart fil-baħar inkluż il-monitoraġġ, l-irkupru, il-ġbir, u r-riċiklaġġ ta’ r</w:t>
      </w:r>
      <w:r>
        <w:t>kaptu tas-sajd abbandunat jew mitluf f’żoni marittimi deżinjati;</w:t>
      </w:r>
    </w:p>
    <w:p w14:paraId="08ACBDA1" w14:textId="77777777" w:rsidR="004D04D6" w:rsidRPr="00F97D2C" w:rsidRDefault="001401C1" w:rsidP="004D04D6">
      <w:pPr>
        <w:pStyle w:val="NormalHanging12a"/>
      </w:pPr>
      <w:r>
        <w:t>20.</w:t>
      </w:r>
      <w:r>
        <w:tab/>
        <w:t xml:space="preserve">Jenfasizza r-rwol tal-Aġenzija li toffri tisħiħ tal-kapaċitajiet u taħriġ </w:t>
      </w:r>
      <w:r>
        <w:t>lill-pajjiżi terzi u r-rwol kruċjali tal-Aġenzija li tiżgura kundizzjonijiet ekwi mal-istati kostali kollha;</w:t>
      </w:r>
    </w:p>
    <w:p w14:paraId="65F376D1" w14:textId="77777777" w:rsidR="004D04D6" w:rsidRPr="00F97D2C" w:rsidRDefault="001401C1" w:rsidP="004D04D6">
      <w:pPr>
        <w:pStyle w:val="NormalHanging12a"/>
      </w:pPr>
      <w:r>
        <w:t>21.</w:t>
      </w:r>
      <w:r>
        <w:tab/>
        <w:t>Jinnota li, filwaqt li s-sajd IUU għadu sfida serja fl-ilmijiet tal-UE, l-appoġġ immirat u l-kapaċitajiet imsaħħa jistgħu jtejbu l-konformità u l-infurzar; jenfasizza, għalhekk, li l-EFCA għandha tkompli ssaħħaħ it-taħriġ u l-appoġġ lill-awtoritajiet nazzjonali, l-ispetturi u l-komunitajiet kostali lokali tal-UE biex jidentifikaw, jipprevjenu u jiġġieldu aħjar l-attivitajiet IUU;</w:t>
      </w:r>
    </w:p>
    <w:p w14:paraId="48222C02" w14:textId="77777777" w:rsidR="004D04D6" w:rsidRPr="00F97D2C" w:rsidRDefault="001401C1" w:rsidP="004D04D6">
      <w:pPr>
        <w:pStyle w:val="NormalHanging12a"/>
      </w:pPr>
      <w:r>
        <w:t>22.</w:t>
      </w:r>
      <w:r>
        <w:tab/>
        <w:t>Jissottolinja r-rwol kruċjali tal-Aġenzija fil-promozzjoni tal-konformità mar-regoli internazzjonali tas-sajd u għall-iżgurar ta’ kundizzjonijiet ekwi ġenwini bejn l-Unjoni u l-istati kostali kollha, b’mod partikolari fis-sajd ġestit b’mod kondiviż jew konġunt; jinnota li impenn koordinat, kemm esternament kif ukoll fl-Unjoni, huwa essenzjali għas-salvagwardja tas-sajd sostenibbli, iż-żamma ta’ kompetizzjoni ġusta u l-protezzjoni tal-vijabbiltà soċjali u ekonomika fit-tul tar-reġjuni kostali tagħna;</w:t>
      </w:r>
    </w:p>
    <w:p w14:paraId="61FF1AC5" w14:textId="77777777" w:rsidR="004D04D6" w:rsidRPr="00F97D2C" w:rsidRDefault="001401C1" w:rsidP="004D04D6">
      <w:pPr>
        <w:pStyle w:val="NormalHanging12a"/>
      </w:pPr>
      <w:r>
        <w:t>23.</w:t>
      </w:r>
      <w:r>
        <w:tab/>
        <w:t>Jinnota li, fil-31 ta’ Diċembru 2024, it-tabella tal-persunal kienet 97 % kompluta, fejn inħatru 75 aġent temporanju mis-77 aġent temporanju awtorizzat fl-ambitu tal-baġit tal-Unjoni; jieħu nota taż-żieda ta’ 6,7 % fl-ispejjeż tal-persunal meta mqabbel mal-2023;</w:t>
      </w:r>
    </w:p>
    <w:p w14:paraId="12B2F3CD" w14:textId="77777777" w:rsidR="004D04D6" w:rsidRPr="00F97D2C" w:rsidRDefault="001401C1" w:rsidP="004D04D6">
      <w:pPr>
        <w:pStyle w:val="NormalHanging12a"/>
      </w:pPr>
      <w:r>
        <w:t>24.</w:t>
      </w:r>
      <w:r>
        <w:tab/>
        <w:t>Jenfasizza l-impenn tal-Aġenzija li tiżgura trattament ugwali tal-persunal kollu u li tikseb ugwaljanza bejn il-ġeneri fil-gradi u livelli ta’ responsabbiltà kollha; huwa mħasseb li n-nisa għadhom jirrappreżentaw biss 39 % tal-persunal impjegat fil-grad AD 8 jew ogħla, ċifra li staġnat mill-2021, għalkemm il-perċentwal kumplessiv ta’ membri tal-persunal nisa huwa ta’ 50 %; għaldaqstant, jinnota li jrid isir aktar biex tinkiseb parità fil-livell maniġerjali; itenni t-talba tiegħu lill-Aġenzija biex timplime</w:t>
      </w:r>
      <w:r>
        <w:t>nta u ssaħħaħ l-istrateġija tagħha dwar il-parità bejn il-ġeneri u l-politika ta’ inklużività;</w:t>
      </w:r>
    </w:p>
    <w:p w14:paraId="763FB917" w14:textId="77777777" w:rsidR="004D04D6" w:rsidRPr="00F97D2C" w:rsidRDefault="001401C1" w:rsidP="004D04D6">
      <w:pPr>
        <w:pStyle w:val="NormalHanging12a"/>
      </w:pPr>
      <w:r>
        <w:t>25.</w:t>
      </w:r>
      <w:r>
        <w:tab/>
        <w:t>Jafferma mill-ġdid it-twemmin tiegħu li nuqqas ta’ finanzjament u n-nuqqas ta’ fond dedikat, delimitat u awtonomu għas-sajd u l-akkwakultura fil-proposta tal-Kummissjoni għall-Qafas Finanzjarju Pluriennali 2028-2034 se jżidu d-diffikultajiet għal kollaborazzjoni dedikata bejn l-Aġenzija u l-Istati Membri; jirrimarka li n-nuqqas ta’ finanzjament dedikat suffiċjenti jkollu wkoll effetti negattivi severi fuq il-flotta tas-sajd tal-UE u l-kapaċità tagħha li tiżgura konformità mar-Regolament dwar il-Kontroll ta</w:t>
      </w:r>
      <w:r>
        <w:t>s-Sajd rivedut u, b’estensjoni ta’ dan, jista’ jxekkel l-implimentazzjoni meħtieġa tal-Politika Komuni tas-Sajd;</w:t>
      </w:r>
    </w:p>
    <w:p w14:paraId="05AC9B59" w14:textId="77777777" w:rsidR="004D04D6" w:rsidRPr="00F97D2C" w:rsidRDefault="001401C1" w:rsidP="004D04D6">
      <w:pPr>
        <w:pStyle w:val="NormalHanging12a"/>
      </w:pPr>
      <w:r>
        <w:t>26.</w:t>
      </w:r>
      <w:r>
        <w:tab/>
        <w:t>Huwa mħasseb ukoll dwar il-fatt li n-nuqqas ta’ fondi għas-sajd suffiċjenti u dedikati fil-QFP futur se jikkomprometti l-kapaċità tal-Aġenzija li tappoġġja l-implimentazzjoni tal-PKS, b’mod partikolari fl-armonizzazzjoni tal-kontroll tas-sajd fost l-Istati Membri, se jikkomprometti l-ġlieda kontra s-sajd IUU u se jnaqqas il-kundizzjonijiet ekwi fost il-flotot tal-UE u fost il-flotot tal-UE u dawk ta’ pajjiżi terzi; jiddispjaċih dwar in-nuqqas ta’ finanzjament suffiċjenti u, għalhekk, jistieden lill-Kummiss</w:t>
      </w:r>
      <w:r>
        <w:t xml:space="preserve">joni u lill-Istati Membri jipprevedu mill-inqas ammonti identiċi ta’ prezzijiet kostanti għall-baġit tal-Aġenzija </w:t>
      </w:r>
      <w:r>
        <w:lastRenderedPageBreak/>
        <w:t>fil-QFP li jmiss;</w:t>
      </w:r>
    </w:p>
    <w:p w14:paraId="49D05FB3" w14:textId="77777777" w:rsidR="004D04D6" w:rsidRPr="00F97D2C" w:rsidRDefault="001401C1" w:rsidP="004D04D6">
      <w:pPr>
        <w:pStyle w:val="NormalHanging12a"/>
      </w:pPr>
      <w:r>
        <w:t>27.</w:t>
      </w:r>
      <w:r>
        <w:tab/>
        <w:t>Jipproponi li tingħata l-kwittanza lid-Direttur Eżekuttiv tal-Aġenzija għall-implimentazzjoni tal-baġit tal-Aġenzija għas-sena finanzjarja 2024.</w:t>
      </w:r>
    </w:p>
    <w:p w14:paraId="59F442F9" w14:textId="77777777" w:rsidR="000B7603" w:rsidRPr="00081B01" w:rsidRDefault="000B7603" w:rsidP="003E06CF">
      <w:pPr>
        <w:pStyle w:val="NormalHanging12a"/>
      </w:pPr>
    </w:p>
    <w:p w14:paraId="0ABA2859" w14:textId="77777777" w:rsidR="00C80F5C" w:rsidRPr="00081B01" w:rsidRDefault="00C80F5C">
      <w:pPr>
        <w:widowControl/>
        <w:sectPr w:rsidR="00C80F5C" w:rsidRPr="00081B01" w:rsidSect="004D04D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22AA824D" w14:textId="77777777" w:rsidR="00C80F5C" w:rsidRPr="00081B01" w:rsidRDefault="00C80F5C">
      <w:pPr>
        <w:widowControl/>
      </w:pPr>
    </w:p>
    <w:p w14:paraId="02557EA5" w14:textId="77777777" w:rsidR="00C80F5C" w:rsidRPr="00081B01" w:rsidRDefault="001401C1" w:rsidP="002B2C72">
      <w:pPr>
        <w:pStyle w:val="PageHeadingNotTOC"/>
      </w:pPr>
      <w:bookmarkStart w:id="2" w:name="FootprintPageAD"/>
      <w:r>
        <w:t>ANNESS: DIKJARAZZJONI TAL-KONTRIBUT</w:t>
      </w:r>
    </w:p>
    <w:p w14:paraId="24E83C09" w14:textId="77777777" w:rsidR="00C80F5C" w:rsidRPr="00081B01" w:rsidRDefault="001401C1" w:rsidP="00037518">
      <w:pPr>
        <w:pStyle w:val="Normal24a"/>
      </w:pPr>
      <w:r>
        <w:rPr>
          <w:rStyle w:val="HideTWBExt"/>
        </w:rPr>
        <w:t>&lt;FootprintIntro&gt;</w:t>
      </w:r>
      <w:r>
        <w:t>Ir-rapporteur għal opinjoni jiddikjara, taħt ir-responsabbiltà esklużiva tiegħu, li fl-opinjoni tiegħu ma inkluda ebda kontribut mingħand rappreżentanti ta’ gruppi ta’ interess li jaqgħu fil-kamp ta’ applikazzjoni tal-Ftehim Interistituzzjonali dwar Reġistru Obbligatorju ta’ Trasparenza</w:t>
      </w:r>
      <w:r>
        <w:rPr>
          <w:rStyle w:val="FootnoteReference"/>
        </w:rPr>
        <w:footnoteReference w:id="1"/>
      </w:r>
      <w:r>
        <w:t>, jew mingħand rappreżentanti ta’ awtoritajiet pubbliċi ta’ pajjiżi terzi, inklużi l-missjonijiet diplomatiċi u l-ambaxxati tagħhom, li għandhom jiġu elenkati f’dan l-Anness f’konformità mal-Artikolu 8 tal-Anness I tar-Regoli ta’ Proċedura.</w:t>
      </w:r>
      <w:r>
        <w:rPr>
          <w:rStyle w:val="HideTWBExt"/>
        </w:rPr>
        <w:t>&lt;/FootprintIntro&gt;</w:t>
      </w:r>
    </w:p>
    <w:p w14:paraId="7C53F2AB" w14:textId="77777777" w:rsidR="00C80F5C" w:rsidRPr="00081B01" w:rsidRDefault="00C80F5C" w:rsidP="00C80F5C"/>
    <w:bookmarkEnd w:id="2"/>
    <w:p w14:paraId="3B919351" w14:textId="77777777" w:rsidR="00E05697" w:rsidRPr="008E103C" w:rsidRDefault="00E05697" w:rsidP="008E103C">
      <w:pPr>
        <w:pStyle w:val="NormalHanging12a"/>
        <w:ind w:left="0" w:firstLine="0"/>
      </w:pPr>
    </w:p>
    <w:p w14:paraId="5ACD5461" w14:textId="77777777" w:rsidR="008E103C" w:rsidRPr="008E103C" w:rsidRDefault="008E103C" w:rsidP="008E103C">
      <w:pPr>
        <w:sectPr w:rsidR="008E103C" w:rsidRPr="008E103C" w:rsidSect="004D04D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22AF1CC" w14:textId="77777777" w:rsidR="008E103C" w:rsidRDefault="001401C1" w:rsidP="008E103C">
      <w:pPr>
        <w:pStyle w:val="PageHeadingNotTOC"/>
      </w:pPr>
      <w:bookmarkStart w:id="3" w:name="ProcPageAD"/>
      <w:r>
        <w:lastRenderedPageBreak/>
        <w:t>INFORMAZZJONI DWAR L-ADOZZJONI</w:t>
      </w:r>
      <w:r>
        <w:br/>
        <w:t>MILL-KUMITAT LI JINTALAB JAGĦTI OPINJONI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B9433D" w14:paraId="0BC4EF08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48AC972" w14:textId="77777777" w:rsidR="008E103C" w:rsidRDefault="001401C1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Data tal-adozzjoni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B5EE5F2" w14:textId="77777777" w:rsidR="008E103C" w:rsidRDefault="001401C1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27.1.2026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2A82BFC" w14:textId="77777777" w:rsidR="008E103C" w:rsidRDefault="008E103C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8AC4FCB" w14:textId="77777777" w:rsidR="008E103C" w:rsidRDefault="008E103C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57DF24B" w14:textId="77777777" w:rsidR="008E103C" w:rsidRDefault="008E103C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B9433D" w14:paraId="0C3A5923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D12B9D6" w14:textId="77777777" w:rsidR="008E103C" w:rsidRDefault="001401C1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Riżultat tal-votazzjoni finali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26FF57F" w14:textId="77777777" w:rsidR="008E103C" w:rsidRDefault="001401C1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+:</w:t>
            </w:r>
          </w:p>
          <w:p w14:paraId="4C29F02A" w14:textId="77777777" w:rsidR="008E103C" w:rsidRDefault="001401C1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14:paraId="7FEF4BCD" w14:textId="77777777" w:rsidR="008E103C" w:rsidRDefault="001401C1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A3C01CB" w14:textId="77777777" w:rsidR="008E103C" w:rsidRDefault="001401C1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21</w:t>
            </w:r>
          </w:p>
          <w:p w14:paraId="0B1D8837" w14:textId="77777777" w:rsidR="008E103C" w:rsidRDefault="001401C1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  <w:p w14:paraId="06FF53B1" w14:textId="77777777" w:rsidR="008E103C" w:rsidRDefault="001401C1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</w:tr>
    </w:tbl>
    <w:p w14:paraId="357A5128" w14:textId="77777777" w:rsidR="008E103C" w:rsidRPr="004D04D6" w:rsidRDefault="008E103C" w:rsidP="004D04D6"/>
    <w:bookmarkEnd w:id="3"/>
    <w:p w14:paraId="30884346" w14:textId="77777777" w:rsidR="004D04D6" w:rsidRDefault="004D04D6" w:rsidP="008E103C">
      <w:pPr>
        <w:sectPr w:rsidR="004D04D6" w:rsidSect="004D04D6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14:paraId="7689A2CD" w14:textId="77777777" w:rsidR="004D04D6" w:rsidRPr="0099178F" w:rsidRDefault="001401C1" w:rsidP="00C36610">
      <w:pPr>
        <w:pStyle w:val="PageHeadingNotTOC"/>
      </w:pPr>
      <w:bookmarkStart w:id="4" w:name="RollCallPageAD"/>
      <w:r>
        <w:lastRenderedPageBreak/>
        <w:t>VOTAZZJONI FINALI B’SEJĦA TAL-ISMIJIET</w:t>
      </w:r>
      <w:r>
        <w:br/>
        <w:t>MILL-KUMITAT LI JINTALAB JAGĦTI OPINJONI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B9433D" w14:paraId="1D497BCC" w14:textId="77777777" w:rsidTr="006F47E7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19379287" w14:textId="77777777" w:rsidR="004D04D6" w:rsidRPr="00F97D2C" w:rsidRDefault="001401C1" w:rsidP="006F47E7">
            <w:pPr>
              <w:pStyle w:val="RollCallVotes"/>
            </w:pPr>
            <w:r>
              <w:t>21</w:t>
            </w:r>
          </w:p>
        </w:tc>
        <w:tc>
          <w:tcPr>
            <w:tcW w:w="7371" w:type="dxa"/>
            <w:shd w:val="pct10" w:color="000000" w:fill="FFFFFF"/>
          </w:tcPr>
          <w:p w14:paraId="03FD08DB" w14:textId="77777777" w:rsidR="004D04D6" w:rsidRPr="00F97D2C" w:rsidRDefault="001401C1" w:rsidP="006F47E7">
            <w:pPr>
              <w:pStyle w:val="RollCallSymbols14pt"/>
            </w:pPr>
            <w:r>
              <w:t>+</w:t>
            </w:r>
          </w:p>
        </w:tc>
      </w:tr>
      <w:tr w:rsidR="00B9433D" w14:paraId="19F01CB9" w14:textId="77777777" w:rsidTr="006F47E7">
        <w:trPr>
          <w:cantSplit/>
        </w:trPr>
        <w:tc>
          <w:tcPr>
            <w:tcW w:w="1701" w:type="dxa"/>
            <w:shd w:val="clear" w:color="auto" w:fill="FFFFFF"/>
          </w:tcPr>
          <w:p w14:paraId="271F0A77" w14:textId="77777777" w:rsidR="004D04D6" w:rsidRPr="00F97D2C" w:rsidRDefault="001401C1" w:rsidP="006F47E7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14:paraId="6CE14A66" w14:textId="77777777" w:rsidR="004D04D6" w:rsidRPr="00F97D2C" w:rsidRDefault="001401C1" w:rsidP="006F47E7">
            <w:pPr>
              <w:pStyle w:val="RollCallTable"/>
            </w:pPr>
            <w:r>
              <w:t>Stephen Nikola Bartulica, Nora Junco García, Giuseppe Milazzo, Bert-Jan Ruissen</w:t>
            </w:r>
          </w:p>
        </w:tc>
      </w:tr>
      <w:tr w:rsidR="00B9433D" w14:paraId="27814672" w14:textId="77777777" w:rsidTr="006F47E7">
        <w:trPr>
          <w:cantSplit/>
        </w:trPr>
        <w:tc>
          <w:tcPr>
            <w:tcW w:w="1701" w:type="dxa"/>
            <w:shd w:val="clear" w:color="auto" w:fill="FFFFFF"/>
          </w:tcPr>
          <w:p w14:paraId="2B8AADD0" w14:textId="77777777" w:rsidR="004D04D6" w:rsidRPr="00F97D2C" w:rsidRDefault="001401C1" w:rsidP="006F47E7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14:paraId="023ADEC8" w14:textId="77777777" w:rsidR="004D04D6" w:rsidRPr="00F97D2C" w:rsidRDefault="001401C1" w:rsidP="006F47E7">
            <w:pPr>
              <w:pStyle w:val="RollCallTable"/>
            </w:pPr>
            <w:r>
              <w:t xml:space="preserve">Carmen Crespo Díaz, Marco Falcone, Isabelle Le </w:t>
            </w:r>
            <w:r>
              <w:t>Callennec, Francisco José Millán Mon, Jessica Polfjärd, Sander Smit, Željana Zovko</w:t>
            </w:r>
          </w:p>
        </w:tc>
      </w:tr>
      <w:tr w:rsidR="00B9433D" w14:paraId="6ED5FEED" w14:textId="77777777" w:rsidTr="006F47E7">
        <w:trPr>
          <w:cantSplit/>
        </w:trPr>
        <w:tc>
          <w:tcPr>
            <w:tcW w:w="1701" w:type="dxa"/>
            <w:shd w:val="clear" w:color="auto" w:fill="FFFFFF"/>
          </w:tcPr>
          <w:p w14:paraId="25784834" w14:textId="77777777" w:rsidR="004D04D6" w:rsidRPr="00F97D2C" w:rsidRDefault="001401C1" w:rsidP="006F47E7">
            <w:pPr>
              <w:pStyle w:val="RollCallTable"/>
            </w:pPr>
            <w:r>
              <w:t>Renew</w:t>
            </w:r>
          </w:p>
        </w:tc>
        <w:tc>
          <w:tcPr>
            <w:tcW w:w="7371" w:type="dxa"/>
            <w:shd w:val="clear" w:color="auto" w:fill="FFFFFF"/>
          </w:tcPr>
          <w:p w14:paraId="1276B3A2" w14:textId="77777777" w:rsidR="004D04D6" w:rsidRPr="00F97D2C" w:rsidRDefault="001401C1" w:rsidP="006F47E7">
            <w:pPr>
              <w:pStyle w:val="RollCallTable"/>
            </w:pPr>
            <w:r>
              <w:t>Barry Cowen, Elsi Katainen, Ciaran Mullooly</w:t>
            </w:r>
          </w:p>
        </w:tc>
      </w:tr>
      <w:tr w:rsidR="00B9433D" w14:paraId="501C9B7E" w14:textId="77777777" w:rsidTr="006F47E7">
        <w:trPr>
          <w:cantSplit/>
        </w:trPr>
        <w:tc>
          <w:tcPr>
            <w:tcW w:w="1701" w:type="dxa"/>
            <w:shd w:val="clear" w:color="auto" w:fill="FFFFFF"/>
          </w:tcPr>
          <w:p w14:paraId="22A1C954" w14:textId="77777777" w:rsidR="004D04D6" w:rsidRPr="00F97D2C" w:rsidRDefault="001401C1" w:rsidP="006F47E7">
            <w:pPr>
              <w:pStyle w:val="RollCallTable"/>
            </w:pPr>
            <w:r>
              <w:t>S&amp;D</w:t>
            </w:r>
          </w:p>
        </w:tc>
        <w:tc>
          <w:tcPr>
            <w:tcW w:w="7371" w:type="dxa"/>
            <w:shd w:val="clear" w:color="auto" w:fill="FFFFFF"/>
          </w:tcPr>
          <w:p w14:paraId="33B55F7A" w14:textId="77777777" w:rsidR="004D04D6" w:rsidRPr="00F97D2C" w:rsidRDefault="001401C1" w:rsidP="006F47E7">
            <w:pPr>
              <w:pStyle w:val="RollCallTable"/>
            </w:pPr>
            <w:r>
              <w:t>Sakis Arnaoutoglou, Thomas Bajada, Giuseppe Lupo, André Rodrigues, Eric Sargiacomo</w:t>
            </w:r>
          </w:p>
        </w:tc>
      </w:tr>
      <w:tr w:rsidR="00B9433D" w14:paraId="2B1B133F" w14:textId="77777777" w:rsidTr="006F47E7">
        <w:trPr>
          <w:cantSplit/>
        </w:trPr>
        <w:tc>
          <w:tcPr>
            <w:tcW w:w="1701" w:type="dxa"/>
            <w:shd w:val="clear" w:color="auto" w:fill="FFFFFF"/>
          </w:tcPr>
          <w:p w14:paraId="7486183F" w14:textId="77777777" w:rsidR="004D04D6" w:rsidRPr="00F97D2C" w:rsidRDefault="001401C1" w:rsidP="006F47E7">
            <w:pPr>
              <w:pStyle w:val="RollCallTable"/>
            </w:pPr>
            <w:r>
              <w:t>The Left</w:t>
            </w:r>
          </w:p>
        </w:tc>
        <w:tc>
          <w:tcPr>
            <w:tcW w:w="7371" w:type="dxa"/>
            <w:shd w:val="clear" w:color="auto" w:fill="FFFFFF"/>
          </w:tcPr>
          <w:p w14:paraId="575D232B" w14:textId="77777777" w:rsidR="004D04D6" w:rsidRPr="00F97D2C" w:rsidRDefault="001401C1" w:rsidP="006F47E7">
            <w:pPr>
              <w:pStyle w:val="RollCallTable"/>
            </w:pPr>
            <w:r>
              <w:t xml:space="preserve">Luke Ming </w:t>
            </w:r>
            <w:r>
              <w:t>Flanagan</w:t>
            </w:r>
          </w:p>
        </w:tc>
      </w:tr>
      <w:tr w:rsidR="00B9433D" w14:paraId="39A8A553" w14:textId="77777777" w:rsidTr="006F47E7">
        <w:trPr>
          <w:cantSplit/>
        </w:trPr>
        <w:tc>
          <w:tcPr>
            <w:tcW w:w="1701" w:type="dxa"/>
            <w:shd w:val="clear" w:color="auto" w:fill="FFFFFF"/>
          </w:tcPr>
          <w:p w14:paraId="48BE1D92" w14:textId="77777777" w:rsidR="004D04D6" w:rsidRPr="00F97D2C" w:rsidRDefault="001401C1" w:rsidP="006F47E7">
            <w:pPr>
              <w:pStyle w:val="RollCallTable"/>
            </w:pPr>
            <w:r>
              <w:t>Verts/ALE</w:t>
            </w:r>
          </w:p>
        </w:tc>
        <w:tc>
          <w:tcPr>
            <w:tcW w:w="7371" w:type="dxa"/>
            <w:shd w:val="clear" w:color="auto" w:fill="FFFFFF"/>
          </w:tcPr>
          <w:p w14:paraId="40814108" w14:textId="77777777" w:rsidR="004D04D6" w:rsidRPr="00F97D2C" w:rsidRDefault="001401C1" w:rsidP="006F47E7">
            <w:pPr>
              <w:pStyle w:val="RollCallTable"/>
            </w:pPr>
            <w:r>
              <w:t>Ana Miranda Paz</w:t>
            </w:r>
          </w:p>
        </w:tc>
      </w:tr>
    </w:tbl>
    <w:p w14:paraId="15DB3DB1" w14:textId="77777777" w:rsidR="004D04D6" w:rsidRPr="00F97D2C" w:rsidRDefault="004D04D6" w:rsidP="004D04D6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B9433D" w14:paraId="07A119DD" w14:textId="77777777" w:rsidTr="006F47E7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16DA6F4B" w14:textId="77777777" w:rsidR="004D04D6" w:rsidRPr="00F97D2C" w:rsidRDefault="001401C1" w:rsidP="006F47E7">
            <w:pPr>
              <w:pStyle w:val="RollCallVotes"/>
            </w:pPr>
            <w:r>
              <w:t>2</w:t>
            </w:r>
          </w:p>
        </w:tc>
        <w:tc>
          <w:tcPr>
            <w:tcW w:w="7371" w:type="dxa"/>
            <w:shd w:val="pct10" w:color="000000" w:fill="FFFFFF"/>
          </w:tcPr>
          <w:p w14:paraId="54EC485E" w14:textId="77777777" w:rsidR="004D04D6" w:rsidRPr="00F97D2C" w:rsidRDefault="001401C1" w:rsidP="006F47E7">
            <w:pPr>
              <w:pStyle w:val="RollCallSymbols14pt"/>
            </w:pPr>
            <w:r>
              <w:t>-</w:t>
            </w:r>
          </w:p>
        </w:tc>
      </w:tr>
      <w:tr w:rsidR="00B9433D" w14:paraId="4B0B309C" w14:textId="77777777" w:rsidTr="006F47E7">
        <w:trPr>
          <w:cantSplit/>
        </w:trPr>
        <w:tc>
          <w:tcPr>
            <w:tcW w:w="1701" w:type="dxa"/>
            <w:shd w:val="clear" w:color="auto" w:fill="FFFFFF"/>
          </w:tcPr>
          <w:p w14:paraId="4A69F359" w14:textId="77777777" w:rsidR="004D04D6" w:rsidRPr="00F97D2C" w:rsidRDefault="001401C1" w:rsidP="006F47E7">
            <w:pPr>
              <w:pStyle w:val="RollCallTable"/>
            </w:pPr>
            <w:r>
              <w:t>ESN</w:t>
            </w:r>
          </w:p>
        </w:tc>
        <w:tc>
          <w:tcPr>
            <w:tcW w:w="7371" w:type="dxa"/>
            <w:shd w:val="clear" w:color="auto" w:fill="FFFFFF"/>
          </w:tcPr>
          <w:p w14:paraId="5DA982C9" w14:textId="77777777" w:rsidR="004D04D6" w:rsidRPr="00F97D2C" w:rsidRDefault="001401C1" w:rsidP="006F47E7">
            <w:pPr>
              <w:pStyle w:val="RollCallTable"/>
            </w:pPr>
            <w:r>
              <w:t>Siegbert Frank Droese</w:t>
            </w:r>
          </w:p>
        </w:tc>
      </w:tr>
      <w:tr w:rsidR="00B9433D" w14:paraId="6583B3D0" w14:textId="77777777" w:rsidTr="006F47E7">
        <w:trPr>
          <w:cantSplit/>
        </w:trPr>
        <w:tc>
          <w:tcPr>
            <w:tcW w:w="1701" w:type="dxa"/>
            <w:shd w:val="clear" w:color="auto" w:fill="FFFFFF"/>
          </w:tcPr>
          <w:p w14:paraId="0754B77A" w14:textId="77777777" w:rsidR="004D04D6" w:rsidRPr="00F97D2C" w:rsidRDefault="001401C1" w:rsidP="006F47E7">
            <w:pPr>
              <w:pStyle w:val="RollCallTable"/>
            </w:pPr>
            <w:r>
              <w:t>PfE</w:t>
            </w:r>
          </w:p>
        </w:tc>
        <w:tc>
          <w:tcPr>
            <w:tcW w:w="7371" w:type="dxa"/>
            <w:shd w:val="clear" w:color="auto" w:fill="FFFFFF"/>
          </w:tcPr>
          <w:p w14:paraId="580F7EE3" w14:textId="77777777" w:rsidR="004D04D6" w:rsidRPr="00F97D2C" w:rsidRDefault="001401C1" w:rsidP="006F47E7">
            <w:pPr>
              <w:pStyle w:val="RollCallTable"/>
            </w:pPr>
            <w:r>
              <w:t>France Jamet</w:t>
            </w:r>
          </w:p>
        </w:tc>
      </w:tr>
    </w:tbl>
    <w:p w14:paraId="08961B3E" w14:textId="77777777" w:rsidR="004D04D6" w:rsidRPr="00F97D2C" w:rsidRDefault="004D04D6" w:rsidP="004D04D6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B9433D" w14:paraId="54B6F9C3" w14:textId="77777777" w:rsidTr="006F47E7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019FC37D" w14:textId="77777777" w:rsidR="004D04D6" w:rsidRPr="00F97D2C" w:rsidRDefault="001401C1" w:rsidP="006F47E7">
            <w:pPr>
              <w:pStyle w:val="RollCallVotes"/>
            </w:pPr>
            <w:r>
              <w:t>4</w:t>
            </w:r>
          </w:p>
        </w:tc>
        <w:tc>
          <w:tcPr>
            <w:tcW w:w="7371" w:type="dxa"/>
            <w:shd w:val="pct10" w:color="000000" w:fill="FFFFFF"/>
          </w:tcPr>
          <w:p w14:paraId="691B3B18" w14:textId="77777777" w:rsidR="004D04D6" w:rsidRPr="00F97D2C" w:rsidRDefault="001401C1" w:rsidP="006F47E7">
            <w:pPr>
              <w:pStyle w:val="RollCallSymbols14pt"/>
            </w:pPr>
            <w:r>
              <w:t>0</w:t>
            </w:r>
          </w:p>
        </w:tc>
      </w:tr>
      <w:tr w:rsidR="00B9433D" w14:paraId="0C32D629" w14:textId="77777777" w:rsidTr="006F47E7">
        <w:trPr>
          <w:cantSplit/>
        </w:trPr>
        <w:tc>
          <w:tcPr>
            <w:tcW w:w="1701" w:type="dxa"/>
            <w:shd w:val="clear" w:color="auto" w:fill="FFFFFF"/>
          </w:tcPr>
          <w:p w14:paraId="0A987E51" w14:textId="77777777" w:rsidR="004D04D6" w:rsidRPr="00F97D2C" w:rsidRDefault="001401C1" w:rsidP="006F47E7">
            <w:pPr>
              <w:pStyle w:val="RollCallTable"/>
            </w:pPr>
            <w:r>
              <w:t>PfE</w:t>
            </w:r>
          </w:p>
        </w:tc>
        <w:tc>
          <w:tcPr>
            <w:tcW w:w="7371" w:type="dxa"/>
            <w:shd w:val="clear" w:color="auto" w:fill="FFFFFF"/>
          </w:tcPr>
          <w:p w14:paraId="1732A00D" w14:textId="77777777" w:rsidR="004D04D6" w:rsidRPr="00F97D2C" w:rsidRDefault="001401C1" w:rsidP="006F47E7">
            <w:pPr>
              <w:pStyle w:val="RollCallTable"/>
            </w:pPr>
            <w:r>
              <w:t>Ton Diepeveen, António Tânger Corrêa</w:t>
            </w:r>
          </w:p>
        </w:tc>
      </w:tr>
      <w:tr w:rsidR="00B9433D" w14:paraId="3C8AADC9" w14:textId="77777777" w:rsidTr="006F47E7">
        <w:trPr>
          <w:cantSplit/>
        </w:trPr>
        <w:tc>
          <w:tcPr>
            <w:tcW w:w="1701" w:type="dxa"/>
            <w:shd w:val="clear" w:color="auto" w:fill="FFFFFF"/>
          </w:tcPr>
          <w:p w14:paraId="154EA8A8" w14:textId="77777777" w:rsidR="004D04D6" w:rsidRPr="00F97D2C" w:rsidRDefault="001401C1" w:rsidP="006F47E7">
            <w:pPr>
              <w:pStyle w:val="RollCallTable"/>
            </w:pPr>
            <w:r>
              <w:t>The Left</w:t>
            </w:r>
          </w:p>
        </w:tc>
        <w:tc>
          <w:tcPr>
            <w:tcW w:w="7371" w:type="dxa"/>
            <w:shd w:val="clear" w:color="auto" w:fill="FFFFFF"/>
          </w:tcPr>
          <w:p w14:paraId="05A8ECA2" w14:textId="77777777" w:rsidR="004D04D6" w:rsidRPr="00F97D2C" w:rsidRDefault="001401C1" w:rsidP="006F47E7">
            <w:pPr>
              <w:pStyle w:val="RollCallTable"/>
            </w:pPr>
            <w:r>
              <w:t>Emma Fourreau</w:t>
            </w:r>
          </w:p>
        </w:tc>
      </w:tr>
      <w:tr w:rsidR="00B9433D" w14:paraId="2294B421" w14:textId="77777777" w:rsidTr="006F47E7">
        <w:trPr>
          <w:cantSplit/>
        </w:trPr>
        <w:tc>
          <w:tcPr>
            <w:tcW w:w="1701" w:type="dxa"/>
            <w:shd w:val="clear" w:color="auto" w:fill="FFFFFF"/>
          </w:tcPr>
          <w:p w14:paraId="2F39D4EF" w14:textId="77777777" w:rsidR="004D04D6" w:rsidRPr="00F97D2C" w:rsidRDefault="001401C1" w:rsidP="006F47E7">
            <w:pPr>
              <w:pStyle w:val="RollCallTable"/>
            </w:pPr>
            <w:r>
              <w:t>Verts/ALE</w:t>
            </w:r>
          </w:p>
        </w:tc>
        <w:tc>
          <w:tcPr>
            <w:tcW w:w="7371" w:type="dxa"/>
            <w:shd w:val="clear" w:color="auto" w:fill="FFFFFF"/>
          </w:tcPr>
          <w:p w14:paraId="58AA914A" w14:textId="77777777" w:rsidR="004D04D6" w:rsidRPr="00F97D2C" w:rsidRDefault="001401C1" w:rsidP="006F47E7">
            <w:pPr>
              <w:pStyle w:val="RollCallTable"/>
            </w:pPr>
            <w:r>
              <w:t>Isabella Lövin</w:t>
            </w:r>
          </w:p>
        </w:tc>
      </w:tr>
    </w:tbl>
    <w:p w14:paraId="3DCF0D36" w14:textId="77777777" w:rsidR="004D04D6" w:rsidRDefault="004D04D6" w:rsidP="00147FBF">
      <w:pPr>
        <w:pStyle w:val="Normal12a"/>
      </w:pPr>
    </w:p>
    <w:p w14:paraId="4B3AA570" w14:textId="77777777" w:rsidR="004D04D6" w:rsidRDefault="001401C1" w:rsidP="00B735E3">
      <w:r>
        <w:t>Tifsira tas-simboli użati:</w:t>
      </w:r>
    </w:p>
    <w:p w14:paraId="23E984D8" w14:textId="77777777" w:rsidR="004D04D6" w:rsidRDefault="001401C1" w:rsidP="003858C5">
      <w:pPr>
        <w:pStyle w:val="RollCallTabs"/>
      </w:pPr>
      <w:r>
        <w:t>+</w:t>
      </w:r>
      <w:r>
        <w:tab/>
        <w:t>:</w:t>
      </w:r>
      <w:r>
        <w:tab/>
        <w:t>favur</w:t>
      </w:r>
    </w:p>
    <w:p w14:paraId="509A0D10" w14:textId="77777777" w:rsidR="004D04D6" w:rsidRDefault="001401C1" w:rsidP="003858C5">
      <w:pPr>
        <w:pStyle w:val="RollCallTabs"/>
      </w:pPr>
      <w:r>
        <w:t>-</w:t>
      </w:r>
      <w:r>
        <w:tab/>
        <w:t>:</w:t>
      </w:r>
      <w:r>
        <w:tab/>
        <w:t>kontra</w:t>
      </w:r>
    </w:p>
    <w:p w14:paraId="40F3FA4D" w14:textId="77777777" w:rsidR="004D04D6" w:rsidRDefault="001401C1" w:rsidP="003858C5">
      <w:pPr>
        <w:pStyle w:val="RollCallTabs"/>
      </w:pPr>
      <w:r>
        <w:t>0</w:t>
      </w:r>
      <w:r>
        <w:tab/>
        <w:t>:</w:t>
      </w:r>
      <w:r>
        <w:tab/>
      </w:r>
      <w:r>
        <w:t>astensjoni</w:t>
      </w:r>
    </w:p>
    <w:p w14:paraId="6AD62D7E" w14:textId="77777777" w:rsidR="004D04D6" w:rsidRDefault="004D04D6" w:rsidP="00207509"/>
    <w:bookmarkEnd w:id="4"/>
    <w:p w14:paraId="359C2C97" w14:textId="77777777" w:rsidR="008E103C" w:rsidRPr="004D04D6" w:rsidRDefault="008E103C" w:rsidP="008E103C"/>
    <w:sectPr w:rsidR="008E103C" w:rsidRPr="004D04D6" w:rsidSect="004D04D6">
      <w:pgSz w:w="11894" w:h="15840"/>
      <w:pgMar w:top="1700" w:right="1417" w:bottom="1417" w:left="1417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CF6C2" w14:textId="77777777" w:rsidR="001401C1" w:rsidRDefault="001401C1">
      <w:r>
        <w:separator/>
      </w:r>
    </w:p>
  </w:endnote>
  <w:endnote w:type="continuationSeparator" w:id="0">
    <w:p w14:paraId="189094D4" w14:textId="77777777" w:rsidR="001401C1" w:rsidRDefault="00140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A95F3" w14:textId="77777777" w:rsidR="008E103C" w:rsidRDefault="001401C1" w:rsidP="008E103C">
    <w:pPr>
      <w:pStyle w:val="EPFooter"/>
    </w:pPr>
    <w:r>
      <w:t>PE</w:t>
    </w:r>
    <w:r w:rsidRPr="008E103C">
      <w:rPr>
        <w:rStyle w:val="HideTWBExt"/>
      </w:rPr>
      <w:t>&lt;NoPE&gt;</w:t>
    </w:r>
    <w:r>
      <w:t>779.547</w:t>
    </w:r>
    <w:r w:rsidRPr="008E103C">
      <w:rPr>
        <w:rStyle w:val="HideTWBExt"/>
      </w:rPr>
      <w:t>&lt;/NoPE&gt;&lt;Version&gt;</w:t>
    </w:r>
    <w:r>
      <w:t>v02-00</w:t>
    </w:r>
    <w:r w:rsidRPr="008E103C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>
      <w:t>/</w:t>
    </w:r>
    <w:r>
      <w:fldChar w:fldCharType="begin"/>
    </w:r>
    <w:r>
      <w:instrText xml:space="preserve"> NUMPAGES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ab/>
    </w:r>
    <w:r w:rsidRPr="008E103C">
      <w:rPr>
        <w:rStyle w:val="HideTWBExt"/>
      </w:rPr>
      <w:t>&lt;PathFdR&gt;</w:t>
    </w:r>
    <w:r>
      <w:t>AD\1336056MT.docx</w:t>
    </w:r>
    <w:r w:rsidRPr="008E103C">
      <w:rPr>
        <w:rStyle w:val="HideTWBExt"/>
      </w:rPr>
      <w:t>&lt;/PathFdR&gt;</w:t>
    </w:r>
  </w:p>
  <w:p w14:paraId="7D577107" w14:textId="77777777" w:rsidR="00C75378" w:rsidRPr="00081B01" w:rsidRDefault="001401C1" w:rsidP="008E103C">
    <w:pPr>
      <w:pStyle w:val="EPFooter2"/>
    </w:pPr>
    <w:r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7DC1E" w14:textId="77777777" w:rsidR="008E103C" w:rsidRDefault="001401C1" w:rsidP="008E103C">
    <w:pPr>
      <w:pStyle w:val="EPFooter"/>
    </w:pPr>
    <w:r w:rsidRPr="008E103C">
      <w:rPr>
        <w:rStyle w:val="HideTWBExt"/>
      </w:rPr>
      <w:t>&lt;PathFdR&gt;</w:t>
    </w:r>
    <w:r>
      <w:t>AD\1336056MT.docx</w:t>
    </w:r>
    <w:r w:rsidRPr="008E103C">
      <w:rPr>
        <w:rStyle w:val="HideTWBExt"/>
      </w:rPr>
      <w:t>&lt;/PathFdR&gt;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r>
      <w:fldChar w:fldCharType="begin"/>
    </w:r>
    <w:r>
      <w:instrText xml:space="preserve"> NUMPAGES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ab/>
      <w:t>PE</w:t>
    </w:r>
    <w:r w:rsidRPr="008E103C">
      <w:rPr>
        <w:rStyle w:val="HideTWBExt"/>
      </w:rPr>
      <w:t>&lt;NoPE&gt;</w:t>
    </w:r>
    <w:r>
      <w:t>779.547</w:t>
    </w:r>
    <w:r w:rsidRPr="008E103C">
      <w:rPr>
        <w:rStyle w:val="HideTWBExt"/>
      </w:rPr>
      <w:t>&lt;/NoPE&gt;&lt;Version&gt;</w:t>
    </w:r>
    <w:r>
      <w:t>v02-00</w:t>
    </w:r>
    <w:r w:rsidRPr="008E103C">
      <w:rPr>
        <w:rStyle w:val="HideTWBExt"/>
      </w:rPr>
      <w:t>&lt;/Version&gt;</w:t>
    </w:r>
  </w:p>
  <w:p w14:paraId="5C04554C" w14:textId="77777777" w:rsidR="00C75378" w:rsidRPr="00081B01" w:rsidRDefault="001401C1" w:rsidP="008E103C">
    <w:pPr>
      <w:pStyle w:val="EPFooter2"/>
    </w:pPr>
    <w:r>
      <w:tab/>
    </w:r>
    <w:r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2648C" w14:textId="77777777" w:rsidR="008E103C" w:rsidRDefault="001401C1" w:rsidP="008E103C">
    <w:pPr>
      <w:pStyle w:val="EPFooter"/>
    </w:pPr>
    <w:r w:rsidRPr="008E103C">
      <w:rPr>
        <w:rStyle w:val="HideTWBExt"/>
      </w:rPr>
      <w:t>&lt;PathFdR&gt;</w:t>
    </w:r>
    <w:r>
      <w:t>AD\1336056MT.docx</w:t>
    </w:r>
    <w:r w:rsidRPr="008E103C">
      <w:rPr>
        <w:rStyle w:val="HideTWBExt"/>
      </w:rPr>
      <w:t>&lt;/PathFdR&gt;</w:t>
    </w:r>
    <w:r>
      <w:tab/>
    </w:r>
    <w:r>
      <w:tab/>
      <w:t>PE</w:t>
    </w:r>
    <w:r w:rsidRPr="008E103C">
      <w:rPr>
        <w:rStyle w:val="HideTWBExt"/>
      </w:rPr>
      <w:t>&lt;NoPE&gt;</w:t>
    </w:r>
    <w:r>
      <w:t>779.547</w:t>
    </w:r>
    <w:r w:rsidRPr="008E103C">
      <w:rPr>
        <w:rStyle w:val="HideTWBExt"/>
      </w:rPr>
      <w:t>&lt;/NoPE&gt;&lt;Version&gt;</w:t>
    </w:r>
    <w:r>
      <w:t>v02-00</w:t>
    </w:r>
    <w:r w:rsidRPr="008E103C">
      <w:rPr>
        <w:rStyle w:val="HideTWBExt"/>
      </w:rPr>
      <w:t>&lt;/Version&gt;</w:t>
    </w:r>
  </w:p>
  <w:p w14:paraId="6588264C" w14:textId="77777777" w:rsidR="00C75378" w:rsidRPr="00081B01" w:rsidRDefault="001401C1" w:rsidP="008E103C">
    <w:pPr>
      <w:pStyle w:val="EPFooter2"/>
    </w:pPr>
    <w:r>
      <w:t>MT</w:t>
    </w:r>
    <w:r>
      <w:tab/>
    </w:r>
    <w:r w:rsidRPr="008E103C">
      <w:rPr>
        <w:b w:val="0"/>
        <w:i/>
        <w:color w:val="C0C0C0"/>
        <w:sz w:val="22"/>
      </w:rPr>
      <w:t>Magħquda fid-diversità</w:t>
    </w:r>
    <w:r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5D43C" w14:textId="77777777" w:rsidR="00973A47" w:rsidRPr="00081B01" w:rsidRDefault="001401C1">
      <w:r w:rsidRPr="00081B01">
        <w:separator/>
      </w:r>
    </w:p>
  </w:footnote>
  <w:footnote w:type="continuationSeparator" w:id="0">
    <w:p w14:paraId="1AFE79CE" w14:textId="77777777" w:rsidR="00973A47" w:rsidRPr="00081B01" w:rsidRDefault="001401C1">
      <w:r w:rsidRPr="00081B01">
        <w:continuationSeparator/>
      </w:r>
    </w:p>
  </w:footnote>
  <w:footnote w:id="1">
    <w:p w14:paraId="37A0D89C" w14:textId="71652818" w:rsidR="008E103C" w:rsidRPr="008E103C" w:rsidRDefault="001401C1">
      <w:pPr>
        <w:pStyle w:val="FootnoteText"/>
      </w:pPr>
      <w:r>
        <w:rPr>
          <w:rStyle w:val="FootnoteReference"/>
        </w:rPr>
        <w:footnoteRef/>
      </w:r>
      <w:r>
        <w:t xml:space="preserve"> Il-Ftehim Interistituzzjonali tal-20 ta’ Mejju 2021 bejn il-Parlament Ewropew, il-Kunsill tal-Unjoni Ewropea u l-Kummissjoni Ewropea dwar Reġistru Obbligatorju ta’ Trasparenza (ĠU L 207, 11.6.2021, p. 1, ELI: </w:t>
      </w:r>
      <w:hyperlink r:id="rId1" w:history="1">
        <w:r>
          <w:rPr>
            <w:rStyle w:val="Hyperlink"/>
            <w:sz w:val="24"/>
          </w:rPr>
          <w:t>http://data.europa.eu/eli/agree_interinstit/2021/611/oj</w:t>
        </w:r>
      </w:hyperlink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EFCEB" w14:textId="77777777" w:rsidR="004D04D6" w:rsidRDefault="004D04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76011" w14:textId="77777777" w:rsidR="004D04D6" w:rsidRDefault="004D04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A781A" w14:textId="77777777" w:rsidR="004D04D6" w:rsidRDefault="004D04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5514113">
    <w:abstractNumId w:val="9"/>
  </w:num>
  <w:num w:numId="2" w16cid:durableId="344285521">
    <w:abstractNumId w:val="9"/>
  </w:num>
  <w:num w:numId="3" w16cid:durableId="408891483">
    <w:abstractNumId w:val="7"/>
  </w:num>
  <w:num w:numId="4" w16cid:durableId="1839421148">
    <w:abstractNumId w:val="7"/>
  </w:num>
  <w:num w:numId="5" w16cid:durableId="1015421796">
    <w:abstractNumId w:val="6"/>
  </w:num>
  <w:num w:numId="6" w16cid:durableId="1905918187">
    <w:abstractNumId w:val="6"/>
  </w:num>
  <w:num w:numId="7" w16cid:durableId="1955280699">
    <w:abstractNumId w:val="5"/>
  </w:num>
  <w:num w:numId="8" w16cid:durableId="809636184">
    <w:abstractNumId w:val="5"/>
  </w:num>
  <w:num w:numId="9" w16cid:durableId="755251374">
    <w:abstractNumId w:val="4"/>
  </w:num>
  <w:num w:numId="10" w16cid:durableId="1921140610">
    <w:abstractNumId w:val="4"/>
  </w:num>
  <w:num w:numId="11" w16cid:durableId="1752118604">
    <w:abstractNumId w:val="8"/>
  </w:num>
  <w:num w:numId="12" w16cid:durableId="2142721404">
    <w:abstractNumId w:val="8"/>
  </w:num>
  <w:num w:numId="13" w16cid:durableId="647898361">
    <w:abstractNumId w:val="3"/>
  </w:num>
  <w:num w:numId="14" w16cid:durableId="1886410107">
    <w:abstractNumId w:val="3"/>
  </w:num>
  <w:num w:numId="15" w16cid:durableId="1324117220">
    <w:abstractNumId w:val="2"/>
  </w:num>
  <w:num w:numId="16" w16cid:durableId="209609341">
    <w:abstractNumId w:val="2"/>
  </w:num>
  <w:num w:numId="17" w16cid:durableId="833371563">
    <w:abstractNumId w:val="1"/>
  </w:num>
  <w:num w:numId="18" w16cid:durableId="2011175420">
    <w:abstractNumId w:val="1"/>
  </w:num>
  <w:num w:numId="19" w16cid:durableId="1020934151">
    <w:abstractNumId w:val="0"/>
  </w:num>
  <w:num w:numId="20" w16cid:durableId="1555120249">
    <w:abstractNumId w:val="0"/>
  </w:num>
  <w:num w:numId="21" w16cid:durableId="1948392724">
    <w:abstractNumId w:val="9"/>
  </w:num>
  <w:num w:numId="22" w16cid:durableId="1728020427">
    <w:abstractNumId w:val="7"/>
  </w:num>
  <w:num w:numId="23" w16cid:durableId="805394103">
    <w:abstractNumId w:val="6"/>
  </w:num>
  <w:num w:numId="24" w16cid:durableId="2005889970">
    <w:abstractNumId w:val="5"/>
  </w:num>
  <w:num w:numId="25" w16cid:durableId="1545098735">
    <w:abstractNumId w:val="4"/>
  </w:num>
  <w:num w:numId="26" w16cid:durableId="332226872">
    <w:abstractNumId w:val="8"/>
  </w:num>
  <w:num w:numId="27" w16cid:durableId="34504678">
    <w:abstractNumId w:val="3"/>
  </w:num>
  <w:num w:numId="28" w16cid:durableId="394861099">
    <w:abstractNumId w:val="2"/>
  </w:num>
  <w:num w:numId="29" w16cid:durableId="841044102">
    <w:abstractNumId w:val="1"/>
  </w:num>
  <w:num w:numId="30" w16cid:durableId="1155032194">
    <w:abstractNumId w:val="0"/>
  </w:num>
  <w:num w:numId="31" w16cid:durableId="1240946467">
    <w:abstractNumId w:val="9"/>
  </w:num>
  <w:num w:numId="32" w16cid:durableId="1276713458">
    <w:abstractNumId w:val="7"/>
  </w:num>
  <w:num w:numId="33" w16cid:durableId="896665121">
    <w:abstractNumId w:val="6"/>
  </w:num>
  <w:num w:numId="34" w16cid:durableId="1460300410">
    <w:abstractNumId w:val="5"/>
  </w:num>
  <w:num w:numId="35" w16cid:durableId="1116144383">
    <w:abstractNumId w:val="4"/>
  </w:num>
  <w:num w:numId="36" w16cid:durableId="1705520866">
    <w:abstractNumId w:val="8"/>
  </w:num>
  <w:num w:numId="37" w16cid:durableId="1077627063">
    <w:abstractNumId w:val="3"/>
  </w:num>
  <w:num w:numId="38" w16cid:durableId="1713578668">
    <w:abstractNumId w:val="2"/>
  </w:num>
  <w:num w:numId="39" w16cid:durableId="1704939746">
    <w:abstractNumId w:val="1"/>
  </w:num>
  <w:num w:numId="40" w16cid:durableId="342559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HORMFMNU" w:val=" 1"/>
    <w:docVar w:name="COMKEY" w:val="PECH"/>
    <w:docVar w:name="CONTRIBUTIONMNU" w:val=" 2"/>
    <w:docVar w:name="CopyToNetwork" w:val="-1"/>
    <w:docVar w:name="DOCDT" w:val="10/11/2025"/>
    <w:docVar w:name="FONCTIONMNU" w:val=" 1"/>
    <w:docVar w:name="LastEditedSection" w:val=" 4"/>
    <w:docVar w:name="strDocTypeID" w:val="PA_NonLegDec"/>
    <w:docVar w:name="strSubDir" w:val="1336"/>
    <w:docVar w:name="TITLEMNU" w:val=" 3"/>
    <w:docVar w:name="TXTAUTHOR" w:val="Giuseppe Lupo"/>
    <w:docVar w:name="TXTLANGUE" w:val="MT"/>
    <w:docVar w:name="TXTLANGUEMIN" w:val="mt"/>
    <w:docVar w:name="TXTNRPE" w:val="779.547"/>
    <w:docVar w:name="TXTNRPROC" w:val="2025/2156"/>
    <w:docVar w:name="TXTPEorAP" w:val="PE"/>
    <w:docVar w:name="TXTROUTE" w:val="AD\1336056MT.docx"/>
    <w:docVar w:name="TXTTITLE" w:val=" on discharge in respect of the implementation of the general budget of the European Fisheries Control Agency (EFCA) for the financial year 2024"/>
    <w:docVar w:name="TXTVERSION" w:val="02-00"/>
  </w:docVars>
  <w:rsids>
    <w:rsidRoot w:val="00973A47"/>
    <w:rsid w:val="000048A8"/>
    <w:rsid w:val="00007A18"/>
    <w:rsid w:val="00037518"/>
    <w:rsid w:val="00062634"/>
    <w:rsid w:val="00081B01"/>
    <w:rsid w:val="000A05CA"/>
    <w:rsid w:val="000B6C4B"/>
    <w:rsid w:val="000B7603"/>
    <w:rsid w:val="000D001F"/>
    <w:rsid w:val="000D099F"/>
    <w:rsid w:val="000E6813"/>
    <w:rsid w:val="000F07FE"/>
    <w:rsid w:val="00110533"/>
    <w:rsid w:val="001275F4"/>
    <w:rsid w:val="001401C1"/>
    <w:rsid w:val="00147FBF"/>
    <w:rsid w:val="001A455F"/>
    <w:rsid w:val="001D5354"/>
    <w:rsid w:val="001F2766"/>
    <w:rsid w:val="001F6ED8"/>
    <w:rsid w:val="00207509"/>
    <w:rsid w:val="00212D35"/>
    <w:rsid w:val="00245C7F"/>
    <w:rsid w:val="00265C6D"/>
    <w:rsid w:val="00271180"/>
    <w:rsid w:val="0027333B"/>
    <w:rsid w:val="002A4AC9"/>
    <w:rsid w:val="002B2892"/>
    <w:rsid w:val="002B2C72"/>
    <w:rsid w:val="002C0EE6"/>
    <w:rsid w:val="002C34AE"/>
    <w:rsid w:val="002E2F2E"/>
    <w:rsid w:val="00307C14"/>
    <w:rsid w:val="003707A7"/>
    <w:rsid w:val="003858C5"/>
    <w:rsid w:val="00385BAB"/>
    <w:rsid w:val="0039003E"/>
    <w:rsid w:val="00396FA9"/>
    <w:rsid w:val="003B72FC"/>
    <w:rsid w:val="003D684B"/>
    <w:rsid w:val="003E06CF"/>
    <w:rsid w:val="003E35FB"/>
    <w:rsid w:val="003F3B83"/>
    <w:rsid w:val="00431E30"/>
    <w:rsid w:val="004820B9"/>
    <w:rsid w:val="00487232"/>
    <w:rsid w:val="00495CA4"/>
    <w:rsid w:val="004A34E6"/>
    <w:rsid w:val="004C28FB"/>
    <w:rsid w:val="004D04D6"/>
    <w:rsid w:val="004E54DC"/>
    <w:rsid w:val="004F48ED"/>
    <w:rsid w:val="00512922"/>
    <w:rsid w:val="00514664"/>
    <w:rsid w:val="00544C0D"/>
    <w:rsid w:val="0055017A"/>
    <w:rsid w:val="0056188A"/>
    <w:rsid w:val="005742CB"/>
    <w:rsid w:val="00577018"/>
    <w:rsid w:val="005779E7"/>
    <w:rsid w:val="0059346E"/>
    <w:rsid w:val="005D0786"/>
    <w:rsid w:val="005E3670"/>
    <w:rsid w:val="00600DC9"/>
    <w:rsid w:val="00626A3A"/>
    <w:rsid w:val="00643F39"/>
    <w:rsid w:val="00666116"/>
    <w:rsid w:val="0066728C"/>
    <w:rsid w:val="006819E0"/>
    <w:rsid w:val="006F47E7"/>
    <w:rsid w:val="0071319E"/>
    <w:rsid w:val="00722749"/>
    <w:rsid w:val="007A0D42"/>
    <w:rsid w:val="00806587"/>
    <w:rsid w:val="008411F1"/>
    <w:rsid w:val="008818A9"/>
    <w:rsid w:val="008C6240"/>
    <w:rsid w:val="008E103C"/>
    <w:rsid w:val="008E7494"/>
    <w:rsid w:val="008F36CD"/>
    <w:rsid w:val="008F7002"/>
    <w:rsid w:val="0095301E"/>
    <w:rsid w:val="0095497D"/>
    <w:rsid w:val="009669A8"/>
    <w:rsid w:val="00972FD8"/>
    <w:rsid w:val="00973A47"/>
    <w:rsid w:val="00977F76"/>
    <w:rsid w:val="0098140C"/>
    <w:rsid w:val="00985E09"/>
    <w:rsid w:val="0099178F"/>
    <w:rsid w:val="009A33F4"/>
    <w:rsid w:val="009A403C"/>
    <w:rsid w:val="009B5265"/>
    <w:rsid w:val="00A2041C"/>
    <w:rsid w:val="00A722B1"/>
    <w:rsid w:val="00A8267E"/>
    <w:rsid w:val="00A93570"/>
    <w:rsid w:val="00A9617A"/>
    <w:rsid w:val="00AA1A2C"/>
    <w:rsid w:val="00AA223C"/>
    <w:rsid w:val="00AF77DA"/>
    <w:rsid w:val="00B107A4"/>
    <w:rsid w:val="00B1441B"/>
    <w:rsid w:val="00B362F7"/>
    <w:rsid w:val="00B735E3"/>
    <w:rsid w:val="00B9433D"/>
    <w:rsid w:val="00BB2AC1"/>
    <w:rsid w:val="00C04938"/>
    <w:rsid w:val="00C175C0"/>
    <w:rsid w:val="00C36610"/>
    <w:rsid w:val="00C47E30"/>
    <w:rsid w:val="00C54F53"/>
    <w:rsid w:val="00C75378"/>
    <w:rsid w:val="00C80F5C"/>
    <w:rsid w:val="00C85D0F"/>
    <w:rsid w:val="00CA0D01"/>
    <w:rsid w:val="00CF7076"/>
    <w:rsid w:val="00D41244"/>
    <w:rsid w:val="00D438D0"/>
    <w:rsid w:val="00D44697"/>
    <w:rsid w:val="00D47632"/>
    <w:rsid w:val="00D625A2"/>
    <w:rsid w:val="00D71751"/>
    <w:rsid w:val="00D759AA"/>
    <w:rsid w:val="00D765A1"/>
    <w:rsid w:val="00D82D0F"/>
    <w:rsid w:val="00D90C63"/>
    <w:rsid w:val="00DA7632"/>
    <w:rsid w:val="00DB01D4"/>
    <w:rsid w:val="00E01434"/>
    <w:rsid w:val="00E05697"/>
    <w:rsid w:val="00E12435"/>
    <w:rsid w:val="00E3462E"/>
    <w:rsid w:val="00E729C7"/>
    <w:rsid w:val="00E83B40"/>
    <w:rsid w:val="00E9601C"/>
    <w:rsid w:val="00EA78B3"/>
    <w:rsid w:val="00EB19AA"/>
    <w:rsid w:val="00EC2C85"/>
    <w:rsid w:val="00EE3573"/>
    <w:rsid w:val="00F036E0"/>
    <w:rsid w:val="00F129D0"/>
    <w:rsid w:val="00F46E44"/>
    <w:rsid w:val="00F611FC"/>
    <w:rsid w:val="00F61E8C"/>
    <w:rsid w:val="00F707AB"/>
    <w:rsid w:val="00F96D53"/>
    <w:rsid w:val="00F97D2C"/>
    <w:rsid w:val="00FB459D"/>
    <w:rsid w:val="00FD6D20"/>
    <w:rsid w:val="00FF00D4"/>
    <w:rsid w:val="00FF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976CC9"/>
  <w15:chartTrackingRefBased/>
  <w15:docId w15:val="{FCE31CC5-EB65-4494-B254-5838EF027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263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DA7632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A763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A7632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sid w:val="00DA7632"/>
    <w:rPr>
      <w:rFonts w:ascii="Arial" w:hAnsi="Arial"/>
      <w:vanish/>
      <w:color w:val="808080"/>
      <w:sz w:val="20"/>
    </w:rPr>
  </w:style>
  <w:style w:type="paragraph" w:customStyle="1" w:styleId="PageHeadingNotTOC">
    <w:name w:val="PageHeadingNotTOC"/>
    <w:basedOn w:val="Normal"/>
    <w:rsid w:val="00DA763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DA763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A7632"/>
    <w:pPr>
      <w:spacing w:after="480"/>
      <w:ind w:left="1417"/>
    </w:pPr>
  </w:style>
  <w:style w:type="paragraph" w:customStyle="1" w:styleId="CoverNormal">
    <w:name w:val="CoverNormal"/>
    <w:basedOn w:val="Normal"/>
    <w:rsid w:val="00DA7632"/>
    <w:pPr>
      <w:ind w:left="1418"/>
    </w:pPr>
  </w:style>
  <w:style w:type="paragraph" w:styleId="Header">
    <w:name w:val="header"/>
    <w:basedOn w:val="Normal"/>
    <w:link w:val="HeaderChar"/>
    <w:semiHidden/>
    <w:rsid w:val="00FF158E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DA7632"/>
    <w:pPr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DA7632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CoverDate">
    <w:name w:val="CoverDate"/>
    <w:basedOn w:val="Normal"/>
    <w:rsid w:val="00DA7632"/>
    <w:pPr>
      <w:spacing w:before="240" w:after="1200"/>
    </w:pPr>
  </w:style>
  <w:style w:type="paragraph" w:customStyle="1" w:styleId="NormalHanging12a">
    <w:name w:val="NormalHanging12a"/>
    <w:basedOn w:val="Normal"/>
    <w:link w:val="NormalHanging12aChar"/>
    <w:rsid w:val="00DA7632"/>
    <w:pPr>
      <w:spacing w:after="240"/>
      <w:ind w:left="567" w:hanging="567"/>
    </w:pPr>
  </w:style>
  <w:style w:type="paragraph" w:customStyle="1" w:styleId="Subheading">
    <w:name w:val="Subheading"/>
    <w:basedOn w:val="Normal"/>
    <w:rsid w:val="00DA7632"/>
    <w:pPr>
      <w:spacing w:before="480" w:after="240"/>
    </w:pPr>
    <w:rPr>
      <w:b/>
      <w:i/>
      <w:szCs w:val="24"/>
    </w:rPr>
  </w:style>
  <w:style w:type="table" w:styleId="TableGrid">
    <w:name w:val="Table Grid"/>
    <w:basedOn w:val="TableNormal"/>
    <w:rsid w:val="00E96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DA763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DA7632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DA7632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DA763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A7632"/>
    <w:pPr>
      <w:jc w:val="right"/>
    </w:pPr>
  </w:style>
  <w:style w:type="paragraph" w:customStyle="1" w:styleId="EPFooter">
    <w:name w:val="EPFooter"/>
    <w:basedOn w:val="Normal"/>
    <w:rsid w:val="00DA763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FF158E"/>
    <w:rPr>
      <w:sz w:val="24"/>
    </w:rPr>
  </w:style>
  <w:style w:type="paragraph" w:styleId="Footer">
    <w:name w:val="footer"/>
    <w:basedOn w:val="Normal"/>
    <w:link w:val="FooterChar"/>
    <w:semiHidden/>
    <w:rsid w:val="007A0D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7A0D42"/>
    <w:rPr>
      <w:sz w:val="24"/>
    </w:rPr>
  </w:style>
  <w:style w:type="paragraph" w:styleId="CommentText">
    <w:name w:val="annotation text"/>
    <w:basedOn w:val="Normal"/>
    <w:link w:val="CommentTextChar"/>
    <w:unhideWhenUsed/>
    <w:rsid w:val="00C80F5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80F5C"/>
  </w:style>
  <w:style w:type="character" w:styleId="CommentReference">
    <w:name w:val="annotation reference"/>
    <w:basedOn w:val="DefaultParagraphFont"/>
    <w:unhideWhenUsed/>
    <w:rsid w:val="00C80F5C"/>
    <w:rPr>
      <w:sz w:val="16"/>
      <w:szCs w:val="16"/>
    </w:rPr>
  </w:style>
  <w:style w:type="paragraph" w:customStyle="1" w:styleId="Normal24a">
    <w:name w:val="Normal24a"/>
    <w:basedOn w:val="Normal"/>
    <w:rsid w:val="00C80F5C"/>
    <w:pPr>
      <w:spacing w:after="480"/>
    </w:pPr>
    <w:rPr>
      <w:szCs w:val="24"/>
    </w:rPr>
  </w:style>
  <w:style w:type="paragraph" w:customStyle="1" w:styleId="NormalBoldCenter">
    <w:name w:val="NormalBoldCenter"/>
    <w:basedOn w:val="Normal"/>
    <w:rsid w:val="00C80F5C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C80F5C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C80F5C"/>
    <w:rPr>
      <w:szCs w:val="24"/>
    </w:rPr>
  </w:style>
  <w:style w:type="paragraph" w:styleId="FootnoteText">
    <w:name w:val="footnote text"/>
    <w:basedOn w:val="Normal"/>
    <w:link w:val="FootnoteTextChar"/>
    <w:rsid w:val="00C80F5C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C80F5C"/>
  </w:style>
  <w:style w:type="character" w:styleId="FootnoteReference">
    <w:name w:val="footnote reference"/>
    <w:basedOn w:val="DefaultParagraphFont"/>
    <w:rsid w:val="00C80F5C"/>
    <w:rPr>
      <w:vertAlign w:val="superscript"/>
    </w:rPr>
  </w:style>
  <w:style w:type="character" w:styleId="Hyperlink">
    <w:name w:val="Hyperlink"/>
    <w:basedOn w:val="DefaultParagraphFont"/>
    <w:rsid w:val="00C80F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0F5C"/>
    <w:rPr>
      <w:color w:val="605E5C"/>
      <w:shd w:val="clear" w:color="auto" w:fill="E1DFDD"/>
    </w:rPr>
  </w:style>
  <w:style w:type="character" w:customStyle="1" w:styleId="NormalHanging12aChar">
    <w:name w:val="NormalHanging12a Char"/>
    <w:basedOn w:val="DefaultParagraphFont"/>
    <w:link w:val="NormalHanging12a"/>
    <w:rsid w:val="004D04D6"/>
    <w:rPr>
      <w:sz w:val="24"/>
    </w:rPr>
  </w:style>
  <w:style w:type="paragraph" w:customStyle="1" w:styleId="RollCallSymbols14pt">
    <w:name w:val="RollCallSymbols14pt"/>
    <w:basedOn w:val="Normal"/>
    <w:rsid w:val="004D04D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4D04D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4D04D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4D04D6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1936</Words>
  <Characters>14040</Characters>
  <Application>Microsoft Office Word</Application>
  <DocSecurity>0</DocSecurity>
  <Lines>264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PA_NonLegDec</vt:lpstr>
    </vt:vector>
  </TitlesOfParts>
  <Company/>
  <LinksUpToDate>false</LinksUpToDate>
  <CharactersWithSpaces>15877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PA_NonLegDec</dc:title>
  <dc:creator>European Parliament</dc:creator>
  <cp:lastModifiedBy>European Parliament</cp:lastModifiedBy>
  <cp:revision>2</cp:revision>
  <cp:lastPrinted>2004-10-28T10:33:00Z</cp:lastPrinted>
  <dcterms:created xsi:type="dcterms:W3CDTF">2026-02-10T07:42:00Z</dcterms:created>
  <dcterms:modified xsi:type="dcterms:W3CDTF">2026-02-10T07:42:00Z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1336056</vt:lpwstr>
  </property>
  <property fmtid="{D5CDD505-2E9C-101B-9397-08002B2CF9AE}" pid="4" name="&lt;Model&gt;">
    <vt:lpwstr>PA_NonLegDec</vt:lpwstr>
  </property>
  <property fmtid="{D5CDD505-2E9C-101B-9397-08002B2CF9AE}" pid="5" name="&lt;ModelCod&gt;">
    <vt:lpwstr>\\eiciBRUpr1\pdocep$\DocEP\DOCS\General\PA\PA_NonLeg\PA_NonLegDec.dotx(08/11/2024 09:44:10)</vt:lpwstr>
  </property>
  <property fmtid="{D5CDD505-2E9C-101B-9397-08002B2CF9AE}" pid="6" name="&lt;ModelTra&gt;">
    <vt:lpwstr>\\eiciBRUpr1\pdocep$\DocEP\TRANSFIL\EN\PA_NonLegDec.EN(21/01/2025 14:39:00)</vt:lpwstr>
  </property>
  <property fmtid="{D5CDD505-2E9C-101B-9397-08002B2CF9AE}" pid="7" name="&lt;Type&gt;">
    <vt:lpwstr>AD</vt:lpwstr>
  </property>
  <property fmtid="{D5CDD505-2E9C-101B-9397-08002B2CF9AE}" pid="8" name="Bookout">
    <vt:lpwstr>OK - 2026/02/10 08:42</vt:lpwstr>
  </property>
  <property fmtid="{D5CDD505-2E9C-101B-9397-08002B2CF9AE}" pid="9" name="Created with">
    <vt:lpwstr>10.2.0 Build [20251001]</vt:lpwstr>
  </property>
  <property fmtid="{D5CDD505-2E9C-101B-9397-08002B2CF9AE}" pid="10" name="FooterPath">
    <vt:lpwstr>AD\1336056MT.docx</vt:lpwstr>
  </property>
  <property fmtid="{D5CDD505-2E9C-101B-9397-08002B2CF9AE}" pid="11" name="LastEdited with">
    <vt:lpwstr>10.2.1 Build [20260110]</vt:lpwstr>
  </property>
  <property fmtid="{D5CDD505-2E9C-101B-9397-08002B2CF9AE}" pid="12" name="PE number">
    <vt:lpwstr>779.547</vt:lpwstr>
  </property>
  <property fmtid="{D5CDD505-2E9C-101B-9397-08002B2CF9AE}" pid="13" name="SDLStudio">
    <vt:lpwstr/>
  </property>
  <property fmtid="{D5CDD505-2E9C-101B-9397-08002B2CF9AE}" pid="14" name="SendToEpades">
    <vt:lpwstr>OK - 2025/11/10 13:32</vt:lpwstr>
  </property>
</Properties>
</file>