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0B2AC7" w14:paraId="167A7836" w14:textId="77777777" w:rsidTr="00C85D0F">
        <w:trPr>
          <w:trHeight w:hRule="exact" w:val="1418"/>
        </w:trPr>
        <w:tc>
          <w:tcPr>
            <w:tcW w:w="6804" w:type="dxa"/>
            <w:shd w:val="clear" w:color="auto" w:fill="auto"/>
            <w:vAlign w:val="center"/>
          </w:tcPr>
          <w:p w14:paraId="2D5B80A6" w14:textId="77777777" w:rsidR="004F48ED" w:rsidRPr="000B2AC7" w:rsidRDefault="00973A47" w:rsidP="00C85D0F">
            <w:pPr>
              <w:pStyle w:val="EPName"/>
            </w:pPr>
            <w:r>
              <w:t>Parlamentul European</w:t>
            </w:r>
          </w:p>
          <w:p w14:paraId="2A632098" w14:textId="24ADF50F" w:rsidR="004F48ED" w:rsidRPr="000B2AC7" w:rsidRDefault="000B7603" w:rsidP="00C85D0F">
            <w:pPr>
              <w:pStyle w:val="EPTerm"/>
            </w:pPr>
            <w:r>
              <w:t>2024-2029</w:t>
            </w:r>
          </w:p>
        </w:tc>
        <w:tc>
          <w:tcPr>
            <w:tcW w:w="2268" w:type="dxa"/>
            <w:shd w:val="clear" w:color="auto" w:fill="auto"/>
          </w:tcPr>
          <w:p w14:paraId="37E63B37" w14:textId="77777777" w:rsidR="004F48ED" w:rsidRPr="000B2AC7" w:rsidRDefault="004F48ED" w:rsidP="00C85D0F">
            <w:pPr>
              <w:pStyle w:val="EPLogo"/>
            </w:pPr>
            <w:r w:rsidRPr="000B2AC7">
              <w:rPr>
                <w:noProof/>
                <w:lang w:eastAsia="ja-JP"/>
              </w:rPr>
              <w:drawing>
                <wp:inline distT="0" distB="0" distL="0" distR="0" wp14:anchorId="5AD939A0" wp14:editId="5A8493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62712D" w14:textId="77777777" w:rsidR="00E9601C" w:rsidRPr="000B2AC7" w:rsidRDefault="00E9601C" w:rsidP="00E9601C">
      <w:pPr>
        <w:pStyle w:val="LineTop"/>
      </w:pPr>
    </w:p>
    <w:p w14:paraId="229CC914" w14:textId="2E6ACC7A" w:rsidR="00E9601C" w:rsidRPr="000B2AC7" w:rsidRDefault="00E9601C" w:rsidP="00E9601C">
      <w:pPr>
        <w:pStyle w:val="EPBody"/>
      </w:pPr>
      <w:r>
        <w:rPr>
          <w:rStyle w:val="HideTWBExt"/>
        </w:rPr>
        <w:t>&lt;</w:t>
      </w:r>
      <w:r>
        <w:rPr>
          <w:rStyle w:val="HideTWBExt"/>
          <w:i w:val="0"/>
        </w:rPr>
        <w:t>Commission</w:t>
      </w:r>
      <w:r>
        <w:rPr>
          <w:rStyle w:val="HideTWBExt"/>
        </w:rPr>
        <w:t>&gt;</w:t>
      </w:r>
      <w:r>
        <w:rPr>
          <w:rStyle w:val="HideTWBInt"/>
        </w:rPr>
        <w:t>{PECH}</w:t>
      </w:r>
      <w:r>
        <w:t>Comisia pentru pescuit</w:t>
      </w:r>
      <w:r>
        <w:rPr>
          <w:rStyle w:val="HideTWBExt"/>
        </w:rPr>
        <w:t>&lt;/</w:t>
      </w:r>
      <w:r>
        <w:rPr>
          <w:rStyle w:val="HideTWBExt"/>
          <w:i w:val="0"/>
        </w:rPr>
        <w:t>Commission</w:t>
      </w:r>
      <w:r>
        <w:rPr>
          <w:rStyle w:val="HideTWBExt"/>
        </w:rPr>
        <w:t>&gt;</w:t>
      </w:r>
    </w:p>
    <w:p w14:paraId="73DAD64F" w14:textId="77777777" w:rsidR="00E9601C" w:rsidRPr="000B2AC7" w:rsidRDefault="00E9601C" w:rsidP="00E9601C">
      <w:pPr>
        <w:pStyle w:val="LineBottom"/>
      </w:pPr>
    </w:p>
    <w:p w14:paraId="2D5C90EF" w14:textId="650EC37B" w:rsidR="004E54DC" w:rsidRPr="000B2AC7" w:rsidRDefault="004E54DC" w:rsidP="004E54DC">
      <w:pPr>
        <w:pStyle w:val="CoverReference"/>
      </w:pPr>
      <w:r>
        <w:rPr>
          <w:rStyle w:val="HideTWBExt"/>
          <w:b w:val="0"/>
        </w:rPr>
        <w:t>&lt;RefProc&gt;</w:t>
      </w:r>
      <w:r>
        <w:t>2025/2156</w:t>
      </w:r>
      <w:r>
        <w:rPr>
          <w:rStyle w:val="HideTWBExt"/>
          <w:b w:val="0"/>
        </w:rPr>
        <w:t>&lt;/RefProc&gt;&lt;RefTypeProc&gt;</w:t>
      </w:r>
      <w:r>
        <w:t>(DEC)</w:t>
      </w:r>
      <w:r>
        <w:rPr>
          <w:rStyle w:val="HideTWBExt"/>
          <w:b w:val="0"/>
        </w:rPr>
        <w:t>&lt;/RefTypeProc&gt;</w:t>
      </w:r>
    </w:p>
    <w:p w14:paraId="5330DA98" w14:textId="534A3463" w:rsidR="002E2F2E" w:rsidRPr="000B2AC7" w:rsidRDefault="002E2F2E">
      <w:pPr>
        <w:pStyle w:val="CoverDate"/>
      </w:pPr>
      <w:r>
        <w:rPr>
          <w:rStyle w:val="HideTWBExt"/>
        </w:rPr>
        <w:t>&lt;Date&gt;</w:t>
      </w:r>
      <w:r>
        <w:rPr>
          <w:rStyle w:val="HideTWBInt"/>
        </w:rPr>
        <w:t>{27/01/2026}</w:t>
      </w:r>
      <w:r>
        <w:t>27.1.2026</w:t>
      </w:r>
      <w:r>
        <w:rPr>
          <w:rStyle w:val="HideTWBExt"/>
        </w:rPr>
        <w:t>&lt;/Date&gt;</w:t>
      </w:r>
    </w:p>
    <w:p w14:paraId="143ED4C9" w14:textId="09D277E6" w:rsidR="002E2F2E" w:rsidRPr="000B2AC7" w:rsidRDefault="002E2F2E">
      <w:pPr>
        <w:pStyle w:val="CoverDocType24a"/>
      </w:pPr>
      <w:r>
        <w:rPr>
          <w:rStyle w:val="HideTWBExt"/>
          <w:b w:val="0"/>
        </w:rPr>
        <w:t>&lt;TitreType&gt;</w:t>
      </w:r>
      <w:r>
        <w:t>AVIZ</w:t>
      </w:r>
      <w:r>
        <w:rPr>
          <w:rStyle w:val="HideTWBExt"/>
          <w:b w:val="0"/>
        </w:rPr>
        <w:t>&lt;/TitreType&gt;</w:t>
      </w:r>
    </w:p>
    <w:p w14:paraId="4975D525" w14:textId="4D7B50D2" w:rsidR="002E2F2E" w:rsidRPr="000B2AC7" w:rsidRDefault="002E2F2E">
      <w:pPr>
        <w:pStyle w:val="CoverNormal24a"/>
      </w:pPr>
      <w:r>
        <w:rPr>
          <w:rStyle w:val="HideTWBExt"/>
        </w:rPr>
        <w:t>&lt;CommissionResp&gt;</w:t>
      </w:r>
      <w:r>
        <w:t>al Comisiei pentru pescuit</w:t>
      </w:r>
      <w:r>
        <w:rPr>
          <w:rStyle w:val="HideTWBExt"/>
        </w:rPr>
        <w:t>&lt;/CommissionResp&gt;</w:t>
      </w:r>
    </w:p>
    <w:p w14:paraId="487EDA23" w14:textId="77777777" w:rsidR="002E2F2E" w:rsidRPr="000B2AC7" w:rsidRDefault="002E2F2E" w:rsidP="0095497D">
      <w:pPr>
        <w:pStyle w:val="CoverNormal24a"/>
      </w:pPr>
      <w:r>
        <w:rPr>
          <w:rStyle w:val="HideTWBExt"/>
        </w:rPr>
        <w:t>&lt;CommissionInt&gt;</w:t>
      </w:r>
      <w:r>
        <w:t>destinat Comisiei pentru control bugetar</w:t>
      </w:r>
      <w:r>
        <w:rPr>
          <w:rStyle w:val="HideTWBExt"/>
        </w:rPr>
        <w:t>&lt;/CommissionInt&gt;</w:t>
      </w:r>
    </w:p>
    <w:p w14:paraId="4583478F" w14:textId="343D042D" w:rsidR="002E2F2E" w:rsidRPr="000B2AC7" w:rsidRDefault="002E2F2E">
      <w:pPr>
        <w:pStyle w:val="CoverNormal"/>
      </w:pPr>
      <w:r>
        <w:rPr>
          <w:rStyle w:val="HideTWBExt"/>
        </w:rPr>
        <w:t>&lt;Titre&gt;</w:t>
      </w:r>
      <w:r>
        <w:t>referitor la descărcarea de gestiune pentru execu</w:t>
      </w:r>
      <w:r w:rsidR="00A81801">
        <w:t>ț</w:t>
      </w:r>
      <w:r>
        <w:t>ia bugetului agen</w:t>
      </w:r>
      <w:r w:rsidR="00A81801">
        <w:t>ț</w:t>
      </w:r>
      <w:r>
        <w:t>iilor Uniunii Europene aferent exerci</w:t>
      </w:r>
      <w:r w:rsidR="00A81801">
        <w:t>ț</w:t>
      </w:r>
      <w:r>
        <w:t>iului financiar 2024</w:t>
      </w:r>
      <w:r>
        <w:rPr>
          <w:rStyle w:val="HideTWBExt"/>
        </w:rPr>
        <w:t>&lt;/Titre&gt;</w:t>
      </w:r>
    </w:p>
    <w:p w14:paraId="585D006E" w14:textId="26B151DA" w:rsidR="002E2F2E" w:rsidRPr="000B2AC7" w:rsidRDefault="002E2F2E">
      <w:pPr>
        <w:pStyle w:val="CoverNormal24a"/>
      </w:pPr>
      <w:r>
        <w:rPr>
          <w:rStyle w:val="HideTWBExt"/>
        </w:rPr>
        <w:t>&lt;DocRef&gt;</w:t>
      </w:r>
      <w:r>
        <w:t>(2025/2156(DEC))</w:t>
      </w:r>
      <w:r>
        <w:rPr>
          <w:rStyle w:val="HideTWBExt"/>
        </w:rPr>
        <w:t>&lt;/DocRef&gt;</w:t>
      </w:r>
    </w:p>
    <w:p w14:paraId="02E660BE" w14:textId="2450F8E0" w:rsidR="002E2F2E" w:rsidRPr="000B2AC7" w:rsidRDefault="00973A47">
      <w:pPr>
        <w:pStyle w:val="CoverNormal24a"/>
      </w:pPr>
      <w:r>
        <w:t xml:space="preserve">Raportor pentru aviz: </w:t>
      </w:r>
      <w:r>
        <w:rPr>
          <w:rStyle w:val="HideTWBExt"/>
        </w:rPr>
        <w:t>&lt;Depute&gt;</w:t>
      </w:r>
      <w:r>
        <w:t>Giuseppe Lupo</w:t>
      </w:r>
      <w:r>
        <w:rPr>
          <w:rStyle w:val="HideTWBExt"/>
        </w:rPr>
        <w:t>&lt;/Depute&gt;</w:t>
      </w:r>
    </w:p>
    <w:p w14:paraId="1321A7E0" w14:textId="77777777" w:rsidR="002E2F2E" w:rsidRPr="000B2AC7" w:rsidRDefault="002E2F2E" w:rsidP="00BB2AC1">
      <w:pPr>
        <w:widowControl/>
        <w:tabs>
          <w:tab w:val="center" w:pos="4677"/>
        </w:tabs>
      </w:pPr>
      <w:r>
        <w:br w:type="page"/>
      </w:r>
      <w:r>
        <w:lastRenderedPageBreak/>
        <w:t>PA_NonLegDec</w:t>
      </w:r>
    </w:p>
    <w:p w14:paraId="054B0C71" w14:textId="77777777" w:rsidR="00271EFC" w:rsidRPr="000B2AC7" w:rsidRDefault="002E2F2E" w:rsidP="00271EFC">
      <w:pPr>
        <w:pStyle w:val="PageHeadingNotTOC"/>
      </w:pPr>
      <w:r>
        <w:br w:type="page"/>
      </w:r>
      <w:r w:rsidR="00271EFC">
        <w:lastRenderedPageBreak/>
        <w:t>AVIZ</w:t>
      </w:r>
    </w:p>
    <w:p w14:paraId="2B2908F2" w14:textId="77777777" w:rsidR="00271EFC" w:rsidRPr="000B2AC7" w:rsidRDefault="00271EFC" w:rsidP="00271EFC">
      <w:pPr>
        <w:pStyle w:val="Normal12a"/>
      </w:pPr>
      <w:r>
        <w:t>Comisia pentru pescuit recomandă Comisiei pentru control bugetar, care este comisie competentă, includerea în propunerea de rezoluție ce urmează a fi adoptată a următoarelor:</w:t>
      </w:r>
    </w:p>
    <w:p w14:paraId="6048F7BB" w14:textId="77777777" w:rsidR="00271EFC" w:rsidRPr="000B2AC7" w:rsidRDefault="00271EFC" w:rsidP="00271EFC">
      <w:pPr>
        <w:pStyle w:val="NormalHanging12a"/>
      </w:pPr>
      <w:r>
        <w:t>1.</w:t>
      </w:r>
      <w:r>
        <w:tab/>
        <w:t>ia act de raportul Curții de Conturi („Curtea”) privind conturile anuale ale Agenției Europene pentru Controlul Pescuitului („Agenția”) pentru exercițiul financiar 2024, de raportul anual de activitate pe 2024 al Agenției și de analiza și evaluarea acestui raport de către consiliul de administrație al Agenției;</w:t>
      </w:r>
    </w:p>
    <w:p w14:paraId="6A54AAFE" w14:textId="77777777" w:rsidR="00271EFC" w:rsidRPr="000B2AC7" w:rsidRDefault="00271EFC" w:rsidP="00271EFC">
      <w:pPr>
        <w:pStyle w:val="NormalHanging12a"/>
      </w:pPr>
      <w:r>
        <w:t>2.</w:t>
      </w:r>
      <w:r>
        <w:tab/>
        <w:t xml:space="preserve">își exprimă satisfacția cu privire la activitățile desfășurate de Curte și la declarația Curții potrivit căreia conturile Agenției pentru exercițiul încheiat la 31 decembrie 2024 sunt conforme cu Regulamentul financiar al Uniunii și cu normele contabile adoptate de contabilul Comisiei; ia act de observațiile Curții cu privire la sistemele de gestiune și control și de utilizarea repetată a reportărilor; apreciază explicațiile Agenției și angajamentul său de a aborda aceste probleme; </w:t>
      </w:r>
    </w:p>
    <w:p w14:paraId="4D30C391" w14:textId="77777777" w:rsidR="00271EFC" w:rsidRPr="000B2AC7" w:rsidRDefault="00271EFC" w:rsidP="00271EFC">
      <w:pPr>
        <w:pStyle w:val="NormalHanging12a"/>
      </w:pPr>
      <w:r>
        <w:t>3.</w:t>
      </w:r>
      <w:r>
        <w:tab/>
        <w:t>constată că Agenția a primit inițial contribuții în valoare de 30,58 milioane EUR de la bugetul general al Uniunii în 2024, ceea ce reprezintă o creștere de 1,61 % față de 2023; contribuția finală de la bugetul general primită de Agenție, după aprobarea bugetului rectificativ, s-a ridicat la 30,79 milioane EUR, ceea ce reprezintă o creștere finală de 2,31 % față de 2023; subliniază că atât bugetul anual al Agenției, cât și numărul de angajați sunt printre cele mai reduse în rândul agențiilor Uniunii; evidențiază că, între timp, activitățile Agenției au crescut, în special eforturile sale de combatere a pescuitului INN și a impactului acestuia asupra sustenabilității stocurilor de pește, a economiei, a suveranității și a securității Uniunii și a regiunilor sale ultraperiferice;</w:t>
      </w:r>
    </w:p>
    <w:p w14:paraId="62CB5DBA" w14:textId="77777777" w:rsidR="00271EFC" w:rsidRPr="000B2AC7" w:rsidRDefault="00271EFC" w:rsidP="00271EFC">
      <w:pPr>
        <w:pStyle w:val="NormalHanging12a"/>
        <w:rPr>
          <w:noProof/>
        </w:rPr>
      </w:pPr>
      <w:r>
        <w:t>4.</w:t>
      </w:r>
      <w:r>
        <w:tab/>
        <w:t>evidențiază că Agenția a primit „alte venituri” în valoare de 1,23 milioane EUR și, prin urmare, veniturile totale ale Agenției s-au ridicat la 32,02 milioane EUR;</w:t>
      </w:r>
    </w:p>
    <w:p w14:paraId="2ED7906C" w14:textId="77777777" w:rsidR="00271EFC" w:rsidRPr="000B2AC7" w:rsidRDefault="00271EFC" w:rsidP="00271EFC">
      <w:pPr>
        <w:pStyle w:val="NormalHanging12a"/>
      </w:pPr>
      <w:r>
        <w:t>5.</w:t>
      </w:r>
      <w:r>
        <w:tab/>
        <w:t>observă că în exercițiul financiar 2024 Agenția și-a putut pune în practică 99,5 % din programul anual de lucru, în comparație cu 98 % în 2023; observă că Agenția a fost în măsură să-și desfășoare operațiunile și să-și execute bugetul conform planificării; felicită Agenția pentru execuția bugetară de 100 % în ceea ce privește angajamentele și de 76,6 % în ceea ce privește plățile, ceea ce reprezintă o creștere de 4 % față de 2023; observă că, luând în considerare veniturile alocate, Agenția a realizat o execuție de 92,3 % în materie de angajamente și de 76,9 % în ceea ce privește plățile; consideră că acest nivel de execuție și eficiență în utilizarea fondurilor publice este un exemplu de bună gestiune care ar trebui să fie o sursă de inspirație pentru alte agenții ale UE, în special într-un moment în care disciplina bugetară și utilizarea responsabilă a fondurilor trebuie să fie o prioritate;</w:t>
      </w:r>
    </w:p>
    <w:p w14:paraId="1ECC4FA3" w14:textId="77777777" w:rsidR="00271EFC" w:rsidRPr="000B2AC7" w:rsidRDefault="00271EFC" w:rsidP="00271EFC">
      <w:pPr>
        <w:pStyle w:val="NormalHanging12a"/>
      </w:pPr>
      <w:bookmarkStart w:id="0" w:name="_Hlk220419949"/>
      <w:r>
        <w:t>6.</w:t>
      </w:r>
      <w:r>
        <w:tab/>
        <w:t xml:space="preserve">reamintește abordarea Uniunii de „toleranță zero” față de pescuitul ilegal, nedeclarat și nereglementat (INN) și rolul vital al Agenției în combaterea pescuitului INN, precum și contribuția ei la punerea în aplicare a politicii comune în domeniul pescuitului (PCP); regretă, în acest sens, că, din cauza expirării contractului-cadru și a întârzierii contractului de achiziții publice comune cu Frontex, nu au putut fi închiriate mijloace aeriene cu aripă fixă; avertizează că expirarea acestor active aeriene limitează </w:t>
      </w:r>
      <w:r>
        <w:lastRenderedPageBreak/>
        <w:t>capacitatea operațională reală a Agenției în combaterea eficace a pescuitului INN; solicită revizuirea acestor proceduri pentru a preveni perturbările care ar putea duce la activități de pescuit ilegal în apele europene; constată că cheltuielile pentru navlosirea navelor de patrulare în larg au scăzut cu 2,5 %;</w:t>
      </w:r>
    </w:p>
    <w:p w14:paraId="1F17CFDF" w14:textId="77777777" w:rsidR="00271EFC" w:rsidRPr="000B2AC7" w:rsidRDefault="00271EFC" w:rsidP="00271EFC">
      <w:pPr>
        <w:pStyle w:val="NormalHanging12a"/>
      </w:pPr>
      <w:r>
        <w:t>7.</w:t>
      </w:r>
      <w:r>
        <w:tab/>
        <w:t>subliniază că, în pofida eforturilor actuale, pescuitul INN rămâne o problemă gravă în apele UE, denaturând competitivitatea, subminând sustenabilitatea stocurilor de pește și amenințând viabilitatea economică a sectorului pescuitului din UE și a comunităților costiere; accentuează necesitatea urgentă de a consolida capacitățile de supraveghere și monitorizare aeriană și maritimă, de a asigura sisteme de control și inspecție eficace și proporționale și de a oferi sprijin și formare specifice autorităților naționale și comunităților costiere locale, pentru a detecta, a preveni și a combate eficace activitățile INN în toate apele UE;</w:t>
      </w:r>
    </w:p>
    <w:p w14:paraId="6F8E6591" w14:textId="77777777" w:rsidR="00271EFC" w:rsidRPr="000B2AC7" w:rsidRDefault="00271EFC" w:rsidP="00271EFC">
      <w:pPr>
        <w:pStyle w:val="NormalHanging12a"/>
      </w:pPr>
      <w:r>
        <w:t>8.</w:t>
      </w:r>
      <w:r>
        <w:tab/>
        <w:t>subliniază că este important ca Agenția să se bazeze pe surse externe de venituri pentru a asigura fonduri pentru îndeplinirea obiectivelor sale statutare;</w:t>
      </w:r>
    </w:p>
    <w:p w14:paraId="44DB576C" w14:textId="77777777" w:rsidR="00271EFC" w:rsidRPr="000B2AC7" w:rsidRDefault="00271EFC" w:rsidP="00271EFC">
      <w:pPr>
        <w:pStyle w:val="NormalHanging12a"/>
      </w:pPr>
      <w:r>
        <w:t>9.</w:t>
      </w:r>
      <w:r>
        <w:tab/>
        <w:t>reamintește că statele membre sunt principalele responsabile pentru controlul activităților de pescuit, în timp ce sarcinile Agenției se limitează la sprijin, coordonare și oferirea de asistență statelor membre în acest domeniu; evidențiază, în special, că este important ca Agenția să contribuie la armonizarea controlului printr-o supraveghere uniformă, previzibilă și transparentă, evitând interpretările divergente între statele membre, care riscă să creeze un tratament inegal, pentru a asigura condiții de concurență echitabile și egalitate în ceea ce privește controalele; insistă că lipsa controlului asupra activităților de pescuit nu trebuie compensată prin creșterea sarcinilor suplimentare pentru operatori sau prin pierderea condițiilor de concurență echitabile;</w:t>
      </w:r>
    </w:p>
    <w:bookmarkEnd w:id="0"/>
    <w:p w14:paraId="2DB5ABDE" w14:textId="77777777" w:rsidR="00271EFC" w:rsidRPr="000B2AC7" w:rsidRDefault="00271EFC" w:rsidP="00271EFC">
      <w:pPr>
        <w:pStyle w:val="NormalHanging12a"/>
      </w:pPr>
      <w:r>
        <w:t>10.</w:t>
      </w:r>
      <w:r>
        <w:tab/>
        <w:t xml:space="preserve">subliniază că revizuirea recent adoptată a regulamentelor privind controlul pescuitului a dus la creșterea volumului de muncă al Agenției, în special pentru a permite o aplicare mai armonioasă a normelor în statele membre; subliniază că obligațiile tot mai mari fără resurse suficiente în acest sens ar afecta capacitatea Agenției de a-și îndeplini sarcinile importante; </w:t>
      </w:r>
    </w:p>
    <w:p w14:paraId="2D8F3120" w14:textId="77777777" w:rsidR="00271EFC" w:rsidRPr="000B2AC7" w:rsidRDefault="00271EFC" w:rsidP="00271EFC">
      <w:pPr>
        <w:pStyle w:val="NormalHanging12a"/>
      </w:pPr>
      <w:r>
        <w:t>11.</w:t>
      </w:r>
      <w:r>
        <w:tab/>
        <w:t xml:space="preserve">invită Comisia să colaboreze cu Agenția la elaborarea actelor delegate și a actelor de punere în aplicare a recent adoptatului Regulament privind controlul pescuitului și a regulamentelor referitoare la activitățile sale; </w:t>
      </w:r>
      <w:bookmarkStart w:id="1" w:name="_Hlk219831144"/>
      <w:r>
        <w:t>reamintește necesitatea de a orienta sectorul în punerea în aplicare a acestui cadru prin stabilirea de proiecte care să sprijine părțile interesate și administrațiile din domeniul pescuitului în tranziția către instrumente digitale și norme actualizate;</w:t>
      </w:r>
      <w:bookmarkEnd w:id="1"/>
    </w:p>
    <w:p w14:paraId="695C6B6B" w14:textId="77777777" w:rsidR="00271EFC" w:rsidRPr="000B2AC7" w:rsidRDefault="00271EFC" w:rsidP="00271EFC">
      <w:pPr>
        <w:pStyle w:val="NormalHanging12a"/>
      </w:pPr>
      <w:r>
        <w:t>12.</w:t>
      </w:r>
      <w:r>
        <w:tab/>
        <w:t>subliniază, prin urmare, că resursele financiare și umane la dispoziția Agenției trebuie să fie garantate și coerente cu sarcinile atribuite și activitățile ce urmează a fi desfășurate și pentru a evita orice presiune suplimentară asupra activității personalului și a calității condițiilor sale de lucru; invită Agenția să își continue eforturile pentru a asigura utilizarea optimă a creditelor alocate;</w:t>
      </w:r>
    </w:p>
    <w:p w14:paraId="1991DD10" w14:textId="77777777" w:rsidR="00271EFC" w:rsidRPr="000B2AC7" w:rsidRDefault="00271EFC" w:rsidP="00271EFC">
      <w:pPr>
        <w:pStyle w:val="NormalHanging12a"/>
      </w:pPr>
      <w:r>
        <w:t>13.</w:t>
      </w:r>
      <w:r>
        <w:tab/>
        <w:t xml:space="preserve">invită Agenția să sprijine monitorizarea și identificarea de către statele membre a încălcărilor grave, astfel cum sunt definite în Regulamentul (UE) 2023/2842, în special a încălcărilor menționate la articolul 90 alineatul (2) litera (p) privind munca forțată; </w:t>
      </w:r>
      <w:r>
        <w:lastRenderedPageBreak/>
        <w:t>subliniază importanța asigurării unei formări adecvate pentru inspectorii UE în ceea ce privește monitorizarea și identificarea încălcărilor grave;</w:t>
      </w:r>
    </w:p>
    <w:p w14:paraId="0BDA6597" w14:textId="77777777" w:rsidR="00271EFC" w:rsidRPr="000B2AC7" w:rsidRDefault="00271EFC" w:rsidP="00271EFC">
      <w:pPr>
        <w:pStyle w:val="NormalHanging12a"/>
      </w:pPr>
      <w:r>
        <w:t>14.</w:t>
      </w:r>
      <w:r>
        <w:tab/>
        <w:t>observă că, în 2024, Agenția a raportat un număr total de 45 734 de inspecții, ceea ce reprezintă o creștere de 1,65 % față de 2023; subliniază că, deși numărul inspecțiilor a crescut, ceea ce indică o alocare mai eficientă a resurselor, acest lucru arată, de asemenea, că este în continuare esențial să se asigure o monitorizare și o aplicare eficace în toate apele UE; consideră că majorarea cu 14 % a numărului de inspecții având ca rezultat cel puțin o încălcare suspectată în comparație cu 2023 oferă informații valoroase pentru consolidarea în continuare a conformității și asigurarea unei supravegheri eficace; evidențiază că Agenția ar trebui să-și intensifice activitățile de inspecție pentru a consolida asigurarea respectării legislației, a proteja stocurile de pește și a garanta mijloacele de subzistență ale pescarilor;</w:t>
      </w:r>
    </w:p>
    <w:p w14:paraId="5477FCDD" w14:textId="77777777" w:rsidR="00271EFC" w:rsidRPr="000B2AC7" w:rsidRDefault="00271EFC" w:rsidP="00271EFC">
      <w:pPr>
        <w:pStyle w:val="NormalHanging12a"/>
      </w:pPr>
      <w:r>
        <w:t>15.</w:t>
      </w:r>
      <w:r>
        <w:tab/>
        <w:t>reconfirmă angajamentul nostru față de un sistem internațional bazat pe norme și subliniază rolul important al Uniunii în guvernanța și diplomația maritimă internațională; subliniază, în acest sens și în ceea ce privește combaterea pescuitului INN, că Agenția are un rol important în a încuraja o aplicare sporită și armonizată a sistemelor de control existente ale UE, precum și colaborarea cu țările terțe pentru a contribui la consolidarea unei ordini globale bazate pe norme și, printre altele, a combate pescuitul ilegal și a asigura respectarea drepturilor omului, inclusiv a drepturilor sociale, ale celor care lucrează pe navele de pescuit;</w:t>
      </w:r>
    </w:p>
    <w:p w14:paraId="1A2C8E2B" w14:textId="77777777" w:rsidR="00271EFC" w:rsidRPr="000B2AC7" w:rsidRDefault="00271EFC" w:rsidP="00271EFC">
      <w:pPr>
        <w:pStyle w:val="NormalHanging12a"/>
      </w:pPr>
      <w:r>
        <w:t>16.</w:t>
      </w:r>
      <w:r>
        <w:tab/>
        <w:t>evidențiază că credibilitatea sistemului de guvernanță internațională al pescuitului sustenabil bazat pe norme depinde, de asemenea, de capacitatea Uniunii de a garanta că produsele pescărești importate din țări terțe pe piața europeană au fost produse respectând aceleași cerințe ca cele aplicabile flotelor UE; avertizează că există un risc de concurență neloială în cazul în care această coerență nu este asigurată cu strictețe;</w:t>
      </w:r>
    </w:p>
    <w:p w14:paraId="3A56BFF8" w14:textId="77777777" w:rsidR="00271EFC" w:rsidRPr="000B2AC7" w:rsidRDefault="00271EFC" w:rsidP="00271EFC">
      <w:pPr>
        <w:pStyle w:val="NormalHanging12a"/>
      </w:pPr>
      <w:r>
        <w:t>17.</w:t>
      </w:r>
      <w:r>
        <w:tab/>
        <w:t>salută sprijinul acordat de EFCA activității Uniunii în cadrul organizațiilor regionale de gestionare a pescuitului (ORGP) și cooperării cu țările din afara UE pentru a îmbunătăți conformitatea, a asigura condiții de concurență echitabile și a asigura consolidarea capacităților; subliniază rolul esențial al Agenției de sprijinire a statelor membre în monitorizarea coordonată a zonelor de pescuit cu acces restricționat, instituite de Comisia Generală pentru Pescuit în Marea Mediterană (CGPM);</w:t>
      </w:r>
    </w:p>
    <w:p w14:paraId="2D0F5759" w14:textId="77777777" w:rsidR="00271EFC" w:rsidRPr="000B2AC7" w:rsidRDefault="00271EFC" w:rsidP="00271EFC">
      <w:pPr>
        <w:pStyle w:val="NormalHanging12a"/>
      </w:pPr>
      <w:r>
        <w:t>18.</w:t>
      </w:r>
      <w:r>
        <w:tab/>
        <w:t>ia act cu apreciere de continuarea cooperării Agenției cu Agenția Europeană pentru Poliția de Frontieră și Garda de Coastă (FRONTEX) și cu Agenția Europeană pentru Siguranță Maritimă (EMSA) cu scopul de a sprijini autoritățile naționale care îndeplinesc funcții de pază de coastă, în conformitate cu articolul 8 din Regulamentul (UE) 2019/473; consideră că această este un exemplu bun de cooperare și de sinergii între agențiile Uniunii, care ar trebui să fie încurajate și să servească drept sursă de inspirație pentru agenții din alte domenii; încurajează Agenția să își continue eforturile în această direcție;</w:t>
      </w:r>
    </w:p>
    <w:p w14:paraId="4096CB65" w14:textId="77777777" w:rsidR="00271EFC" w:rsidRPr="000B2AC7" w:rsidRDefault="00271EFC" w:rsidP="00271EFC">
      <w:pPr>
        <w:pStyle w:val="NormalHanging12a"/>
      </w:pPr>
      <w:r>
        <w:t>19.</w:t>
      </w:r>
      <w:r>
        <w:tab/>
        <w:t xml:space="preserve">își exprimă convingerea că intensificarea cooperării dintre Agenție și Agenția Europeană de Mediu (AEM), în special în ceea ce privește schimbul de date, și Agenția Spațială Europeană (ESA) oferă beneficii cumulative; salută, în acest sens, semnarea unui memorandum de înțelegere (MoU) cu AEM pentru a face schimb de informații, </w:t>
      </w:r>
      <w:r>
        <w:lastRenderedPageBreak/>
        <w:t>cunoștințe și a desfășura proiecte-pilot pe mare, în special un proiect dedicat deșeurilor marine, inclusiv monitorizarea, recuperarea, colectarea și reciclarea uneltelor de pescuit abandonate sau pierdute în zonele maritime desemnate;</w:t>
      </w:r>
    </w:p>
    <w:p w14:paraId="7405C844" w14:textId="77777777" w:rsidR="00271EFC" w:rsidRPr="000B2AC7" w:rsidRDefault="00271EFC" w:rsidP="00271EFC">
      <w:pPr>
        <w:pStyle w:val="NormalHanging12a"/>
      </w:pPr>
      <w:r>
        <w:t>20.</w:t>
      </w:r>
      <w:r>
        <w:tab/>
        <w:t>evidențiază rolul Agenției care oferă sprijin țărilor terțe în domeniile consolidării capacităților și formării și rolul său crucial pentru a asigura condiții de concurență echitabile cu toate statele costiere;</w:t>
      </w:r>
    </w:p>
    <w:p w14:paraId="1CE0CC18" w14:textId="77777777" w:rsidR="00271EFC" w:rsidRPr="000B2AC7" w:rsidRDefault="00271EFC" w:rsidP="00271EFC">
      <w:pPr>
        <w:pStyle w:val="NormalHanging12a"/>
      </w:pPr>
      <w:r>
        <w:t>21.</w:t>
      </w:r>
      <w:r>
        <w:tab/>
        <w:t>constată că, deși pescuitul INN rămâne o problemă serioasă în apele UE, sprijinul specific și capacitățile consolidate pot îmbunătăți conformitatea și punerea în aplicare; subliniază, prin urmare, că EFCA ar trebui să continue să consolideze formarea și sprijinul pentru autoritățile naționale, inspectori și comunitățile costiere locale din UE pentru a detecta, a preveni și a combate mai bine activitățile INN;</w:t>
      </w:r>
    </w:p>
    <w:p w14:paraId="77028411" w14:textId="77777777" w:rsidR="00271EFC" w:rsidRPr="000B2AC7" w:rsidRDefault="00271EFC" w:rsidP="00271EFC">
      <w:pPr>
        <w:pStyle w:val="NormalHanging12a"/>
      </w:pPr>
      <w:r>
        <w:t>22.</w:t>
      </w:r>
      <w:r>
        <w:tab/>
        <w:t>evidențiază rolul esențial al Agenției în promovarea respectării normelor internaționale în domeniul pescuitului și în asigurarea unor condiții de concurență cu adevărat echitabile între Uniune și toate statele costiere, în special în ceea ce privește pescuitul partajat sau gestionat în comun; observă că implicarea coordonată, atât pe plan extern, cât și în cadrul Uniunii, este esențială pentru protejarea pescuitului sustenabil, pentru menținerea unei concurențe loiale și pentru protejarea viabilității sociale și economice pe termen lung a regiunilor noastre de coastă;</w:t>
      </w:r>
    </w:p>
    <w:p w14:paraId="369167BA" w14:textId="77777777" w:rsidR="00271EFC" w:rsidRPr="000B2AC7" w:rsidRDefault="00271EFC" w:rsidP="00271EFC">
      <w:pPr>
        <w:pStyle w:val="NormalHanging12a"/>
      </w:pPr>
      <w:r>
        <w:t>23.</w:t>
      </w:r>
      <w:r>
        <w:tab/>
        <w:t>constată că la 31 decembrie 2024 schema de personal era completată în proporție de 97 %, fiind ocupate 75 din cele 77 de posturi de agenți temporari autorizate de bugetul Uniunii; ia act de creșterea de 6,7 % a cheltuielilor cu personalul față de 2023;</w:t>
      </w:r>
    </w:p>
    <w:p w14:paraId="0345259D" w14:textId="77777777" w:rsidR="00271EFC" w:rsidRPr="000B2AC7" w:rsidRDefault="00271EFC" w:rsidP="00271EFC">
      <w:pPr>
        <w:pStyle w:val="NormalHanging12a"/>
      </w:pPr>
      <w:r>
        <w:t>24.</w:t>
      </w:r>
      <w:r>
        <w:tab/>
        <w:t>evidențiază angajamentul Agenției de a asigura egalitatea de tratament pentru întregul personal și de a realiza egalitatea de gen la toate gradele și nivelurile de responsabilitate; constată cu îngrijorare că femeile continuă să reprezinte doar 39 % din personalul angajat cu gradul AD 8 sau mai mare, cifră care a stagnat din 2021, deși procentul total al personalului de sex feminin este de 50 %; constată, prin urmare, că trebuie depuse mai multe eforturi pentru a atinge paritatea la nivelul conducerii; invită din nou Agenția să-și pună în aplicare și să consolideze strategia de paritate de gen și politica de incluziune;</w:t>
      </w:r>
    </w:p>
    <w:p w14:paraId="0EC09FC0" w14:textId="77777777" w:rsidR="00271EFC" w:rsidRPr="000B2AC7" w:rsidRDefault="00271EFC" w:rsidP="00271EFC">
      <w:pPr>
        <w:pStyle w:val="NormalHanging12a"/>
      </w:pPr>
      <w:r>
        <w:t>25.</w:t>
      </w:r>
      <w:r>
        <w:tab/>
        <w:t>își reafirmă convingerea că finanțarea insuficientă și absența unui fond autonom și dedicat pescuitului și acvaculturii în propunerea Comisiei pentru cadrul financiar multianual 2028-2034 vor spori dificultățile de colaborare specifică dintre Agenție și statele membre; subliniază că lipsa unei finanțări specifice suficiente ar avea, de asemenea, efecte negative grave asupra flotei de pescuit a UE și asupra capacității sale de a asigura conformitatea cu Regulamentul revizuit privind controlul pescuitului și, prin extensie, ar putea afecta implementarea necesară a politicii comune în domeniul pescuitului;</w:t>
      </w:r>
    </w:p>
    <w:p w14:paraId="0EBD4692" w14:textId="77777777" w:rsidR="00271EFC" w:rsidRPr="000B2AC7" w:rsidRDefault="00271EFC" w:rsidP="00271EFC">
      <w:pPr>
        <w:pStyle w:val="NormalHanging12a"/>
      </w:pPr>
      <w:r>
        <w:t>26.</w:t>
      </w:r>
      <w:r>
        <w:tab/>
        <w:t xml:space="preserve">este preocupat, de asemenea, de faptul că lipsa unor fonduri suficiente și dedicate pescuitului în viitorul CFM va submina capacitatea Agenției de a sprijini punerea în aplicare a PCP, în special în ceea ce privește armonizarea controlului pescuitului între statele membre, va submina lupta împotriva pescuitului INN și va reduce condițiile de concurență echitabile între flotele țărilor UE și între flotele UE și cele ale țărilor terțe; </w:t>
      </w:r>
      <w:r>
        <w:lastRenderedPageBreak/>
        <w:t>regretă lipsa unei finanțări suficiente și, prin urmare, invită Comisia și statele membre să prevadă sume cel puțin identice în prețuri constante pentru bugetul Agenției în următorul CFM;</w:t>
      </w:r>
    </w:p>
    <w:p w14:paraId="0E4913E7" w14:textId="77777777" w:rsidR="00271EFC" w:rsidRPr="000B2AC7" w:rsidRDefault="00271EFC" w:rsidP="00271EFC">
      <w:pPr>
        <w:pStyle w:val="NormalHanging12a"/>
      </w:pPr>
      <w:r>
        <w:t>27.</w:t>
      </w:r>
      <w:r>
        <w:tab/>
        <w:t>propune să se acorde directoarei executive a Agenției descărcarea de gestiune pentru execuția bugetului Agenției aferent exercițiului financiar 2024.</w:t>
      </w:r>
    </w:p>
    <w:p w14:paraId="248D35A0" w14:textId="77777777" w:rsidR="00271EFC" w:rsidRPr="000B2AC7" w:rsidRDefault="00271EFC" w:rsidP="00271EFC">
      <w:pPr>
        <w:pStyle w:val="NormalHanging12a"/>
      </w:pPr>
    </w:p>
    <w:p w14:paraId="584EF126" w14:textId="77777777" w:rsidR="00271EFC" w:rsidRDefault="00271EFC" w:rsidP="00271EFC">
      <w:pPr>
        <w:widowControl/>
        <w:sectPr w:rsidR="00271EFC" w:rsidSect="00271E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66A583B" w14:textId="77777777" w:rsidR="00271EFC" w:rsidRPr="000B2AC7" w:rsidRDefault="00271EFC" w:rsidP="00271EFC">
      <w:pPr>
        <w:pStyle w:val="PageHeadingNotTOC"/>
      </w:pPr>
    </w:p>
    <w:p w14:paraId="28C79831" w14:textId="77777777" w:rsidR="00271EFC" w:rsidRPr="00D7238E" w:rsidRDefault="00271EFC" w:rsidP="00271EFC">
      <w:pPr>
        <w:pStyle w:val="PageHeadingNotTOC"/>
      </w:pPr>
      <w:bookmarkStart w:id="2" w:name="FootprintPageAD"/>
      <w:r>
        <w:t>ANEXĂ: DECLARAȚIE PRIVIND CONTRIBUȚIILE</w:t>
      </w:r>
    </w:p>
    <w:p w14:paraId="0C265197" w14:textId="77777777" w:rsidR="00271EFC" w:rsidRPr="0099178F" w:rsidRDefault="00271EFC" w:rsidP="00271EFC">
      <w:pPr>
        <w:pStyle w:val="Normal24a"/>
      </w:pPr>
      <w:r>
        <w:rPr>
          <w:rStyle w:val="HideTWBExt"/>
        </w:rPr>
        <w:t>&lt;FootprintIntro&gt;</w:t>
      </w:r>
      <w:r>
        <w:t>Raportorul pentru aviz declară pe propria răspundere că nu a inclus în avizul său nicio contribuție de la reprezentanți de interese care intră sub incidența Acordului interinstituțional privind un registru de transparență obligatoriu</w:t>
      </w:r>
      <w:r>
        <w:rPr>
          <w:rStyle w:val="FootnoteReference"/>
        </w:rPr>
        <w:footnoteReference w:id="1"/>
      </w:r>
      <w:r>
        <w:t xml:space="preserve"> sau de la reprezentanți ai autorităților publice din țările terțe, inclusiv misiuni diplomatice și ambasade ale acestora, care trebuie menționată în prezenta anexă în conformitate cu articolul 8 din anexa I la Regulamentul de procedură.</w:t>
      </w:r>
      <w:r>
        <w:rPr>
          <w:rStyle w:val="HideTWBExt"/>
        </w:rPr>
        <w:t>&lt;/FootprintIntro&gt;</w:t>
      </w:r>
    </w:p>
    <w:p w14:paraId="3514D3C4" w14:textId="77777777" w:rsidR="00271EFC" w:rsidRPr="00A838A4" w:rsidRDefault="00271EFC" w:rsidP="00271EFC"/>
    <w:bookmarkEnd w:id="2"/>
    <w:p w14:paraId="7B0CCBBC" w14:textId="77777777" w:rsidR="00271EFC" w:rsidRDefault="00271EFC" w:rsidP="00271EFC">
      <w:pPr>
        <w:sectPr w:rsidR="00271EFC" w:rsidSect="00271EFC">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FC67E2" w14:textId="77777777" w:rsidR="00271EFC" w:rsidRPr="00A838A4" w:rsidRDefault="00271EFC" w:rsidP="00271EFC">
      <w:bookmarkStart w:id="3" w:name="RollCallPageAD"/>
    </w:p>
    <w:p w14:paraId="7C2A3A17" w14:textId="77777777" w:rsidR="00271EFC" w:rsidRDefault="00271EFC" w:rsidP="00271EFC">
      <w:pPr>
        <w:pStyle w:val="PageHeadingNotTOC"/>
      </w:pPr>
      <w:bookmarkStart w:id="4" w:name="ProcPageAD"/>
      <w:r>
        <w:t>INFORMAȚII PRIVIND ADOPTAREA</w:t>
      </w:r>
      <w:r>
        <w:br/>
        <w:t>DE CĂTRE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71EFC" w14:paraId="55825914" w14:textId="77777777" w:rsidTr="00CE26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038142" w14:textId="77777777" w:rsidR="00271EFC" w:rsidRDefault="00271EFC" w:rsidP="00CE269E">
            <w:pPr>
              <w:autoSpaceDE w:val="0"/>
              <w:autoSpaceDN w:val="0"/>
              <w:adjustRightInd w:val="0"/>
              <w:rPr>
                <w:b/>
                <w:bCs/>
                <w:color w:val="000000"/>
                <w:sz w:val="20"/>
              </w:rPr>
            </w:pPr>
            <w:r>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082B963" w14:textId="77777777" w:rsidR="00271EFC" w:rsidRDefault="00271EFC" w:rsidP="00CE269E">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20EE0E8" w14:textId="77777777" w:rsidR="00271EFC" w:rsidRDefault="00271EFC" w:rsidP="00CE269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D70B3B" w14:textId="77777777" w:rsidR="00271EFC" w:rsidRDefault="00271EFC" w:rsidP="00CE269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7D6C64E" w14:textId="77777777" w:rsidR="00271EFC" w:rsidRDefault="00271EFC" w:rsidP="00CE269E">
            <w:pPr>
              <w:autoSpaceDE w:val="0"/>
              <w:autoSpaceDN w:val="0"/>
              <w:adjustRightInd w:val="0"/>
              <w:rPr>
                <w:rFonts w:ascii="sans-serif" w:hAnsi="sans-serif" w:cs="sans-serif"/>
                <w:color w:val="000000"/>
              </w:rPr>
            </w:pPr>
          </w:p>
        </w:tc>
      </w:tr>
      <w:tr w:rsidR="00271EFC" w14:paraId="068ACAA1" w14:textId="77777777" w:rsidTr="00CE26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A03DB2" w14:textId="77777777" w:rsidR="00271EFC" w:rsidRDefault="00271EFC" w:rsidP="00CE269E">
            <w:pPr>
              <w:autoSpaceDE w:val="0"/>
              <w:autoSpaceDN w:val="0"/>
              <w:adjustRightInd w:val="0"/>
              <w:rPr>
                <w:b/>
                <w:bCs/>
                <w:color w:val="000000"/>
                <w:sz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26B7895" w14:textId="77777777" w:rsidR="00271EFC" w:rsidRDefault="00271EFC" w:rsidP="00CE269E">
            <w:pPr>
              <w:autoSpaceDE w:val="0"/>
              <w:autoSpaceDN w:val="0"/>
              <w:adjustRightInd w:val="0"/>
              <w:rPr>
                <w:color w:val="000000"/>
                <w:sz w:val="20"/>
              </w:rPr>
            </w:pPr>
            <w:r>
              <w:rPr>
                <w:color w:val="000000"/>
                <w:sz w:val="20"/>
              </w:rPr>
              <w:t>+:</w:t>
            </w:r>
          </w:p>
          <w:p w14:paraId="3FFDB855" w14:textId="77777777" w:rsidR="00271EFC" w:rsidRDefault="00271EFC" w:rsidP="00CE269E">
            <w:pPr>
              <w:autoSpaceDE w:val="0"/>
              <w:autoSpaceDN w:val="0"/>
              <w:adjustRightInd w:val="0"/>
              <w:rPr>
                <w:color w:val="000000"/>
                <w:sz w:val="20"/>
              </w:rPr>
            </w:pPr>
            <w:r>
              <w:rPr>
                <w:color w:val="000000"/>
                <w:sz w:val="20"/>
              </w:rPr>
              <w:t>–:</w:t>
            </w:r>
          </w:p>
          <w:p w14:paraId="0395644F" w14:textId="77777777" w:rsidR="00271EFC" w:rsidRDefault="00271EFC" w:rsidP="00CE269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35CC7F" w14:textId="77777777" w:rsidR="00271EFC" w:rsidRDefault="00271EFC" w:rsidP="00CE269E">
            <w:pPr>
              <w:autoSpaceDE w:val="0"/>
              <w:autoSpaceDN w:val="0"/>
              <w:adjustRightInd w:val="0"/>
              <w:rPr>
                <w:color w:val="000000"/>
                <w:sz w:val="20"/>
              </w:rPr>
            </w:pPr>
            <w:r>
              <w:rPr>
                <w:color w:val="000000"/>
                <w:sz w:val="20"/>
              </w:rPr>
              <w:t>21</w:t>
            </w:r>
          </w:p>
          <w:p w14:paraId="4BF2D48A" w14:textId="77777777" w:rsidR="00271EFC" w:rsidRDefault="00271EFC" w:rsidP="00CE269E">
            <w:pPr>
              <w:autoSpaceDE w:val="0"/>
              <w:autoSpaceDN w:val="0"/>
              <w:adjustRightInd w:val="0"/>
              <w:rPr>
                <w:color w:val="000000"/>
                <w:sz w:val="20"/>
              </w:rPr>
            </w:pPr>
            <w:r>
              <w:rPr>
                <w:color w:val="000000"/>
                <w:sz w:val="20"/>
              </w:rPr>
              <w:t>2</w:t>
            </w:r>
          </w:p>
          <w:p w14:paraId="3DD09903" w14:textId="77777777" w:rsidR="00271EFC" w:rsidRDefault="00271EFC" w:rsidP="00CE269E">
            <w:pPr>
              <w:autoSpaceDE w:val="0"/>
              <w:autoSpaceDN w:val="0"/>
              <w:adjustRightInd w:val="0"/>
              <w:rPr>
                <w:color w:val="000000"/>
                <w:sz w:val="20"/>
              </w:rPr>
            </w:pPr>
            <w:r>
              <w:rPr>
                <w:color w:val="000000"/>
                <w:sz w:val="20"/>
              </w:rPr>
              <w:t>4</w:t>
            </w:r>
          </w:p>
        </w:tc>
      </w:tr>
    </w:tbl>
    <w:p w14:paraId="158C415B" w14:textId="77777777" w:rsidR="00271EFC" w:rsidRDefault="00271EFC" w:rsidP="00271EFC"/>
    <w:bookmarkEnd w:id="4"/>
    <w:p w14:paraId="40B402BF" w14:textId="77777777" w:rsidR="00271EFC" w:rsidRPr="00A838A4" w:rsidRDefault="00271EFC" w:rsidP="00271EFC">
      <w:pPr>
        <w:sectPr w:rsidR="00271EFC" w:rsidRPr="00A838A4" w:rsidSect="00271EFC">
          <w:headerReference w:type="even" r:id="rId19"/>
          <w:headerReference w:type="default" r:id="rId20"/>
          <w:headerReference w:type="first" r:id="rId21"/>
          <w:footerReference w:type="first" r:id="rId22"/>
          <w:pgSz w:w="11894" w:h="15840"/>
          <w:pgMar w:top="1700" w:right="1417" w:bottom="1417" w:left="1417" w:header="720" w:footer="720" w:gutter="0"/>
          <w:cols w:space="720"/>
          <w:noEndnote/>
          <w:docGrid w:linePitch="326"/>
        </w:sectPr>
      </w:pPr>
    </w:p>
    <w:p w14:paraId="305536B3" w14:textId="77777777" w:rsidR="00271EFC" w:rsidRPr="000B2AC7" w:rsidRDefault="00271EFC" w:rsidP="00271EFC">
      <w:pPr>
        <w:pStyle w:val="PageHeadingNotTOC"/>
      </w:pPr>
      <w:bookmarkStart w:id="5" w:name="RollCallPageRR"/>
      <w:bookmarkEnd w:id="3"/>
      <w:r>
        <w:lastRenderedPageBreak/>
        <w:t>VOT FINAL PRIN APEL NOMINAL</w:t>
      </w:r>
      <w:r>
        <w:rPr>
          <w:b w:val="0"/>
        </w:rPr>
        <w:t xml:space="preserve"> </w:t>
      </w:r>
      <w:r>
        <w:rPr>
          <w:b w:val="0"/>
        </w:rPr>
        <w:br/>
      </w:r>
      <w: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1EFC" w:rsidRPr="000B2AC7" w14:paraId="12EA78DB" w14:textId="77777777" w:rsidTr="00CE269E">
        <w:trPr>
          <w:cantSplit/>
        </w:trPr>
        <w:tc>
          <w:tcPr>
            <w:tcW w:w="1701" w:type="dxa"/>
            <w:shd w:val="pct10" w:color="000000" w:fill="FFFFFF"/>
            <w:vAlign w:val="center"/>
          </w:tcPr>
          <w:p w14:paraId="50204B17" w14:textId="77777777" w:rsidR="00271EFC" w:rsidRPr="000B2AC7" w:rsidRDefault="00271EFC" w:rsidP="00CE269E">
            <w:pPr>
              <w:pStyle w:val="RollCallVotes"/>
            </w:pPr>
            <w:r>
              <w:t>21</w:t>
            </w:r>
          </w:p>
        </w:tc>
        <w:tc>
          <w:tcPr>
            <w:tcW w:w="7371" w:type="dxa"/>
            <w:shd w:val="pct10" w:color="000000" w:fill="FFFFFF"/>
          </w:tcPr>
          <w:p w14:paraId="01ED97F0" w14:textId="77777777" w:rsidR="00271EFC" w:rsidRPr="000B2AC7" w:rsidRDefault="00271EFC" w:rsidP="00CE269E">
            <w:pPr>
              <w:pStyle w:val="RollCallSymbols14pt"/>
            </w:pPr>
            <w:r>
              <w:t>+</w:t>
            </w:r>
          </w:p>
        </w:tc>
      </w:tr>
      <w:tr w:rsidR="00271EFC" w:rsidRPr="000B2AC7" w14:paraId="5FC58D8B" w14:textId="77777777" w:rsidTr="00CE269E">
        <w:trPr>
          <w:cantSplit/>
        </w:trPr>
        <w:tc>
          <w:tcPr>
            <w:tcW w:w="1701" w:type="dxa"/>
            <w:shd w:val="clear" w:color="auto" w:fill="FFFFFF"/>
          </w:tcPr>
          <w:p w14:paraId="482B128C" w14:textId="77777777" w:rsidR="00271EFC" w:rsidRPr="000B2AC7" w:rsidRDefault="00271EFC" w:rsidP="00CE269E">
            <w:pPr>
              <w:pStyle w:val="RollCallTable"/>
            </w:pPr>
            <w:r>
              <w:t>ECR</w:t>
            </w:r>
          </w:p>
        </w:tc>
        <w:tc>
          <w:tcPr>
            <w:tcW w:w="7371" w:type="dxa"/>
            <w:shd w:val="clear" w:color="auto" w:fill="FFFFFF"/>
          </w:tcPr>
          <w:p w14:paraId="37735D0D" w14:textId="77777777" w:rsidR="00271EFC" w:rsidRPr="000B2AC7" w:rsidRDefault="00271EFC" w:rsidP="00CE269E">
            <w:pPr>
              <w:pStyle w:val="RollCallTable"/>
            </w:pPr>
            <w:r>
              <w:t xml:space="preserve">Stephen Nikola </w:t>
            </w:r>
            <w:proofErr w:type="spellStart"/>
            <w:r>
              <w:t>Bartulica</w:t>
            </w:r>
            <w:proofErr w:type="spellEnd"/>
            <w:r>
              <w:t xml:space="preserve">, Nora </w:t>
            </w:r>
            <w:proofErr w:type="spellStart"/>
            <w:r>
              <w:t>Junco</w:t>
            </w:r>
            <w:proofErr w:type="spellEnd"/>
            <w:r>
              <w:t xml:space="preserve"> </w:t>
            </w:r>
            <w:proofErr w:type="spellStart"/>
            <w:r>
              <w:t>García</w:t>
            </w:r>
            <w:proofErr w:type="spellEnd"/>
            <w:r>
              <w:t xml:space="preserve">, Giuseppe </w:t>
            </w:r>
            <w:proofErr w:type="spellStart"/>
            <w:r>
              <w:t>Milazzo</w:t>
            </w:r>
            <w:proofErr w:type="spellEnd"/>
            <w:r>
              <w:t xml:space="preserve">, Bert-Jan </w:t>
            </w:r>
            <w:proofErr w:type="spellStart"/>
            <w:r>
              <w:t>Ruissen</w:t>
            </w:r>
            <w:proofErr w:type="spellEnd"/>
          </w:p>
        </w:tc>
      </w:tr>
      <w:tr w:rsidR="00271EFC" w:rsidRPr="000B2AC7" w14:paraId="36AC21B8" w14:textId="77777777" w:rsidTr="00CE269E">
        <w:trPr>
          <w:cantSplit/>
        </w:trPr>
        <w:tc>
          <w:tcPr>
            <w:tcW w:w="1701" w:type="dxa"/>
            <w:shd w:val="clear" w:color="auto" w:fill="FFFFFF"/>
          </w:tcPr>
          <w:p w14:paraId="38D3F4D3" w14:textId="77777777" w:rsidR="00271EFC" w:rsidRPr="000B2AC7" w:rsidRDefault="00271EFC" w:rsidP="00CE269E">
            <w:pPr>
              <w:pStyle w:val="RollCallTable"/>
            </w:pPr>
            <w:r>
              <w:t>PPE</w:t>
            </w:r>
          </w:p>
        </w:tc>
        <w:tc>
          <w:tcPr>
            <w:tcW w:w="7371" w:type="dxa"/>
            <w:shd w:val="clear" w:color="auto" w:fill="FFFFFF"/>
          </w:tcPr>
          <w:p w14:paraId="366408A3" w14:textId="77777777" w:rsidR="00271EFC" w:rsidRPr="000B2AC7" w:rsidRDefault="00271EFC" w:rsidP="00CE269E">
            <w:pPr>
              <w:pStyle w:val="RollCallTable"/>
            </w:pPr>
            <w:r>
              <w:t xml:space="preserve">Carmen </w:t>
            </w:r>
            <w:proofErr w:type="spellStart"/>
            <w:r>
              <w:t>Crespo</w:t>
            </w:r>
            <w:proofErr w:type="spellEnd"/>
            <w:r>
              <w:t xml:space="preserve"> </w:t>
            </w:r>
            <w:proofErr w:type="spellStart"/>
            <w:r>
              <w:t>Díaz</w:t>
            </w:r>
            <w:proofErr w:type="spellEnd"/>
            <w:r>
              <w:t xml:space="preserve">, </w:t>
            </w:r>
            <w:proofErr w:type="spellStart"/>
            <w:r>
              <w:t>Marco</w:t>
            </w:r>
            <w:proofErr w:type="spellEnd"/>
            <w:r>
              <w:t xml:space="preserve"> </w:t>
            </w:r>
            <w:proofErr w:type="spellStart"/>
            <w:r>
              <w:t>Falcone</w:t>
            </w:r>
            <w:proofErr w:type="spellEnd"/>
            <w:r>
              <w:t xml:space="preserve">, Isabelle Le </w:t>
            </w:r>
            <w:proofErr w:type="spellStart"/>
            <w:r>
              <w:t>Callennec</w:t>
            </w:r>
            <w:proofErr w:type="spellEnd"/>
            <w:r>
              <w:t xml:space="preserve">, </w:t>
            </w:r>
            <w:proofErr w:type="spellStart"/>
            <w:r>
              <w:t>Francisco</w:t>
            </w:r>
            <w:proofErr w:type="spellEnd"/>
            <w:r>
              <w:t xml:space="preserve"> José </w:t>
            </w:r>
            <w:proofErr w:type="spellStart"/>
            <w:r>
              <w:t>Millán</w:t>
            </w:r>
            <w:proofErr w:type="spellEnd"/>
            <w:r>
              <w:t xml:space="preserve"> </w:t>
            </w:r>
            <w:proofErr w:type="spellStart"/>
            <w:r>
              <w:t>Mon</w:t>
            </w:r>
            <w:proofErr w:type="spellEnd"/>
            <w:r>
              <w:t xml:space="preserve">, Jessica </w:t>
            </w:r>
            <w:proofErr w:type="spellStart"/>
            <w:r>
              <w:t>Polfjärd</w:t>
            </w:r>
            <w:proofErr w:type="spellEnd"/>
            <w:r>
              <w:t xml:space="preserve">, </w:t>
            </w:r>
            <w:proofErr w:type="spellStart"/>
            <w:r>
              <w:t>Sander</w:t>
            </w:r>
            <w:proofErr w:type="spellEnd"/>
            <w:r>
              <w:t xml:space="preserve"> </w:t>
            </w:r>
            <w:proofErr w:type="spellStart"/>
            <w:r>
              <w:t>Smit</w:t>
            </w:r>
            <w:proofErr w:type="spellEnd"/>
            <w:r>
              <w:t xml:space="preserve">, </w:t>
            </w:r>
            <w:proofErr w:type="spellStart"/>
            <w:r>
              <w:t>Željana</w:t>
            </w:r>
            <w:proofErr w:type="spellEnd"/>
            <w:r>
              <w:t xml:space="preserve"> </w:t>
            </w:r>
            <w:proofErr w:type="spellStart"/>
            <w:r>
              <w:t>Zovko</w:t>
            </w:r>
            <w:proofErr w:type="spellEnd"/>
          </w:p>
        </w:tc>
      </w:tr>
      <w:tr w:rsidR="00271EFC" w:rsidRPr="000B2AC7" w14:paraId="11C752C9" w14:textId="77777777" w:rsidTr="00CE269E">
        <w:trPr>
          <w:cantSplit/>
        </w:trPr>
        <w:tc>
          <w:tcPr>
            <w:tcW w:w="1701" w:type="dxa"/>
            <w:shd w:val="clear" w:color="auto" w:fill="FFFFFF"/>
          </w:tcPr>
          <w:p w14:paraId="049654C8" w14:textId="77777777" w:rsidR="00271EFC" w:rsidRPr="000B2AC7" w:rsidRDefault="00271EFC" w:rsidP="00CE269E">
            <w:pPr>
              <w:pStyle w:val="RollCallTable"/>
            </w:pPr>
            <w:proofErr w:type="spellStart"/>
            <w:r>
              <w:t>Renew</w:t>
            </w:r>
            <w:proofErr w:type="spellEnd"/>
          </w:p>
        </w:tc>
        <w:tc>
          <w:tcPr>
            <w:tcW w:w="7371" w:type="dxa"/>
            <w:shd w:val="clear" w:color="auto" w:fill="FFFFFF"/>
          </w:tcPr>
          <w:p w14:paraId="163F3455" w14:textId="77777777" w:rsidR="00271EFC" w:rsidRPr="000B2AC7" w:rsidRDefault="00271EFC" w:rsidP="00CE269E">
            <w:pPr>
              <w:pStyle w:val="RollCallTable"/>
            </w:pPr>
            <w:r>
              <w:t xml:space="preserve">Barry </w:t>
            </w:r>
            <w:proofErr w:type="spellStart"/>
            <w:r>
              <w:t>Cowen</w:t>
            </w:r>
            <w:proofErr w:type="spellEnd"/>
            <w:r>
              <w:t xml:space="preserve">, </w:t>
            </w:r>
            <w:proofErr w:type="spellStart"/>
            <w:r>
              <w:t>Elsi</w:t>
            </w:r>
            <w:proofErr w:type="spellEnd"/>
            <w:r>
              <w:t xml:space="preserve"> </w:t>
            </w:r>
            <w:proofErr w:type="spellStart"/>
            <w:r>
              <w:t>Katainen</w:t>
            </w:r>
            <w:proofErr w:type="spellEnd"/>
            <w:r>
              <w:t xml:space="preserve">, </w:t>
            </w:r>
            <w:proofErr w:type="spellStart"/>
            <w:r>
              <w:t>Ciaran</w:t>
            </w:r>
            <w:proofErr w:type="spellEnd"/>
            <w:r>
              <w:t xml:space="preserve"> </w:t>
            </w:r>
            <w:proofErr w:type="spellStart"/>
            <w:r>
              <w:t>Mullooly</w:t>
            </w:r>
            <w:proofErr w:type="spellEnd"/>
          </w:p>
        </w:tc>
      </w:tr>
      <w:tr w:rsidR="00271EFC" w:rsidRPr="000B2AC7" w14:paraId="6EB7651E" w14:textId="77777777" w:rsidTr="00CE269E">
        <w:trPr>
          <w:cantSplit/>
        </w:trPr>
        <w:tc>
          <w:tcPr>
            <w:tcW w:w="1701" w:type="dxa"/>
            <w:shd w:val="clear" w:color="auto" w:fill="FFFFFF"/>
          </w:tcPr>
          <w:p w14:paraId="26BF9B73" w14:textId="77777777" w:rsidR="00271EFC" w:rsidRPr="000B2AC7" w:rsidRDefault="00271EFC" w:rsidP="00CE269E">
            <w:pPr>
              <w:pStyle w:val="RollCallTable"/>
            </w:pPr>
            <w:r>
              <w:t>S&amp;D</w:t>
            </w:r>
          </w:p>
        </w:tc>
        <w:tc>
          <w:tcPr>
            <w:tcW w:w="7371" w:type="dxa"/>
            <w:shd w:val="clear" w:color="auto" w:fill="FFFFFF"/>
          </w:tcPr>
          <w:p w14:paraId="1FBB479F" w14:textId="77777777" w:rsidR="00271EFC" w:rsidRPr="000B2AC7" w:rsidRDefault="00271EFC" w:rsidP="00CE269E">
            <w:pPr>
              <w:pStyle w:val="RollCallTable"/>
            </w:pPr>
            <w:proofErr w:type="spellStart"/>
            <w:r>
              <w:t>Sakis</w:t>
            </w:r>
            <w:proofErr w:type="spellEnd"/>
            <w:r>
              <w:t xml:space="preserve"> </w:t>
            </w:r>
            <w:proofErr w:type="spellStart"/>
            <w:r>
              <w:t>Arnaoutoglou</w:t>
            </w:r>
            <w:proofErr w:type="spellEnd"/>
            <w:r>
              <w:t xml:space="preserve">, Thomas </w:t>
            </w:r>
            <w:proofErr w:type="spellStart"/>
            <w:r>
              <w:t>Bajada</w:t>
            </w:r>
            <w:proofErr w:type="spellEnd"/>
            <w:r>
              <w:t xml:space="preserve">, Giuseppe Lupo, André </w:t>
            </w:r>
            <w:proofErr w:type="spellStart"/>
            <w:r>
              <w:t>Rodrigues</w:t>
            </w:r>
            <w:proofErr w:type="spellEnd"/>
            <w:r>
              <w:t xml:space="preserve">, Eric </w:t>
            </w:r>
            <w:proofErr w:type="spellStart"/>
            <w:r>
              <w:t>Sargiacomo</w:t>
            </w:r>
            <w:proofErr w:type="spellEnd"/>
          </w:p>
        </w:tc>
      </w:tr>
      <w:tr w:rsidR="00271EFC" w:rsidRPr="000B2AC7" w14:paraId="1B6D31A2" w14:textId="77777777" w:rsidTr="00CE269E">
        <w:trPr>
          <w:cantSplit/>
        </w:trPr>
        <w:tc>
          <w:tcPr>
            <w:tcW w:w="1701" w:type="dxa"/>
            <w:shd w:val="clear" w:color="auto" w:fill="FFFFFF"/>
          </w:tcPr>
          <w:p w14:paraId="0CAF1F3F" w14:textId="77777777" w:rsidR="00271EFC" w:rsidRPr="000B2AC7" w:rsidRDefault="00271EFC" w:rsidP="00CE269E">
            <w:pPr>
              <w:pStyle w:val="RollCallTable"/>
            </w:pPr>
            <w:r>
              <w:t>The Left</w:t>
            </w:r>
          </w:p>
        </w:tc>
        <w:tc>
          <w:tcPr>
            <w:tcW w:w="7371" w:type="dxa"/>
            <w:shd w:val="clear" w:color="auto" w:fill="FFFFFF"/>
          </w:tcPr>
          <w:p w14:paraId="354E645E" w14:textId="77777777" w:rsidR="00271EFC" w:rsidRPr="000B2AC7" w:rsidRDefault="00271EFC" w:rsidP="00CE269E">
            <w:pPr>
              <w:pStyle w:val="RollCallTable"/>
            </w:pPr>
            <w:proofErr w:type="spellStart"/>
            <w:r>
              <w:t>Luke</w:t>
            </w:r>
            <w:proofErr w:type="spellEnd"/>
            <w:r>
              <w:t xml:space="preserve"> </w:t>
            </w:r>
            <w:proofErr w:type="spellStart"/>
            <w:r>
              <w:t>Ming</w:t>
            </w:r>
            <w:proofErr w:type="spellEnd"/>
            <w:r>
              <w:t xml:space="preserve"> </w:t>
            </w:r>
            <w:proofErr w:type="spellStart"/>
            <w:r>
              <w:t>Flanagan</w:t>
            </w:r>
            <w:proofErr w:type="spellEnd"/>
          </w:p>
        </w:tc>
      </w:tr>
      <w:tr w:rsidR="00271EFC" w:rsidRPr="000B2AC7" w14:paraId="79EB75DC" w14:textId="77777777" w:rsidTr="00CE269E">
        <w:trPr>
          <w:cantSplit/>
        </w:trPr>
        <w:tc>
          <w:tcPr>
            <w:tcW w:w="1701" w:type="dxa"/>
            <w:shd w:val="clear" w:color="auto" w:fill="FFFFFF"/>
          </w:tcPr>
          <w:p w14:paraId="4715D244" w14:textId="77777777" w:rsidR="00271EFC" w:rsidRPr="000B2AC7" w:rsidRDefault="00271EFC" w:rsidP="00CE269E">
            <w:pPr>
              <w:pStyle w:val="RollCallTable"/>
            </w:pPr>
            <w:r>
              <w:t>Verts/ALE</w:t>
            </w:r>
          </w:p>
        </w:tc>
        <w:tc>
          <w:tcPr>
            <w:tcW w:w="7371" w:type="dxa"/>
            <w:shd w:val="clear" w:color="auto" w:fill="FFFFFF"/>
          </w:tcPr>
          <w:p w14:paraId="2B30604F" w14:textId="77777777" w:rsidR="00271EFC" w:rsidRPr="000B2AC7" w:rsidRDefault="00271EFC" w:rsidP="00CE269E">
            <w:pPr>
              <w:pStyle w:val="RollCallTable"/>
            </w:pPr>
            <w:r>
              <w:t>Ana Miranda Paz</w:t>
            </w:r>
          </w:p>
        </w:tc>
      </w:tr>
    </w:tbl>
    <w:p w14:paraId="59157DD8" w14:textId="77777777" w:rsidR="00271EFC" w:rsidRPr="000B2AC7" w:rsidRDefault="00271EFC" w:rsidP="00271EF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1EFC" w:rsidRPr="000B2AC7" w14:paraId="5BEE29C8" w14:textId="77777777" w:rsidTr="00CE269E">
        <w:trPr>
          <w:cantSplit/>
        </w:trPr>
        <w:tc>
          <w:tcPr>
            <w:tcW w:w="1701" w:type="dxa"/>
            <w:shd w:val="pct10" w:color="000000" w:fill="FFFFFF"/>
            <w:vAlign w:val="center"/>
          </w:tcPr>
          <w:p w14:paraId="2889AA4D" w14:textId="77777777" w:rsidR="00271EFC" w:rsidRPr="000B2AC7" w:rsidRDefault="00271EFC" w:rsidP="00CE269E">
            <w:pPr>
              <w:pStyle w:val="RollCallVotes"/>
            </w:pPr>
            <w:r>
              <w:t>2</w:t>
            </w:r>
          </w:p>
        </w:tc>
        <w:tc>
          <w:tcPr>
            <w:tcW w:w="7371" w:type="dxa"/>
            <w:shd w:val="pct10" w:color="000000" w:fill="FFFFFF"/>
          </w:tcPr>
          <w:p w14:paraId="445715DA" w14:textId="77777777" w:rsidR="00271EFC" w:rsidRPr="000B2AC7" w:rsidRDefault="00271EFC" w:rsidP="00CE269E">
            <w:pPr>
              <w:pStyle w:val="RollCallSymbols14pt"/>
            </w:pPr>
            <w:r>
              <w:t>-</w:t>
            </w:r>
          </w:p>
        </w:tc>
      </w:tr>
      <w:tr w:rsidR="00271EFC" w:rsidRPr="000B2AC7" w14:paraId="19DDABEB" w14:textId="77777777" w:rsidTr="00CE269E">
        <w:trPr>
          <w:cantSplit/>
        </w:trPr>
        <w:tc>
          <w:tcPr>
            <w:tcW w:w="1701" w:type="dxa"/>
            <w:shd w:val="clear" w:color="auto" w:fill="FFFFFF"/>
          </w:tcPr>
          <w:p w14:paraId="5AC5B279" w14:textId="77777777" w:rsidR="00271EFC" w:rsidRPr="000B2AC7" w:rsidRDefault="00271EFC" w:rsidP="00CE269E">
            <w:pPr>
              <w:pStyle w:val="RollCallTable"/>
            </w:pPr>
            <w:r>
              <w:t>ESN</w:t>
            </w:r>
          </w:p>
        </w:tc>
        <w:tc>
          <w:tcPr>
            <w:tcW w:w="7371" w:type="dxa"/>
            <w:shd w:val="clear" w:color="auto" w:fill="FFFFFF"/>
          </w:tcPr>
          <w:p w14:paraId="6D5CBD79" w14:textId="77777777" w:rsidR="00271EFC" w:rsidRPr="000B2AC7" w:rsidRDefault="00271EFC" w:rsidP="00CE269E">
            <w:pPr>
              <w:pStyle w:val="RollCallTable"/>
            </w:pPr>
            <w:proofErr w:type="spellStart"/>
            <w:r>
              <w:t>Siegbert</w:t>
            </w:r>
            <w:proofErr w:type="spellEnd"/>
            <w:r>
              <w:t xml:space="preserve"> Frank </w:t>
            </w:r>
            <w:proofErr w:type="spellStart"/>
            <w:r>
              <w:t>Droese</w:t>
            </w:r>
            <w:proofErr w:type="spellEnd"/>
          </w:p>
        </w:tc>
      </w:tr>
      <w:tr w:rsidR="00271EFC" w:rsidRPr="000B2AC7" w14:paraId="7A436AA0" w14:textId="77777777" w:rsidTr="00CE269E">
        <w:trPr>
          <w:cantSplit/>
        </w:trPr>
        <w:tc>
          <w:tcPr>
            <w:tcW w:w="1701" w:type="dxa"/>
            <w:shd w:val="clear" w:color="auto" w:fill="FFFFFF"/>
          </w:tcPr>
          <w:p w14:paraId="68190BA5" w14:textId="77777777" w:rsidR="00271EFC" w:rsidRPr="000B2AC7" w:rsidRDefault="00271EFC" w:rsidP="00CE269E">
            <w:pPr>
              <w:pStyle w:val="RollCallTable"/>
            </w:pPr>
            <w:proofErr w:type="spellStart"/>
            <w:r>
              <w:t>PfE</w:t>
            </w:r>
            <w:proofErr w:type="spellEnd"/>
          </w:p>
        </w:tc>
        <w:tc>
          <w:tcPr>
            <w:tcW w:w="7371" w:type="dxa"/>
            <w:shd w:val="clear" w:color="auto" w:fill="FFFFFF"/>
          </w:tcPr>
          <w:p w14:paraId="23E09867" w14:textId="77777777" w:rsidR="00271EFC" w:rsidRPr="000B2AC7" w:rsidRDefault="00271EFC" w:rsidP="00CE269E">
            <w:pPr>
              <w:pStyle w:val="RollCallTable"/>
            </w:pPr>
            <w:r>
              <w:t xml:space="preserve">France </w:t>
            </w:r>
            <w:proofErr w:type="spellStart"/>
            <w:r>
              <w:t>Jamet</w:t>
            </w:r>
            <w:proofErr w:type="spellEnd"/>
          </w:p>
        </w:tc>
      </w:tr>
    </w:tbl>
    <w:p w14:paraId="075E79B5" w14:textId="77777777" w:rsidR="00271EFC" w:rsidRPr="000B2AC7" w:rsidRDefault="00271EFC" w:rsidP="00271EF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1EFC" w:rsidRPr="000B2AC7" w14:paraId="41F45225" w14:textId="77777777" w:rsidTr="00CE269E">
        <w:trPr>
          <w:cantSplit/>
        </w:trPr>
        <w:tc>
          <w:tcPr>
            <w:tcW w:w="1701" w:type="dxa"/>
            <w:shd w:val="pct10" w:color="000000" w:fill="FFFFFF"/>
            <w:vAlign w:val="center"/>
          </w:tcPr>
          <w:p w14:paraId="4E6FD8B7" w14:textId="77777777" w:rsidR="00271EFC" w:rsidRPr="000B2AC7" w:rsidRDefault="00271EFC" w:rsidP="00CE269E">
            <w:pPr>
              <w:pStyle w:val="RollCallVotes"/>
            </w:pPr>
            <w:r>
              <w:t>4</w:t>
            </w:r>
          </w:p>
        </w:tc>
        <w:tc>
          <w:tcPr>
            <w:tcW w:w="7371" w:type="dxa"/>
            <w:shd w:val="pct10" w:color="000000" w:fill="FFFFFF"/>
          </w:tcPr>
          <w:p w14:paraId="33D9B4A8" w14:textId="77777777" w:rsidR="00271EFC" w:rsidRPr="000B2AC7" w:rsidRDefault="00271EFC" w:rsidP="00CE269E">
            <w:pPr>
              <w:pStyle w:val="RollCallSymbols14pt"/>
            </w:pPr>
            <w:r>
              <w:t>0</w:t>
            </w:r>
          </w:p>
        </w:tc>
      </w:tr>
      <w:tr w:rsidR="00271EFC" w:rsidRPr="000B2AC7" w14:paraId="5CDF270B" w14:textId="77777777" w:rsidTr="00CE269E">
        <w:trPr>
          <w:cantSplit/>
        </w:trPr>
        <w:tc>
          <w:tcPr>
            <w:tcW w:w="1701" w:type="dxa"/>
            <w:shd w:val="clear" w:color="auto" w:fill="FFFFFF"/>
          </w:tcPr>
          <w:p w14:paraId="5500295C" w14:textId="77777777" w:rsidR="00271EFC" w:rsidRPr="000B2AC7" w:rsidRDefault="00271EFC" w:rsidP="00CE269E">
            <w:pPr>
              <w:pStyle w:val="RollCallTable"/>
            </w:pPr>
            <w:proofErr w:type="spellStart"/>
            <w:r>
              <w:t>PfE</w:t>
            </w:r>
            <w:proofErr w:type="spellEnd"/>
          </w:p>
        </w:tc>
        <w:tc>
          <w:tcPr>
            <w:tcW w:w="7371" w:type="dxa"/>
            <w:shd w:val="clear" w:color="auto" w:fill="FFFFFF"/>
          </w:tcPr>
          <w:p w14:paraId="023F990D" w14:textId="77777777" w:rsidR="00271EFC" w:rsidRPr="000B2AC7" w:rsidRDefault="00271EFC" w:rsidP="00CE269E">
            <w:pPr>
              <w:pStyle w:val="RollCallTable"/>
            </w:pPr>
            <w:r>
              <w:t xml:space="preserve">Ton </w:t>
            </w:r>
            <w:proofErr w:type="spellStart"/>
            <w:r>
              <w:t>Diepeveen</w:t>
            </w:r>
            <w:proofErr w:type="spellEnd"/>
            <w:r>
              <w:t xml:space="preserve">, </w:t>
            </w:r>
            <w:proofErr w:type="spellStart"/>
            <w:r>
              <w:t>António</w:t>
            </w:r>
            <w:proofErr w:type="spellEnd"/>
            <w:r>
              <w:t xml:space="preserve"> </w:t>
            </w:r>
            <w:proofErr w:type="spellStart"/>
            <w:r>
              <w:t>Tânger</w:t>
            </w:r>
            <w:proofErr w:type="spellEnd"/>
            <w:r>
              <w:t xml:space="preserve"> </w:t>
            </w:r>
            <w:proofErr w:type="spellStart"/>
            <w:r>
              <w:t>Corrêa</w:t>
            </w:r>
            <w:proofErr w:type="spellEnd"/>
          </w:p>
        </w:tc>
      </w:tr>
      <w:tr w:rsidR="00271EFC" w:rsidRPr="000B2AC7" w14:paraId="48146D6C" w14:textId="77777777" w:rsidTr="00CE269E">
        <w:trPr>
          <w:cantSplit/>
        </w:trPr>
        <w:tc>
          <w:tcPr>
            <w:tcW w:w="1701" w:type="dxa"/>
            <w:shd w:val="clear" w:color="auto" w:fill="FFFFFF"/>
          </w:tcPr>
          <w:p w14:paraId="77E9A7FD" w14:textId="77777777" w:rsidR="00271EFC" w:rsidRPr="000B2AC7" w:rsidRDefault="00271EFC" w:rsidP="00CE269E">
            <w:pPr>
              <w:pStyle w:val="RollCallTable"/>
            </w:pPr>
            <w:r>
              <w:t>The Left</w:t>
            </w:r>
          </w:p>
        </w:tc>
        <w:tc>
          <w:tcPr>
            <w:tcW w:w="7371" w:type="dxa"/>
            <w:shd w:val="clear" w:color="auto" w:fill="FFFFFF"/>
          </w:tcPr>
          <w:p w14:paraId="59DE8155" w14:textId="77777777" w:rsidR="00271EFC" w:rsidRPr="000B2AC7" w:rsidRDefault="00271EFC" w:rsidP="00CE269E">
            <w:pPr>
              <w:pStyle w:val="RollCallTable"/>
            </w:pPr>
            <w:r>
              <w:t xml:space="preserve">Emma </w:t>
            </w:r>
            <w:proofErr w:type="spellStart"/>
            <w:r>
              <w:t>Fourreau</w:t>
            </w:r>
            <w:proofErr w:type="spellEnd"/>
          </w:p>
        </w:tc>
      </w:tr>
      <w:tr w:rsidR="00271EFC" w:rsidRPr="000B2AC7" w14:paraId="2498ED2A" w14:textId="77777777" w:rsidTr="00CE269E">
        <w:trPr>
          <w:cantSplit/>
        </w:trPr>
        <w:tc>
          <w:tcPr>
            <w:tcW w:w="1701" w:type="dxa"/>
            <w:shd w:val="clear" w:color="auto" w:fill="FFFFFF"/>
          </w:tcPr>
          <w:p w14:paraId="52B6B661" w14:textId="77777777" w:rsidR="00271EFC" w:rsidRPr="000B2AC7" w:rsidRDefault="00271EFC" w:rsidP="00CE269E">
            <w:pPr>
              <w:pStyle w:val="RollCallTable"/>
            </w:pPr>
            <w:r>
              <w:t>Verts/ALE</w:t>
            </w:r>
          </w:p>
        </w:tc>
        <w:tc>
          <w:tcPr>
            <w:tcW w:w="7371" w:type="dxa"/>
            <w:shd w:val="clear" w:color="auto" w:fill="FFFFFF"/>
          </w:tcPr>
          <w:p w14:paraId="467F8187" w14:textId="77777777" w:rsidR="00271EFC" w:rsidRPr="000B2AC7" w:rsidRDefault="00271EFC" w:rsidP="00CE269E">
            <w:pPr>
              <w:pStyle w:val="RollCallTable"/>
            </w:pPr>
            <w:r>
              <w:t xml:space="preserve">Isabella </w:t>
            </w:r>
            <w:proofErr w:type="spellStart"/>
            <w:r>
              <w:t>Lövin</w:t>
            </w:r>
            <w:proofErr w:type="spellEnd"/>
          </w:p>
        </w:tc>
      </w:tr>
    </w:tbl>
    <w:p w14:paraId="19CF24EC" w14:textId="77777777" w:rsidR="00271EFC" w:rsidRPr="000B2AC7" w:rsidRDefault="00271EFC" w:rsidP="00271EFC">
      <w:pPr>
        <w:pStyle w:val="Normal12a"/>
      </w:pPr>
    </w:p>
    <w:p w14:paraId="3AC84235" w14:textId="77777777" w:rsidR="00271EFC" w:rsidRPr="00DD51D9" w:rsidRDefault="00271EFC" w:rsidP="00271EFC">
      <w:pPr>
        <w:rPr>
          <w:szCs w:val="24"/>
        </w:rPr>
      </w:pPr>
      <w:r>
        <w:t xml:space="preserve">Legenda simbolurilor utilizate: </w:t>
      </w:r>
    </w:p>
    <w:p w14:paraId="2FA0C83E" w14:textId="77777777" w:rsidR="00271EFC" w:rsidRPr="00DD51D9" w:rsidRDefault="00271EFC" w:rsidP="00271EFC">
      <w:pPr>
        <w:tabs>
          <w:tab w:val="center" w:pos="284"/>
          <w:tab w:val="left" w:pos="426"/>
        </w:tabs>
        <w:rPr>
          <w:szCs w:val="24"/>
        </w:rPr>
      </w:pPr>
      <w:r>
        <w:t>+</w:t>
      </w:r>
      <w:r>
        <w:tab/>
        <w:t>:</w:t>
      </w:r>
      <w:r>
        <w:tab/>
        <w:t>pentru</w:t>
      </w:r>
    </w:p>
    <w:p w14:paraId="462EB5F5" w14:textId="77777777" w:rsidR="00271EFC" w:rsidRPr="00DD51D9" w:rsidRDefault="00271EFC" w:rsidP="00271EFC">
      <w:pPr>
        <w:tabs>
          <w:tab w:val="center" w:pos="284"/>
          <w:tab w:val="left" w:pos="426"/>
        </w:tabs>
        <w:rPr>
          <w:szCs w:val="24"/>
        </w:rPr>
      </w:pPr>
      <w:r>
        <w:t>-</w:t>
      </w:r>
      <w:r>
        <w:tab/>
        <w:t>:</w:t>
      </w:r>
      <w:r>
        <w:tab/>
        <w:t>împotrivă</w:t>
      </w:r>
    </w:p>
    <w:p w14:paraId="09076421" w14:textId="77777777" w:rsidR="00271EFC" w:rsidRPr="00DD51D9" w:rsidRDefault="00271EFC" w:rsidP="00271EFC">
      <w:pPr>
        <w:tabs>
          <w:tab w:val="center" w:pos="284"/>
          <w:tab w:val="left" w:pos="426"/>
        </w:tabs>
        <w:rPr>
          <w:szCs w:val="24"/>
        </w:rPr>
      </w:pPr>
      <w:r>
        <w:t>0</w:t>
      </w:r>
      <w:r>
        <w:tab/>
        <w:t>:</w:t>
      </w:r>
      <w:r>
        <w:tab/>
        <w:t>abțineri</w:t>
      </w:r>
    </w:p>
    <w:p w14:paraId="7B98FD95" w14:textId="77777777" w:rsidR="00271EFC" w:rsidRPr="000B2AC7" w:rsidRDefault="00271EFC" w:rsidP="00271EFC"/>
    <w:p w14:paraId="374534CA" w14:textId="77777777" w:rsidR="00271EFC" w:rsidRPr="000B2AC7" w:rsidRDefault="00271EFC" w:rsidP="00271EFC"/>
    <w:p w14:paraId="7507065E" w14:textId="77777777" w:rsidR="00271EFC" w:rsidRDefault="00271EFC" w:rsidP="00271EFC">
      <w:pPr>
        <w:pStyle w:val="PageHeadingNotTOC"/>
        <w:sectPr w:rsidR="00271EFC" w:rsidSect="00271EFC">
          <w:headerReference w:type="even" r:id="rId23"/>
          <w:headerReference w:type="default" r:id="rId24"/>
          <w:headerReference w:type="first" r:id="rId25"/>
          <w:footerReference w:type="first" r:id="rId26"/>
          <w:pgSz w:w="11894" w:h="15840"/>
          <w:pgMar w:top="1700" w:right="1417" w:bottom="1417" w:left="1417" w:header="720" w:footer="720" w:gutter="0"/>
          <w:cols w:space="720"/>
          <w:noEndnote/>
          <w:docGrid w:linePitch="326"/>
        </w:sectPr>
      </w:pPr>
    </w:p>
    <w:bookmarkEnd w:id="5"/>
    <w:p w14:paraId="460078A6" w14:textId="5EDA4D1F" w:rsidR="00A66974" w:rsidRPr="000B2AC7" w:rsidRDefault="00A66974" w:rsidP="00271EFC">
      <w:pPr>
        <w:pStyle w:val="PageHeadingNotTOC"/>
      </w:pPr>
    </w:p>
    <w:sectPr w:rsidR="00A66974" w:rsidRPr="000B2AC7" w:rsidSect="00271EFC">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6D133" w14:textId="77777777" w:rsidR="00EB7682" w:rsidRPr="000B2AC7" w:rsidRDefault="00EB7682">
      <w:r w:rsidRPr="000B2AC7">
        <w:separator/>
      </w:r>
    </w:p>
  </w:endnote>
  <w:endnote w:type="continuationSeparator" w:id="0">
    <w:p w14:paraId="2F0E6EC4" w14:textId="77777777" w:rsidR="00EB7682" w:rsidRPr="000B2AC7" w:rsidRDefault="00EB7682">
      <w:r w:rsidRPr="000B2A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7593B" w14:textId="77777777" w:rsidR="00271EFC" w:rsidRDefault="00271EFC" w:rsidP="00271EFC">
    <w:pPr>
      <w:pStyle w:val="EPFooter"/>
    </w:pPr>
    <w:r>
      <w:t>PE</w:t>
    </w:r>
    <w:r w:rsidRPr="00271EFC">
      <w:rPr>
        <w:rStyle w:val="HideTWBExt"/>
      </w:rPr>
      <w:t>&lt;NoPE&gt;</w:t>
    </w:r>
    <w:r>
      <w:t>779.547</w:t>
    </w:r>
    <w:r w:rsidRPr="00271EFC">
      <w:rPr>
        <w:rStyle w:val="HideTWBExt"/>
      </w:rPr>
      <w:t>&lt;/NoPE&gt;&lt;Version&gt;</w:t>
    </w:r>
    <w:r>
      <w:t>v02-00</w:t>
    </w:r>
    <w:r w:rsidRPr="00271EFC">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11</w:t>
      </w:r>
    </w:fldSimple>
    <w:r>
      <w:tab/>
    </w:r>
    <w:r w:rsidRPr="00271EFC">
      <w:rPr>
        <w:rStyle w:val="HideTWBExt"/>
      </w:rPr>
      <w:t>&lt;PathFdR&gt;</w:t>
    </w:r>
    <w:r>
      <w:t>AD\1336056RO.docx</w:t>
    </w:r>
    <w:r w:rsidRPr="00271EFC">
      <w:rPr>
        <w:rStyle w:val="HideTWBExt"/>
      </w:rPr>
      <w:t>&lt;/PathFdR&gt;</w:t>
    </w:r>
  </w:p>
  <w:p w14:paraId="63203D7F" w14:textId="41E4B376" w:rsidR="00271EFC" w:rsidRPr="000B2AC7" w:rsidRDefault="00271EFC" w:rsidP="00271EFC">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4B6E" w14:textId="77777777" w:rsidR="00271EFC" w:rsidRDefault="00271EFC" w:rsidP="00271EFC">
    <w:pPr>
      <w:pStyle w:val="EPFooter"/>
    </w:pPr>
    <w:r w:rsidRPr="00271EFC">
      <w:rPr>
        <w:rStyle w:val="HideTWBExt"/>
      </w:rPr>
      <w:t>&lt;PathFdR&gt;</w:t>
    </w:r>
    <w:r>
      <w:t>AD\1336056RO.docx</w:t>
    </w:r>
    <w:r w:rsidRPr="00271EFC">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11</w:t>
      </w:r>
    </w:fldSimple>
    <w:r>
      <w:tab/>
      <w:t>PE</w:t>
    </w:r>
    <w:r w:rsidRPr="00271EFC">
      <w:rPr>
        <w:rStyle w:val="HideTWBExt"/>
      </w:rPr>
      <w:t>&lt;NoPE&gt;</w:t>
    </w:r>
    <w:r>
      <w:t>779.547</w:t>
    </w:r>
    <w:r w:rsidRPr="00271EFC">
      <w:rPr>
        <w:rStyle w:val="HideTWBExt"/>
      </w:rPr>
      <w:t>&lt;/NoPE&gt;&lt;Version&gt;</w:t>
    </w:r>
    <w:r>
      <w:t>v02-00</w:t>
    </w:r>
    <w:r w:rsidRPr="00271EFC">
      <w:rPr>
        <w:rStyle w:val="HideTWBExt"/>
      </w:rPr>
      <w:t>&lt;/Version&gt;</w:t>
    </w:r>
  </w:p>
  <w:p w14:paraId="6953E24D" w14:textId="13C3B862" w:rsidR="00271EFC" w:rsidRPr="000B2AC7" w:rsidRDefault="00271EFC" w:rsidP="00271EFC">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61CA5" w14:textId="77777777" w:rsidR="00271EFC" w:rsidRDefault="00271EFC" w:rsidP="00271EFC">
    <w:pPr>
      <w:pStyle w:val="EPFooter"/>
    </w:pPr>
    <w:r w:rsidRPr="00271EFC">
      <w:rPr>
        <w:rStyle w:val="HideTWBExt"/>
      </w:rPr>
      <w:t>&lt;PathFdR&gt;</w:t>
    </w:r>
    <w:r>
      <w:t>AD\1336056RO.docx</w:t>
    </w:r>
    <w:r w:rsidRPr="00271EFC">
      <w:rPr>
        <w:rStyle w:val="HideTWBExt"/>
      </w:rPr>
      <w:t>&lt;/PathFdR&gt;</w:t>
    </w:r>
    <w:r>
      <w:tab/>
    </w:r>
    <w:r>
      <w:tab/>
      <w:t>PE</w:t>
    </w:r>
    <w:r w:rsidRPr="00271EFC">
      <w:rPr>
        <w:rStyle w:val="HideTWBExt"/>
      </w:rPr>
      <w:t>&lt;NoPE&gt;</w:t>
    </w:r>
    <w:r>
      <w:t>779.547</w:t>
    </w:r>
    <w:r w:rsidRPr="00271EFC">
      <w:rPr>
        <w:rStyle w:val="HideTWBExt"/>
      </w:rPr>
      <w:t>&lt;/NoPE&gt;&lt;Version&gt;</w:t>
    </w:r>
    <w:r>
      <w:t>v02-00</w:t>
    </w:r>
    <w:r w:rsidRPr="00271EFC">
      <w:rPr>
        <w:rStyle w:val="HideTWBExt"/>
      </w:rPr>
      <w:t>&lt;/Version&gt;</w:t>
    </w:r>
  </w:p>
  <w:p w14:paraId="210903C6" w14:textId="059BDED7" w:rsidR="00271EFC" w:rsidRPr="000B2AC7" w:rsidRDefault="00271EFC" w:rsidP="00271EFC">
    <w:pPr>
      <w:pStyle w:val="EPFooter2"/>
    </w:pPr>
    <w:r>
      <w:t>RO</w:t>
    </w:r>
    <w:r>
      <w:tab/>
    </w:r>
    <w:r w:rsidRPr="00271EFC">
      <w:rPr>
        <w:b w:val="0"/>
        <w:i/>
        <w:color w:val="C0C0C0"/>
        <w:sz w:val="22"/>
      </w:rPr>
      <w:t>Unită în diversitate</w:t>
    </w:r>
    <w:r>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B55D3" w14:textId="77777777" w:rsidR="00271EFC" w:rsidRPr="000B2AC7" w:rsidRDefault="00271EFC" w:rsidP="00BF66E4">
    <w:pPr>
      <w:pStyle w:val="EPFooter"/>
    </w:pPr>
    <w:r w:rsidRPr="000B2AC7">
      <w:rPr>
        <w:rStyle w:val="HideTWBExt"/>
      </w:rPr>
      <w:t>&lt;PathFdR&gt;</w:t>
    </w:r>
    <w:r w:rsidRPr="000B2AC7">
      <w:t>AD\1336056RO.docx</w:t>
    </w:r>
    <w:r w:rsidRPr="000B2AC7">
      <w:rPr>
        <w:rStyle w:val="HideTWBExt"/>
      </w:rPr>
      <w:t>&lt;/PathFdR&gt;</w:t>
    </w:r>
    <w:r w:rsidRPr="000B2AC7">
      <w:tab/>
    </w:r>
    <w:r w:rsidRPr="000B2AC7">
      <w:tab/>
      <w:t>PE</w:t>
    </w:r>
    <w:r w:rsidRPr="000B2AC7">
      <w:rPr>
        <w:rStyle w:val="HideTWBExt"/>
      </w:rPr>
      <w:t>&lt;NoPE&gt;</w:t>
    </w:r>
    <w:r w:rsidRPr="000B2AC7">
      <w:t>779.547</w:t>
    </w:r>
    <w:r w:rsidRPr="000B2AC7">
      <w:rPr>
        <w:rStyle w:val="HideTWBExt"/>
      </w:rPr>
      <w:t>&lt;/NoPE&gt;&lt;Version&gt;</w:t>
    </w:r>
    <w:r w:rsidRPr="000B2AC7">
      <w:t>v02-00</w:t>
    </w:r>
    <w:r w:rsidRPr="000B2AC7">
      <w:rPr>
        <w:rStyle w:val="HideTWBExt"/>
      </w:rPr>
      <w:t>&lt;/Version&gt;</w:t>
    </w:r>
  </w:p>
  <w:p w14:paraId="2B9833F4" w14:textId="77777777" w:rsidR="00271EFC" w:rsidRPr="000B2AC7" w:rsidRDefault="00271EFC" w:rsidP="00BF66E4">
    <w:pPr>
      <w:pStyle w:val="EPFooter2"/>
    </w:pPr>
    <w:r w:rsidRPr="000B2AC7">
      <w:t>RO</w:t>
    </w:r>
    <w:r w:rsidRPr="000B2AC7">
      <w:tab/>
    </w:r>
    <w:r w:rsidRPr="000B2AC7">
      <w:rPr>
        <w:b w:val="0"/>
        <w:i/>
        <w:color w:val="C0C0C0"/>
        <w:sz w:val="22"/>
      </w:rPr>
      <w:t>Unită în diversitate</w:t>
    </w:r>
    <w:r w:rsidRPr="000B2AC7">
      <w:tab/>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4E8B3" w14:textId="77777777" w:rsidR="00271EFC" w:rsidRPr="000B2AC7" w:rsidRDefault="00271EFC" w:rsidP="00BF66E4">
    <w:pPr>
      <w:pStyle w:val="EPFooter"/>
    </w:pPr>
    <w:r w:rsidRPr="000B2AC7">
      <w:rPr>
        <w:rStyle w:val="HideTWBExt"/>
      </w:rPr>
      <w:t>&lt;PathFdR&gt;</w:t>
    </w:r>
    <w:r w:rsidRPr="000B2AC7">
      <w:t>AD\1336056RO.docx</w:t>
    </w:r>
    <w:r w:rsidRPr="000B2AC7">
      <w:rPr>
        <w:rStyle w:val="HideTWBExt"/>
      </w:rPr>
      <w:t>&lt;/PathFdR&gt;</w:t>
    </w:r>
    <w:r w:rsidRPr="000B2AC7">
      <w:tab/>
    </w:r>
    <w:r w:rsidRPr="000B2AC7">
      <w:tab/>
      <w:t>PE</w:t>
    </w:r>
    <w:r w:rsidRPr="000B2AC7">
      <w:rPr>
        <w:rStyle w:val="HideTWBExt"/>
      </w:rPr>
      <w:t>&lt;NoPE&gt;</w:t>
    </w:r>
    <w:r w:rsidRPr="000B2AC7">
      <w:t>779.547</w:t>
    </w:r>
    <w:r w:rsidRPr="000B2AC7">
      <w:rPr>
        <w:rStyle w:val="HideTWBExt"/>
      </w:rPr>
      <w:t>&lt;/NoPE&gt;&lt;Version&gt;</w:t>
    </w:r>
    <w:r w:rsidRPr="000B2AC7">
      <w:t>v02-00</w:t>
    </w:r>
    <w:r w:rsidRPr="000B2AC7">
      <w:rPr>
        <w:rStyle w:val="HideTWBExt"/>
      </w:rPr>
      <w:t>&lt;/Version&gt;</w:t>
    </w:r>
  </w:p>
  <w:p w14:paraId="6AEFCF2D" w14:textId="77777777" w:rsidR="00271EFC" w:rsidRPr="000B2AC7" w:rsidRDefault="00271EFC" w:rsidP="00BF66E4">
    <w:pPr>
      <w:pStyle w:val="EPFooter2"/>
    </w:pPr>
    <w:r w:rsidRPr="000B2AC7">
      <w:t>RO</w:t>
    </w:r>
    <w:r w:rsidRPr="000B2AC7">
      <w:tab/>
    </w:r>
    <w:r w:rsidRPr="000B2AC7">
      <w:rPr>
        <w:b w:val="0"/>
        <w:i/>
        <w:color w:val="C0C0C0"/>
        <w:sz w:val="22"/>
      </w:rPr>
      <w:t>Unită în diversitate</w:t>
    </w:r>
    <w:r w:rsidRPr="000B2AC7">
      <w:tab/>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B0E5" w14:textId="77777777" w:rsidR="00BF66E4" w:rsidRPr="000B2AC7" w:rsidRDefault="00BF66E4" w:rsidP="00BF66E4">
    <w:pPr>
      <w:pStyle w:val="EPFooter"/>
    </w:pPr>
    <w:r w:rsidRPr="000B2AC7">
      <w:rPr>
        <w:rStyle w:val="HideTWBExt"/>
      </w:rPr>
      <w:t>&lt;PathFdR&gt;</w:t>
    </w:r>
    <w:r w:rsidRPr="000B2AC7">
      <w:t>AD\1336056RO.docx</w:t>
    </w:r>
    <w:r w:rsidRPr="000B2AC7">
      <w:rPr>
        <w:rStyle w:val="HideTWBExt"/>
      </w:rPr>
      <w:t>&lt;/PathFdR&gt;</w:t>
    </w:r>
    <w:r w:rsidRPr="000B2AC7">
      <w:tab/>
    </w:r>
    <w:r w:rsidRPr="000B2AC7">
      <w:tab/>
      <w:t>PE</w:t>
    </w:r>
    <w:r w:rsidRPr="000B2AC7">
      <w:rPr>
        <w:rStyle w:val="HideTWBExt"/>
      </w:rPr>
      <w:t>&lt;NoPE&gt;</w:t>
    </w:r>
    <w:r w:rsidRPr="000B2AC7">
      <w:t>779.547</w:t>
    </w:r>
    <w:r w:rsidRPr="000B2AC7">
      <w:rPr>
        <w:rStyle w:val="HideTWBExt"/>
      </w:rPr>
      <w:t>&lt;/NoPE&gt;&lt;Version&gt;</w:t>
    </w:r>
    <w:r w:rsidRPr="000B2AC7">
      <w:t>v02-00</w:t>
    </w:r>
    <w:r w:rsidRPr="000B2AC7">
      <w:rPr>
        <w:rStyle w:val="HideTWBExt"/>
      </w:rPr>
      <w:t>&lt;/Version&gt;</w:t>
    </w:r>
  </w:p>
  <w:p w14:paraId="420F203C" w14:textId="761CE9A1" w:rsidR="00C75378" w:rsidRPr="000B2AC7" w:rsidRDefault="00BF66E4" w:rsidP="00BF66E4">
    <w:pPr>
      <w:pStyle w:val="EPFooter2"/>
    </w:pPr>
    <w:r w:rsidRPr="000B2AC7">
      <w:t>RO</w:t>
    </w:r>
    <w:r w:rsidRPr="000B2AC7">
      <w:tab/>
    </w:r>
    <w:r w:rsidRPr="000B2AC7">
      <w:rPr>
        <w:b w:val="0"/>
        <w:i/>
        <w:color w:val="C0C0C0"/>
        <w:sz w:val="22"/>
      </w:rPr>
      <w:t>Unită în diversitate</w:t>
    </w:r>
    <w:r w:rsidRPr="000B2AC7">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161D5" w14:textId="77777777" w:rsidR="00EB7682" w:rsidRPr="000B2AC7" w:rsidRDefault="00EB7682">
      <w:r w:rsidRPr="000B2AC7">
        <w:separator/>
      </w:r>
    </w:p>
  </w:footnote>
  <w:footnote w:type="continuationSeparator" w:id="0">
    <w:p w14:paraId="41D83DB9" w14:textId="77777777" w:rsidR="00EB7682" w:rsidRPr="000B2AC7" w:rsidRDefault="00EB7682">
      <w:r w:rsidRPr="000B2AC7">
        <w:continuationSeparator/>
      </w:r>
    </w:p>
  </w:footnote>
  <w:footnote w:id="1">
    <w:p w14:paraId="34F0DAB7" w14:textId="77777777" w:rsidR="00271EFC" w:rsidRPr="004166D8" w:rsidRDefault="00271EFC" w:rsidP="00271EFC">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1" w:history="1">
        <w:r w:rsidRPr="004166D8">
          <w:rPr>
            <w:rStyle w:val="Hyperlink"/>
          </w:rPr>
          <w:t>http://data.europa.eu/eli/agree_interinstit/2021/611/oj</w:t>
        </w:r>
      </w:hyperlink>
      <w:r w:rsidRPr="004166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5A613" w14:textId="77777777" w:rsidR="00271EFC" w:rsidRDefault="00271E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1AAF8" w14:textId="77777777" w:rsidR="00271EFC" w:rsidRDefault="00271E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A372" w14:textId="77777777" w:rsidR="00271EFC" w:rsidRDefault="00271E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7C38" w14:textId="77777777" w:rsidR="00271EFC" w:rsidRDefault="00271E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1192" w14:textId="77777777" w:rsidR="00271EFC" w:rsidRDefault="00271E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BDC1D" w14:textId="77777777" w:rsidR="00271EFC" w:rsidRDefault="00271E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2630" w14:textId="77777777" w:rsidR="00271EFC" w:rsidRDefault="00271E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9E6F" w14:textId="77777777" w:rsidR="00271EFC" w:rsidRDefault="00271EF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1AD11" w14:textId="77777777" w:rsidR="00271EFC" w:rsidRDefault="00271E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A3286" w14:textId="77777777" w:rsidR="00A81801" w:rsidRDefault="00A8180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C3194" w14:textId="77777777" w:rsidR="00A81801" w:rsidRDefault="00A8180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AA6B" w14:textId="77777777" w:rsidR="00A81801" w:rsidRDefault="00A818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5514113">
    <w:abstractNumId w:val="9"/>
  </w:num>
  <w:num w:numId="2" w16cid:durableId="344285521">
    <w:abstractNumId w:val="9"/>
  </w:num>
  <w:num w:numId="3" w16cid:durableId="408891483">
    <w:abstractNumId w:val="7"/>
  </w:num>
  <w:num w:numId="4" w16cid:durableId="1839421148">
    <w:abstractNumId w:val="7"/>
  </w:num>
  <w:num w:numId="5" w16cid:durableId="1015421796">
    <w:abstractNumId w:val="6"/>
  </w:num>
  <w:num w:numId="6" w16cid:durableId="1905918187">
    <w:abstractNumId w:val="6"/>
  </w:num>
  <w:num w:numId="7" w16cid:durableId="1955280699">
    <w:abstractNumId w:val="5"/>
  </w:num>
  <w:num w:numId="8" w16cid:durableId="809636184">
    <w:abstractNumId w:val="5"/>
  </w:num>
  <w:num w:numId="9" w16cid:durableId="755251374">
    <w:abstractNumId w:val="4"/>
  </w:num>
  <w:num w:numId="10" w16cid:durableId="1921140610">
    <w:abstractNumId w:val="4"/>
  </w:num>
  <w:num w:numId="11" w16cid:durableId="1752118604">
    <w:abstractNumId w:val="8"/>
  </w:num>
  <w:num w:numId="12" w16cid:durableId="2142721404">
    <w:abstractNumId w:val="8"/>
  </w:num>
  <w:num w:numId="13" w16cid:durableId="647898361">
    <w:abstractNumId w:val="3"/>
  </w:num>
  <w:num w:numId="14" w16cid:durableId="1886410107">
    <w:abstractNumId w:val="3"/>
  </w:num>
  <w:num w:numId="15" w16cid:durableId="1324117220">
    <w:abstractNumId w:val="2"/>
  </w:num>
  <w:num w:numId="16" w16cid:durableId="209609341">
    <w:abstractNumId w:val="2"/>
  </w:num>
  <w:num w:numId="17" w16cid:durableId="833371563">
    <w:abstractNumId w:val="1"/>
  </w:num>
  <w:num w:numId="18" w16cid:durableId="2011175420">
    <w:abstractNumId w:val="1"/>
  </w:num>
  <w:num w:numId="19" w16cid:durableId="1020934151">
    <w:abstractNumId w:val="0"/>
  </w:num>
  <w:num w:numId="20" w16cid:durableId="1555120249">
    <w:abstractNumId w:val="0"/>
  </w:num>
  <w:num w:numId="21" w16cid:durableId="1948392724">
    <w:abstractNumId w:val="9"/>
  </w:num>
  <w:num w:numId="22" w16cid:durableId="1728020427">
    <w:abstractNumId w:val="7"/>
  </w:num>
  <w:num w:numId="23" w16cid:durableId="805394103">
    <w:abstractNumId w:val="6"/>
  </w:num>
  <w:num w:numId="24" w16cid:durableId="2005889970">
    <w:abstractNumId w:val="5"/>
  </w:num>
  <w:num w:numId="25" w16cid:durableId="1545098735">
    <w:abstractNumId w:val="4"/>
  </w:num>
  <w:num w:numId="26" w16cid:durableId="332226872">
    <w:abstractNumId w:val="8"/>
  </w:num>
  <w:num w:numId="27" w16cid:durableId="34504678">
    <w:abstractNumId w:val="3"/>
  </w:num>
  <w:num w:numId="28" w16cid:durableId="394861099">
    <w:abstractNumId w:val="2"/>
  </w:num>
  <w:num w:numId="29" w16cid:durableId="841044102">
    <w:abstractNumId w:val="1"/>
  </w:num>
  <w:num w:numId="30" w16cid:durableId="1155032194">
    <w:abstractNumId w:val="0"/>
  </w:num>
  <w:num w:numId="31" w16cid:durableId="1240946467">
    <w:abstractNumId w:val="9"/>
  </w:num>
  <w:num w:numId="32" w16cid:durableId="1276713458">
    <w:abstractNumId w:val="7"/>
  </w:num>
  <w:num w:numId="33" w16cid:durableId="896665121">
    <w:abstractNumId w:val="6"/>
  </w:num>
  <w:num w:numId="34" w16cid:durableId="1460300410">
    <w:abstractNumId w:val="5"/>
  </w:num>
  <w:num w:numId="35" w16cid:durableId="1116144383">
    <w:abstractNumId w:val="4"/>
  </w:num>
  <w:num w:numId="36" w16cid:durableId="1705520866">
    <w:abstractNumId w:val="8"/>
  </w:num>
  <w:num w:numId="37" w16cid:durableId="1077627063">
    <w:abstractNumId w:val="3"/>
  </w:num>
  <w:num w:numId="38" w16cid:durableId="1713578668">
    <w:abstractNumId w:val="2"/>
  </w:num>
  <w:num w:numId="39" w16cid:durableId="1704939746">
    <w:abstractNumId w:val="1"/>
  </w:num>
  <w:num w:numId="40" w16cid:durableId="34255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OMKEY" w:val="PECH"/>
    <w:docVar w:name="CONTRIBUTIONMNU" w:val=" 2"/>
    <w:docVar w:name="CopyToNetwork" w:val="-1"/>
    <w:docVar w:name="DOCDT" w:val="10/11/2025"/>
    <w:docVar w:name="FONCTIONMNU" w:val=" 1"/>
    <w:docVar w:name="LastAMInserted" w:val="8"/>
    <w:docVar w:name="LastEditedSection" w:val=" 1"/>
    <w:docVar w:name="NumberAMInserted" w:val="8"/>
    <w:docVar w:name="strDocTypeID" w:val="PA_NonLegDec"/>
    <w:docVar w:name="strSubDir" w:val="1336"/>
    <w:docVar w:name="TITLEMNU" w:val=" 3"/>
    <w:docVar w:name="TXTAUTHOR" w:val="Giuseppe Lupo"/>
    <w:docVar w:name="TXTLANGUE" w:val="RO"/>
    <w:docVar w:name="TXTLANGUEMIN" w:val="ro"/>
    <w:docVar w:name="TXTNRPE" w:val="779.547"/>
    <w:docVar w:name="TXTNRPROC" w:val="2025/2156"/>
    <w:docVar w:name="TXTPEorAP" w:val="PE"/>
    <w:docVar w:name="TXTROUTE" w:val="AD\1336056RO.docx"/>
    <w:docVar w:name="TXTTITLE" w:val=" on discharge in respect of the implementation of the general budget of the European Fisheries Control Agency (EFCA) for the financial year 2024"/>
    <w:docVar w:name="TXTVERSION" w:val="02-00"/>
  </w:docVars>
  <w:rsids>
    <w:rsidRoot w:val="00973A47"/>
    <w:rsid w:val="000048A8"/>
    <w:rsid w:val="00007A18"/>
    <w:rsid w:val="000341CA"/>
    <w:rsid w:val="00062634"/>
    <w:rsid w:val="000A05CA"/>
    <w:rsid w:val="000B2AC7"/>
    <w:rsid w:val="000B6C4B"/>
    <w:rsid w:val="000B7603"/>
    <w:rsid w:val="000D001F"/>
    <w:rsid w:val="000D099F"/>
    <w:rsid w:val="000E6813"/>
    <w:rsid w:val="000F07FE"/>
    <w:rsid w:val="001275F4"/>
    <w:rsid w:val="001A455F"/>
    <w:rsid w:val="001D5354"/>
    <w:rsid w:val="001F2766"/>
    <w:rsid w:val="001F6ED8"/>
    <w:rsid w:val="00212D35"/>
    <w:rsid w:val="00212D52"/>
    <w:rsid w:val="00245650"/>
    <w:rsid w:val="00245C7F"/>
    <w:rsid w:val="00265C6D"/>
    <w:rsid w:val="00271180"/>
    <w:rsid w:val="00271EFC"/>
    <w:rsid w:val="0027333B"/>
    <w:rsid w:val="002852EB"/>
    <w:rsid w:val="002A4AC9"/>
    <w:rsid w:val="002B2892"/>
    <w:rsid w:val="002C0EE6"/>
    <w:rsid w:val="002C34AE"/>
    <w:rsid w:val="002E2F2E"/>
    <w:rsid w:val="00307C14"/>
    <w:rsid w:val="003119A2"/>
    <w:rsid w:val="003707A7"/>
    <w:rsid w:val="00385BAB"/>
    <w:rsid w:val="0039003E"/>
    <w:rsid w:val="00396FA9"/>
    <w:rsid w:val="003B72FC"/>
    <w:rsid w:val="003D684B"/>
    <w:rsid w:val="003E06CF"/>
    <w:rsid w:val="003E35FB"/>
    <w:rsid w:val="003E6513"/>
    <w:rsid w:val="003F3B83"/>
    <w:rsid w:val="004166D8"/>
    <w:rsid w:val="00431E30"/>
    <w:rsid w:val="004820B9"/>
    <w:rsid w:val="00487232"/>
    <w:rsid w:val="00495CA4"/>
    <w:rsid w:val="004A34E6"/>
    <w:rsid w:val="004A63B3"/>
    <w:rsid w:val="004B0AA2"/>
    <w:rsid w:val="004C28FB"/>
    <w:rsid w:val="004E54DC"/>
    <w:rsid w:val="004F48ED"/>
    <w:rsid w:val="00512922"/>
    <w:rsid w:val="00514664"/>
    <w:rsid w:val="00516F09"/>
    <w:rsid w:val="00544C0D"/>
    <w:rsid w:val="00546016"/>
    <w:rsid w:val="0055017A"/>
    <w:rsid w:val="005742CB"/>
    <w:rsid w:val="00577018"/>
    <w:rsid w:val="005779E7"/>
    <w:rsid w:val="0059346E"/>
    <w:rsid w:val="005D0786"/>
    <w:rsid w:val="005E3670"/>
    <w:rsid w:val="005F5038"/>
    <w:rsid w:val="00600DC9"/>
    <w:rsid w:val="00643F39"/>
    <w:rsid w:val="0066728C"/>
    <w:rsid w:val="006819E0"/>
    <w:rsid w:val="006F777A"/>
    <w:rsid w:val="0071319E"/>
    <w:rsid w:val="00722749"/>
    <w:rsid w:val="00722E5D"/>
    <w:rsid w:val="007A0D42"/>
    <w:rsid w:val="007B3174"/>
    <w:rsid w:val="00806587"/>
    <w:rsid w:val="0081268A"/>
    <w:rsid w:val="00830264"/>
    <w:rsid w:val="008411F1"/>
    <w:rsid w:val="008818A9"/>
    <w:rsid w:val="008C6240"/>
    <w:rsid w:val="008E7494"/>
    <w:rsid w:val="008F36CD"/>
    <w:rsid w:val="008F7002"/>
    <w:rsid w:val="0095301E"/>
    <w:rsid w:val="00953C9A"/>
    <w:rsid w:val="0095497D"/>
    <w:rsid w:val="009669A8"/>
    <w:rsid w:val="00972FD8"/>
    <w:rsid w:val="00973A47"/>
    <w:rsid w:val="00977F76"/>
    <w:rsid w:val="0098140C"/>
    <w:rsid w:val="00985E09"/>
    <w:rsid w:val="009A33F4"/>
    <w:rsid w:val="009A403C"/>
    <w:rsid w:val="009B5265"/>
    <w:rsid w:val="00A023C9"/>
    <w:rsid w:val="00A10994"/>
    <w:rsid w:val="00A2041C"/>
    <w:rsid w:val="00A27A94"/>
    <w:rsid w:val="00A53830"/>
    <w:rsid w:val="00A66974"/>
    <w:rsid w:val="00A722B1"/>
    <w:rsid w:val="00A81801"/>
    <w:rsid w:val="00A8267E"/>
    <w:rsid w:val="00A838A4"/>
    <w:rsid w:val="00A93570"/>
    <w:rsid w:val="00A9617A"/>
    <w:rsid w:val="00AA1A2C"/>
    <w:rsid w:val="00AA223C"/>
    <w:rsid w:val="00AF77DA"/>
    <w:rsid w:val="00B107A4"/>
    <w:rsid w:val="00B1441B"/>
    <w:rsid w:val="00B30717"/>
    <w:rsid w:val="00B362F7"/>
    <w:rsid w:val="00BB2AC1"/>
    <w:rsid w:val="00BC6DEC"/>
    <w:rsid w:val="00BF66E4"/>
    <w:rsid w:val="00C04938"/>
    <w:rsid w:val="00C175C0"/>
    <w:rsid w:val="00C20537"/>
    <w:rsid w:val="00C239C9"/>
    <w:rsid w:val="00C47E30"/>
    <w:rsid w:val="00C54F53"/>
    <w:rsid w:val="00C75378"/>
    <w:rsid w:val="00C80F5C"/>
    <w:rsid w:val="00CA0D01"/>
    <w:rsid w:val="00CA353B"/>
    <w:rsid w:val="00CF7076"/>
    <w:rsid w:val="00D41244"/>
    <w:rsid w:val="00D438D0"/>
    <w:rsid w:val="00D44697"/>
    <w:rsid w:val="00D47632"/>
    <w:rsid w:val="00D625A2"/>
    <w:rsid w:val="00D71751"/>
    <w:rsid w:val="00D759AA"/>
    <w:rsid w:val="00D82D0F"/>
    <w:rsid w:val="00DA7632"/>
    <w:rsid w:val="00DB01D4"/>
    <w:rsid w:val="00DC6B73"/>
    <w:rsid w:val="00E01434"/>
    <w:rsid w:val="00E05697"/>
    <w:rsid w:val="00E12435"/>
    <w:rsid w:val="00E3462E"/>
    <w:rsid w:val="00E729C7"/>
    <w:rsid w:val="00E83B40"/>
    <w:rsid w:val="00E9601C"/>
    <w:rsid w:val="00EA78B3"/>
    <w:rsid w:val="00EB19AA"/>
    <w:rsid w:val="00EB7682"/>
    <w:rsid w:val="00EC2C85"/>
    <w:rsid w:val="00EE3573"/>
    <w:rsid w:val="00F036E0"/>
    <w:rsid w:val="00F129D0"/>
    <w:rsid w:val="00F46E44"/>
    <w:rsid w:val="00F611FC"/>
    <w:rsid w:val="00F61E8C"/>
    <w:rsid w:val="00F707AB"/>
    <w:rsid w:val="00F96D53"/>
    <w:rsid w:val="00F97D2C"/>
    <w:rsid w:val="00FB459D"/>
    <w:rsid w:val="00FD6D20"/>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4D98D"/>
  <w15:chartTrackingRefBased/>
  <w15:docId w15:val="{FCE31CC5-EB65-4494-B254-5838EF02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7A0D42"/>
    <w:pPr>
      <w:tabs>
        <w:tab w:val="center" w:pos="4513"/>
        <w:tab w:val="right" w:pos="9026"/>
      </w:tabs>
    </w:pPr>
  </w:style>
  <w:style w:type="character" w:customStyle="1" w:styleId="FooterChar">
    <w:name w:val="Footer Char"/>
    <w:basedOn w:val="DefaultParagraphFont"/>
    <w:link w:val="Footer"/>
    <w:semiHidden/>
    <w:rsid w:val="007A0D42"/>
    <w:rPr>
      <w:sz w:val="24"/>
    </w:rPr>
  </w:style>
  <w:style w:type="paragraph" w:styleId="CommentText">
    <w:name w:val="annotation text"/>
    <w:basedOn w:val="Normal"/>
    <w:link w:val="CommentTextChar"/>
    <w:unhideWhenUsed/>
    <w:rsid w:val="00C80F5C"/>
    <w:rPr>
      <w:sz w:val="20"/>
    </w:rPr>
  </w:style>
  <w:style w:type="character" w:customStyle="1" w:styleId="CommentTextChar">
    <w:name w:val="Comment Text Char"/>
    <w:basedOn w:val="DefaultParagraphFont"/>
    <w:link w:val="CommentText"/>
    <w:rsid w:val="00C80F5C"/>
  </w:style>
  <w:style w:type="character" w:styleId="CommentReference">
    <w:name w:val="annotation reference"/>
    <w:basedOn w:val="DefaultParagraphFont"/>
    <w:unhideWhenUsed/>
    <w:rsid w:val="00C80F5C"/>
    <w:rPr>
      <w:sz w:val="16"/>
      <w:szCs w:val="16"/>
    </w:rPr>
  </w:style>
  <w:style w:type="paragraph" w:customStyle="1" w:styleId="Normal24a">
    <w:name w:val="Normal24a"/>
    <w:basedOn w:val="Normal"/>
    <w:rsid w:val="00C80F5C"/>
    <w:pPr>
      <w:spacing w:after="480"/>
    </w:pPr>
    <w:rPr>
      <w:szCs w:val="24"/>
    </w:rPr>
  </w:style>
  <w:style w:type="paragraph" w:customStyle="1" w:styleId="NormalBoldCenter">
    <w:name w:val="NormalBoldCenter"/>
    <w:basedOn w:val="Normal"/>
    <w:rsid w:val="00C80F5C"/>
    <w:pPr>
      <w:jc w:val="center"/>
    </w:pPr>
    <w:rPr>
      <w:b/>
      <w:szCs w:val="24"/>
    </w:rPr>
  </w:style>
  <w:style w:type="paragraph" w:customStyle="1" w:styleId="Footprint12b">
    <w:name w:val="Footprint12b"/>
    <w:basedOn w:val="Normal"/>
    <w:rsid w:val="00C80F5C"/>
    <w:pPr>
      <w:spacing w:before="240"/>
    </w:pPr>
    <w:rPr>
      <w:szCs w:val="24"/>
    </w:rPr>
  </w:style>
  <w:style w:type="paragraph" w:customStyle="1" w:styleId="NormalSingle">
    <w:name w:val="NormalSingle"/>
    <w:basedOn w:val="Normal"/>
    <w:qFormat/>
    <w:rsid w:val="00C80F5C"/>
    <w:rPr>
      <w:szCs w:val="24"/>
    </w:rPr>
  </w:style>
  <w:style w:type="paragraph" w:styleId="FootnoteText">
    <w:name w:val="footnote text"/>
    <w:basedOn w:val="Normal"/>
    <w:link w:val="FootnoteTextChar"/>
    <w:rsid w:val="00C80F5C"/>
    <w:rPr>
      <w:sz w:val="20"/>
    </w:rPr>
  </w:style>
  <w:style w:type="character" w:customStyle="1" w:styleId="FootnoteTextChar">
    <w:name w:val="Footnote Text Char"/>
    <w:basedOn w:val="DefaultParagraphFont"/>
    <w:link w:val="FootnoteText"/>
    <w:rsid w:val="00C80F5C"/>
  </w:style>
  <w:style w:type="character" w:styleId="FootnoteReference">
    <w:name w:val="footnote reference"/>
    <w:basedOn w:val="DefaultParagraphFont"/>
    <w:rsid w:val="00C80F5C"/>
    <w:rPr>
      <w:vertAlign w:val="superscript"/>
    </w:rPr>
  </w:style>
  <w:style w:type="character" w:styleId="Hyperlink">
    <w:name w:val="Hyperlink"/>
    <w:basedOn w:val="DefaultParagraphFont"/>
    <w:rsid w:val="00C80F5C"/>
    <w:rPr>
      <w:color w:val="0563C1" w:themeColor="hyperlink"/>
      <w:u w:val="single"/>
    </w:rPr>
  </w:style>
  <w:style w:type="character" w:styleId="UnresolvedMention">
    <w:name w:val="Unresolved Mention"/>
    <w:basedOn w:val="DefaultParagraphFont"/>
    <w:uiPriority w:val="99"/>
    <w:semiHidden/>
    <w:unhideWhenUsed/>
    <w:rsid w:val="00C80F5C"/>
    <w:rPr>
      <w:color w:val="605E5C"/>
      <w:shd w:val="clear" w:color="auto" w:fill="E1DFDD"/>
    </w:rPr>
  </w:style>
  <w:style w:type="paragraph" w:styleId="Revision">
    <w:name w:val="Revision"/>
    <w:hidden/>
    <w:uiPriority w:val="99"/>
    <w:semiHidden/>
    <w:rsid w:val="00CA353B"/>
    <w:rPr>
      <w:sz w:val="24"/>
    </w:rPr>
  </w:style>
  <w:style w:type="character" w:customStyle="1" w:styleId="NormalHanging12aChar">
    <w:name w:val="NormalHanging12a Char"/>
    <w:basedOn w:val="DefaultParagraphFont"/>
    <w:link w:val="NormalHanging12a"/>
    <w:rsid w:val="00A66974"/>
    <w:rPr>
      <w:sz w:val="24"/>
    </w:rPr>
  </w:style>
  <w:style w:type="paragraph" w:customStyle="1" w:styleId="RollCallSymbols14pt">
    <w:name w:val="RollCallSymbols14pt"/>
    <w:basedOn w:val="Normal"/>
    <w:rsid w:val="00A6697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66974"/>
    <w:pPr>
      <w:tabs>
        <w:tab w:val="center" w:pos="284"/>
        <w:tab w:val="left" w:pos="426"/>
      </w:tabs>
    </w:pPr>
    <w:rPr>
      <w:snapToGrid w:val="0"/>
      <w:lang w:eastAsia="en-US"/>
    </w:rPr>
  </w:style>
  <w:style w:type="paragraph" w:customStyle="1" w:styleId="RollCallVotes">
    <w:name w:val="RollCallVotes"/>
    <w:basedOn w:val="Normal"/>
    <w:rsid w:val="00A66974"/>
    <w:pPr>
      <w:spacing w:before="120" w:after="120"/>
      <w:jc w:val="center"/>
    </w:pPr>
    <w:rPr>
      <w:b/>
      <w:bCs/>
      <w:snapToGrid w:val="0"/>
      <w:sz w:val="16"/>
      <w:lang w:eastAsia="en-US"/>
    </w:rPr>
  </w:style>
  <w:style w:type="paragraph" w:customStyle="1" w:styleId="RollCallTable">
    <w:name w:val="RollCallTable"/>
    <w:basedOn w:val="Normal"/>
    <w:rsid w:val="00A66974"/>
    <w:pPr>
      <w:spacing w:before="120" w:after="120"/>
    </w:pPr>
    <w:rPr>
      <w:snapToGrid w:val="0"/>
      <w:sz w:val="16"/>
      <w:lang w:eastAsia="en-US"/>
    </w:rPr>
  </w:style>
  <w:style w:type="character" w:styleId="Emphasis">
    <w:name w:val="Emphasis"/>
    <w:basedOn w:val="DefaultParagraphFont"/>
    <w:uiPriority w:val="20"/>
    <w:qFormat/>
    <w:rsid w:val="00722E5D"/>
    <w:rPr>
      <w:rFonts w:asciiTheme="minorHAnsi" w:hAnsiTheme="minorHAnsi"/>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771824">
      <w:bodyDiv w:val="1"/>
      <w:marLeft w:val="0"/>
      <w:marRight w:val="0"/>
      <w:marTop w:val="0"/>
      <w:marBottom w:val="0"/>
      <w:divBdr>
        <w:top w:val="none" w:sz="0" w:space="0" w:color="auto"/>
        <w:left w:val="none" w:sz="0" w:space="0" w:color="auto"/>
        <w:bottom w:val="none" w:sz="0" w:space="0" w:color="auto"/>
        <w:right w:val="none" w:sz="0" w:space="0" w:color="auto"/>
      </w:divBdr>
    </w:div>
    <w:div w:id="9939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5735E-CD73-405D-BD91-66ED6F038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2361</Words>
  <Characters>13698</Characters>
  <Application>Microsoft Office Word</Application>
  <DocSecurity>0</DocSecurity>
  <Lines>268</Lines>
  <Paragraphs>102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2026-02-10T14:05:00Z</dcterms:created>
  <dcterms:modified xsi:type="dcterms:W3CDTF">2026-02-10T14:05:00Z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1336056</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AD\1336056RO.docx</vt:lpwstr>
  </property>
  <property fmtid="{D5CDD505-2E9C-101B-9397-08002B2CF9AE}" pid="11" name="PE number">
    <vt:lpwstr>779.547</vt:lpwstr>
  </property>
  <property fmtid="{D5CDD505-2E9C-101B-9397-08002B2CF9AE}" pid="12" name="SendToEpades">
    <vt:lpwstr>OK - 2026/01/27 17:38</vt:lpwstr>
  </property>
  <property fmtid="{D5CDD505-2E9C-101B-9397-08002B2CF9AE}" pid="13" name="OriLang">
    <vt:lpwstr>EN</vt:lpwstr>
  </property>
  <property fmtid="{D5CDD505-2E9C-101B-9397-08002B2CF9AE}" pid="14" name="SDLStudio">
    <vt:lpwstr/>
  </property>
  <property fmtid="{D5CDD505-2E9C-101B-9397-08002B2CF9AE}" pid="15" name="Bookout">
    <vt:lpwstr>OK - 2026/02/10 15:05</vt:lpwstr>
  </property>
</Properties>
</file>