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3829337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F48ED" w:rsidRPr="004E4D1E" w:rsidP="00C85D0F" w14:paraId="4B02C825" w14:textId="77777777">
            <w:pPr>
              <w:pStyle w:val="EPName"/>
            </w:pPr>
            <w:r w:rsidRPr="004E4D1E">
              <w:t>Európsky parlament</w:t>
            </w:r>
          </w:p>
          <w:p w:rsidR="004F48ED" w:rsidRPr="004E4D1E" w:rsidP="00C85D0F" w14:paraId="44C52149" w14:textId="089D613F">
            <w:pPr>
              <w:pStyle w:val="EPTerm"/>
            </w:pPr>
            <w:r w:rsidRPr="004E4D1E">
              <w:t>2024-2029</w:t>
            </w:r>
          </w:p>
        </w:tc>
        <w:tc>
          <w:tcPr>
            <w:tcW w:w="2268" w:type="dxa"/>
            <w:shd w:val="clear" w:color="auto" w:fill="auto"/>
          </w:tcPr>
          <w:p w:rsidR="004F48ED" w:rsidRPr="004E4D1E" w:rsidP="00C85D0F" w14:paraId="599AD24C" w14:textId="77777777">
            <w:pPr>
              <w:pStyle w:val="EPLogo"/>
            </w:pPr>
            <w:r w:rsidRPr="004E4D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363524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601C" w:rsidRPr="004E4D1E" w:rsidP="00E9601C" w14:paraId="63566425" w14:textId="77777777">
      <w:pPr>
        <w:pStyle w:val="LineTop"/>
      </w:pPr>
    </w:p>
    <w:p w:rsidR="00E9601C" w:rsidRPr="004E4D1E" w:rsidP="00E9601C" w14:paraId="044CBE01" w14:textId="0FEDEFFA">
      <w:pPr>
        <w:pStyle w:val="EPBody"/>
      </w:pPr>
      <w:r w:rsidRPr="004E4D1E">
        <w:rPr>
          <w:rStyle w:val="HideTWBExt"/>
        </w:rPr>
        <w:t>&lt;</w:t>
      </w:r>
      <w:r w:rsidRPr="004E4D1E">
        <w:rPr>
          <w:rStyle w:val="HideTWBExt"/>
          <w:i w:val="0"/>
        </w:rPr>
        <w:t>Commission</w:t>
      </w:r>
      <w:r w:rsidRPr="004E4D1E">
        <w:rPr>
          <w:rStyle w:val="HideTWBExt"/>
        </w:rPr>
        <w:t>&gt;</w:t>
      </w:r>
      <w:r w:rsidRPr="004E4D1E">
        <w:rPr>
          <w:rStyle w:val="HideTWBInt"/>
        </w:rPr>
        <w:t>{PECH}</w:t>
      </w:r>
      <w:r w:rsidRPr="004E4D1E">
        <w:t>Výbor pre rybárstvo</w:t>
      </w:r>
      <w:r w:rsidRPr="004E4D1E">
        <w:rPr>
          <w:rStyle w:val="HideTWBExt"/>
        </w:rPr>
        <w:t>&lt;/</w:t>
      </w:r>
      <w:r w:rsidRPr="004E4D1E">
        <w:rPr>
          <w:rStyle w:val="HideTWBExt"/>
          <w:i w:val="0"/>
        </w:rPr>
        <w:t>Commission</w:t>
      </w:r>
      <w:r w:rsidRPr="004E4D1E">
        <w:rPr>
          <w:rStyle w:val="HideTWBExt"/>
        </w:rPr>
        <w:t>&gt;</w:t>
      </w:r>
    </w:p>
    <w:p w:rsidR="00E9601C" w:rsidRPr="004E4D1E" w:rsidP="00E9601C" w14:paraId="0F21E8AF" w14:textId="77777777">
      <w:pPr>
        <w:pStyle w:val="LineBottom"/>
      </w:pPr>
    </w:p>
    <w:p w:rsidR="007A2508" w:rsidRPr="004E4D1E" w:rsidP="007A2508" w14:paraId="1F47E974" w14:textId="11B00F11">
      <w:pPr>
        <w:pStyle w:val="CoverReference"/>
      </w:pPr>
      <w:r w:rsidRPr="004E4D1E">
        <w:rPr>
          <w:rStyle w:val="HideTWBExt"/>
          <w:b w:val="0"/>
        </w:rPr>
        <w:t>&lt;RefProc&gt;</w:t>
      </w:r>
      <w:r w:rsidRPr="004E4D1E">
        <w:t>2026/0196</w:t>
      </w:r>
      <w:r w:rsidRPr="004E4D1E">
        <w:rPr>
          <w:rStyle w:val="HideTWBExt"/>
          <w:b w:val="0"/>
        </w:rPr>
        <w:t>&lt;/RefProc&gt;&lt;RefTypeProc&gt;</w:t>
      </w:r>
      <w:r w:rsidRPr="004E4D1E">
        <w:t>(BUD)</w:t>
      </w:r>
      <w:r w:rsidRPr="004E4D1E">
        <w:rPr>
          <w:rStyle w:val="HideTWBExt"/>
          <w:b w:val="0"/>
        </w:rPr>
        <w:t>&lt;/RefTypeProc&gt;</w:t>
      </w:r>
    </w:p>
    <w:p w:rsidR="007A2508" w:rsidRPr="004E4D1E" w:rsidP="007A2508" w14:paraId="24D3C4F5" w14:textId="77777777">
      <w:pPr>
        <w:pStyle w:val="CoverDate"/>
      </w:pPr>
      <w:r w:rsidRPr="004E4D1E">
        <w:rPr>
          <w:rStyle w:val="HideTWBExt"/>
        </w:rPr>
        <w:t>&lt;Date&gt;</w:t>
      </w:r>
      <w:r w:rsidRPr="004E4D1E">
        <w:rPr>
          <w:rStyle w:val="HideTWBInt"/>
        </w:rPr>
        <w:t>{02/09/2026}</w:t>
      </w:r>
      <w:r w:rsidRPr="004E4D1E">
        <w:t>2.9.2026</w:t>
      </w:r>
      <w:r w:rsidRPr="004E4D1E">
        <w:rPr>
          <w:rStyle w:val="HideTWBExt"/>
        </w:rPr>
        <w:t>&lt;/Date&gt;</w:t>
      </w:r>
    </w:p>
    <w:p w:rsidR="007A2508" w:rsidRPr="004E4D1E" w:rsidP="007A2508" w14:paraId="6B37BF39" w14:textId="77777777">
      <w:pPr>
        <w:pStyle w:val="CoverDocType24a"/>
      </w:pPr>
      <w:r w:rsidRPr="004E4D1E">
        <w:rPr>
          <w:rStyle w:val="HideTWBExt"/>
          <w:b w:val="0"/>
        </w:rPr>
        <w:t>&lt;TitreType&gt;</w:t>
      </w:r>
      <w:r w:rsidRPr="004E4D1E">
        <w:t>STANOVISKO</w:t>
      </w:r>
      <w:r w:rsidRPr="004E4D1E">
        <w:rPr>
          <w:rStyle w:val="HideTWBExt"/>
          <w:b w:val="0"/>
        </w:rPr>
        <w:t>&lt;/TitreType&gt;</w:t>
      </w:r>
    </w:p>
    <w:p w:rsidR="007A2508" w:rsidRPr="004E4D1E" w:rsidP="007A2508" w14:paraId="54AFCDD7" w14:textId="77777777">
      <w:pPr>
        <w:pStyle w:val="CoverNormal24a"/>
      </w:pPr>
      <w:r w:rsidRPr="004E4D1E">
        <w:rPr>
          <w:rStyle w:val="HideTWBExt"/>
        </w:rPr>
        <w:t>&lt;CommissionResp&gt;</w:t>
      </w:r>
      <w:r w:rsidRPr="004E4D1E">
        <w:t>Výboru pre rybárstvo</w:t>
      </w:r>
      <w:r w:rsidRPr="004E4D1E">
        <w:rPr>
          <w:rStyle w:val="HideTWBExt"/>
        </w:rPr>
        <w:t>&lt;/CommissionResp&gt;</w:t>
      </w:r>
    </w:p>
    <w:p w:rsidR="007A2508" w:rsidRPr="004E4D1E" w:rsidP="007A2508" w14:paraId="77788CBD" w14:textId="77777777">
      <w:pPr>
        <w:pStyle w:val="CoverNormal24a"/>
      </w:pPr>
      <w:r w:rsidRPr="004E4D1E">
        <w:rPr>
          <w:rStyle w:val="HideTWBExt"/>
        </w:rPr>
        <w:t>&lt;CommissionInt&gt;</w:t>
      </w:r>
      <w:r w:rsidRPr="004E4D1E">
        <w:t>pre Výbor pre rozpočet</w:t>
      </w:r>
      <w:r w:rsidRPr="004E4D1E">
        <w:rPr>
          <w:rStyle w:val="HideTWBExt"/>
        </w:rPr>
        <w:t>&lt;/CommissionInt&gt;</w:t>
      </w:r>
    </w:p>
    <w:p w:rsidR="007A2508" w:rsidRPr="004E4D1E" w:rsidP="007A2508" w14:paraId="66BC347B" w14:textId="2A3EACE2">
      <w:pPr>
        <w:pStyle w:val="CoverNormal"/>
      </w:pPr>
      <w:r w:rsidRPr="004E4D1E">
        <w:rPr>
          <w:rStyle w:val="HideTWBExt"/>
        </w:rPr>
        <w:t>&lt;Titre&gt;</w:t>
      </w:r>
      <w:r w:rsidRPr="004E4D1E">
        <w:t>k všeobecnému rozpočtu Európskej únie na rozpočtový rok 2027 – všetky oddiely</w:t>
      </w:r>
      <w:r w:rsidRPr="004E4D1E">
        <w:rPr>
          <w:rStyle w:val="HideTWBExt"/>
        </w:rPr>
        <w:t>&lt;/Titre&gt;</w:t>
      </w:r>
    </w:p>
    <w:p w:rsidR="007A2508" w:rsidRPr="004E4D1E" w:rsidP="007A2508" w14:paraId="5D363C68" w14:textId="417B2C4C">
      <w:pPr>
        <w:pStyle w:val="CoverNormal24a"/>
      </w:pPr>
      <w:r w:rsidRPr="004E4D1E">
        <w:rPr>
          <w:rStyle w:val="HideTWBExt"/>
        </w:rPr>
        <w:t>&lt;DocRef&gt;</w:t>
      </w:r>
      <w:r w:rsidRPr="004E4D1E">
        <w:t>(2026/0196(BUD))</w:t>
      </w:r>
      <w:r w:rsidRPr="004E4D1E">
        <w:rPr>
          <w:rStyle w:val="HideTWBExt"/>
        </w:rPr>
        <w:t>&lt;/DocRef&gt;</w:t>
      </w:r>
    </w:p>
    <w:p w:rsidR="007A2508" w:rsidRPr="004E4D1E" w:rsidP="007A2508" w14:paraId="04B846F0" w14:textId="77777777">
      <w:pPr>
        <w:pStyle w:val="CoverNormal24a"/>
      </w:pPr>
      <w:r w:rsidRPr="004E4D1E">
        <w:t xml:space="preserve">Spravodajca výboru požiadaného o stanovisko: </w:t>
      </w:r>
      <w:r w:rsidRPr="004E4D1E">
        <w:rPr>
          <w:rStyle w:val="HideTWBExt"/>
        </w:rPr>
        <w:t>&lt;Depute&gt;</w:t>
      </w:r>
      <w:r w:rsidRPr="004E4D1E">
        <w:t>Giuseppe Lupo</w:t>
      </w:r>
      <w:r w:rsidRPr="004E4D1E">
        <w:rPr>
          <w:rStyle w:val="HideTWBExt"/>
        </w:rPr>
        <w:t>&lt;/Depute&gt;</w:t>
      </w:r>
    </w:p>
    <w:p w:rsidR="007A2508" w:rsidRPr="004E4D1E" w:rsidP="007A2508" w14:paraId="30A93534" w14:textId="77777777">
      <w:pPr>
        <w:widowControl/>
        <w:tabs>
          <w:tab w:val="center" w:pos="4677"/>
        </w:tabs>
      </w:pPr>
      <w:r w:rsidRPr="004E4D1E">
        <w:br w:type="page"/>
      </w:r>
      <w:r w:rsidRPr="004E4D1E">
        <w:t>PA_NonLegBud</w:t>
      </w:r>
    </w:p>
    <w:p w:rsidR="000616F4" w:rsidRPr="004E4D1E" w:rsidP="000616F4" w14:paraId="00B71F53" w14:textId="77777777">
      <w:pPr>
        <w:pStyle w:val="PageHeadingNotTOC"/>
      </w:pPr>
      <w:r w:rsidRPr="004E4D1E">
        <w:br w:type="page"/>
      </w:r>
      <w:r w:rsidRPr="004E4D1E">
        <w:t>STANOVISKO</w:t>
      </w:r>
    </w:p>
    <w:p w:rsidR="000616F4" w:rsidRPr="004E4D1E" w:rsidP="000616F4" w14:paraId="0C396D73" w14:textId="77777777">
      <w:pPr>
        <w:pStyle w:val="Normal12a"/>
      </w:pPr>
      <w:r w:rsidRPr="004E4D1E">
        <w:t>Výbor pre rybárstvo vyzýva Výbor pre rozpočet, aby ako gestorský výbor zaradil do svojho návrhu uznesenia, ktorý prijme, tieto body:</w:t>
      </w:r>
    </w:p>
    <w:p w:rsidR="000616F4" w:rsidRPr="004E4D1E" w:rsidP="000616F4" w14:paraId="12289465" w14:textId="77777777">
      <w:pPr>
        <w:pStyle w:val="CompromiseParagraph"/>
        <w:tabs>
          <w:tab w:val="clear" w:pos="482"/>
          <w:tab w:val="left" w:pos="709"/>
        </w:tabs>
        <w:ind w:left="567" w:hanging="567"/>
        <w:rPr>
          <w:rFonts w:eastAsia="Times New Roman" w:cs="Times New Roman"/>
          <w:sz w:val="24"/>
          <w:szCs w:val="24"/>
        </w:rPr>
      </w:pPr>
      <w:r w:rsidRPr="004E4D1E">
        <w:rPr>
          <w:sz w:val="24"/>
        </w:rPr>
        <w:t>1.</w:t>
      </w:r>
      <w:r w:rsidRPr="004E4D1E">
        <w:rPr>
          <w:sz w:val="24"/>
        </w:rPr>
        <w:tab/>
        <w:t>pripomína strategickú úlohu spoločnej rybárskej politiky (SRP) a hospodársky, sociálny a environmentálny význam rybolovu, akvakultúry, spracovania a námorných vecí pri zaisťovaní potravinovej bezpečnosti a strategickej potravinovej suverenity, zdravých a odolných morských ekosystémov, ako aj konkurencieschopného, udržateľného, odolného a spravodlivého modrého hospodárstva; pripomína, že sebestačnosť Únie v prípade potravinových produktov z vodných živočíchov je naďalej nízka a že silné a udržateľné odvetvia rybolovu, akvakultúry a spracovania  majú zásadný význam pre potravinovú bezpečnosť a strategickú autonómiu Únie; zdôrazňuje význam potravinových produktov z vodných živočíchov pre zdravú výživu, keďže tieto produkty sú bohaté na bielkoviny a patria medzi najudržateľnejšie zdroje živočíšnych bielkovín s nízkou uhlíkovou stopou, a to v závislosti od spôsobu rybolovu alebo výroby;</w:t>
      </w:r>
    </w:p>
    <w:p w:rsidR="000616F4" w:rsidRPr="004E4D1E" w:rsidP="000616F4" w14:paraId="39D1ADD6" w14:textId="77777777">
      <w:pPr>
        <w:pStyle w:val="CompromiseParagraph"/>
        <w:tabs>
          <w:tab w:val="clear" w:pos="482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2.</w:t>
      </w:r>
      <w:r w:rsidRPr="004E4D1E">
        <w:rPr>
          <w:sz w:val="24"/>
        </w:rPr>
        <w:tab/>
        <w:t>pripomína, že odvetvia rybolovu, akvakultúry a spracovania sú základnými piliermi hospodárskej, sociálnej a kultúrnej štruktúry pobrežných, ostrovných a najvzdialenejších komunít Únie a že Európsky námorný, rybolovný a akvakultúrny fond (ENRAF) zostáva základným programom financovania pre rybárov, výrobcov v odvetví akvakultúry, odvetvie spracovania a súdržnosť týchto komunít; zdôrazňuje kľúčovú úlohu, ktorú plnia rybárstvo a akvakultúra pri posilňovaní konkurencieschopnosti a odolnosti Únie, tým, že zabezpečujú potravinovú bezpečnosť, podnecujú inovácie, podporujú kvalitné pracovné miesta a posilňujú odolnosť pobrežných, ostrovných a najvzdialenejších komunít; zdôrazňuje, že príslušné finančné prostriedky Únie na rok 2027 by mali podporovať investície, inovácie, a to aj do rybárskeho výstroja a metód, zjednodušiť postupy, podporiť dekarbonizáciu a modernizáciu rybárskej flotily Únie, pričom účinnou kontrolou a monitorovaním by sa malo zabezpečiť, aby sa finančné prostriedky dostali k zamýšľaným príjemcom;</w:t>
      </w:r>
    </w:p>
    <w:p w:rsidR="000616F4" w:rsidRPr="004E4D1E" w:rsidP="000616F4" w14:paraId="3C06C358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3.</w:t>
      </w:r>
      <w:r w:rsidRPr="004E4D1E">
        <w:rPr>
          <w:sz w:val="24"/>
        </w:rPr>
        <w:tab/>
        <w:t xml:space="preserve">konštatuje, že podľa odhadov Komisie na rok 2027 predstavujú hlavné rozpočtové riadky súvisiace s rybárstvom, konkrétne ENRAF, dohody o partnerstve v odvetví udržateľného rybárstva, regionálne organizácie pre riadenie rybárstva a Európska agentúra pre kontrolu rybárstva (EFCA), približne 1,016 miliardy EUR vo viazaných rozpočtových prostriedkoch, čo v porovnaní s rokom 2026 predstavuje zvýšenie približne o 2,1 %, a 1,222 miliardy EUR v platobných rozpočtových prostriedkoch, čo v porovnaní s rokom 2026 predstavuje zvýšenie približne o 10,7 %; zdôrazňuje, že táto úroveň musí podporovať konkurencieschopnosť a odolnosť, ako aj potreby odvetví rybolovu a akvakultúry vrátane získavania údajov, kontroly, medzinárodnej správy oceánov, dekarbonizácie, biodiverzity, propagácie udržateľných potravinových produktov z vodných živočíchov, inovácií rybárskeho výstroja, modernizácie flotily a generačnej obnovy, a pobrežné komunity; zdôrazňuje, že rozpočtové prostriedky sa musia čerpať v plnej miere a rýchlo vzhľadom na pretrvávajúce nedostatočné čerpanie prostriedkov z ENRAF a že osobitná pozornosť by sa mala venovať regiónom, komunitám a segmentom </w:t>
      </w:r>
      <w:r w:rsidRPr="004E4D1E">
        <w:rPr>
          <w:sz w:val="24"/>
        </w:rPr>
        <w:t>flotily v morských oblastiach, ktoré čelia najväčším štrukturálnym a sociálno-ekonomickým tlakom; zdôrazňuje, že s rybármi, výrobcami v odvetví akvakultúry a ich zastupujúcimi organizáciami by sa malo pri vymedzovaní a hodnotení týchto rozpočtových priorít pravidelne konzultovať, a to prostredníctvom dialógu;</w:t>
      </w:r>
    </w:p>
    <w:p w:rsidR="000616F4" w:rsidRPr="004E4D1E" w:rsidP="000616F4" w14:paraId="6A80EBF8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4.</w:t>
      </w:r>
      <w:r w:rsidRPr="004E4D1E">
        <w:rPr>
          <w:sz w:val="24"/>
        </w:rPr>
        <w:tab/>
        <w:t>zdôrazňuje, že pretrvávajúce inflačné tlaky a rastúce ceny palív, náklady na údržbu a iné prevádzkové náklady výrazne znižujú udržateľnosť a konkurencieschopnosť rybárskych a akvakultúrnych podnikov; vyzýva, aby sa vyčlenili dostatočné rozpočtové prostriedky na rok 2027 na cielené podporné opatrenia a primeranú kompenzáciu v medziach platného právneho rámca, aby bolo možné riešiť výnimočný nárast výrobných nákladov;</w:t>
      </w:r>
    </w:p>
    <w:p w:rsidR="000616F4" w:rsidRPr="004E4D1E" w:rsidP="000616F4" w14:paraId="6EE98399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5.</w:t>
      </w:r>
      <w:r w:rsidRPr="004E4D1E">
        <w:rPr>
          <w:sz w:val="24"/>
        </w:rPr>
        <w:tab/>
        <w:t>vyzýva Komisiu, aby zjednodušila, zefektívnila a uľahčila prístup k ENRAF a iným nástrojom financovania súvisiacim s oceánmi, najmä pre malé a stredné podniky, drobných rybárov, výrobcov v odvetví akvakultúry a organizácie výrobcov; zdôrazňuje, že toto zjednodušenie musí znížiť zbytočnú administratívnu záťaž a zároveň zachovať účinné a primerané kontroly a záruky oprávnenosti, a zároveň rešpektovať ciele SRP;</w:t>
      </w:r>
    </w:p>
    <w:p w:rsidR="000616F4" w:rsidRPr="004E4D1E" w:rsidP="000616F4" w14:paraId="0F6A841D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6.</w:t>
      </w:r>
      <w:r w:rsidRPr="004E4D1E">
        <w:rPr>
          <w:sz w:val="24"/>
        </w:rPr>
        <w:tab/>
        <w:t>zdôrazňuje, že vzhľadom na to, že súčasné programové obdobie vstupuje do záverečnej fázy vykonávania programu ENRAF v rámci súčasného VFR, mala by sa využiť dostupná flexibilita, aby sa podporilo úplné vykonávanie, čerpanie a efektívne využívanie dostupných finančných prostriedkov; vyzýva Komisiu a členské štáty, aby zabezpečili ich včasné použitie a odstránili zbytočné administratívne prekážky, aby sa finančné prostriedky dostali k prevádzkovateľom v odvetví rybolovu a akvakultúry, a to aj prostredníctvom zjednodušených požiadaviek na podávanie žiadostí a správ, rýchlejších postupov schvaľovania a platieb a primeraného predbežného financovania; žiada, aby sa dostupná flexibilita využila v prípade regiónov a komunít, ktoré čelia vážnej a dlhotrvajúcej kríze v odvetviach rybolovu a akvakultúry; zdôrazňuje, že akékoľvek predĺženie lehôt na vykonanie by nemalo byť na úkor rozpočtových prostriedkov vyčlenených na rybolov a akvakultúru v rámci budúceho VFR;</w:t>
      </w:r>
    </w:p>
    <w:p w:rsidR="000616F4" w:rsidRPr="004E4D1E" w:rsidP="000616F4" w14:paraId="045B0602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7.</w:t>
      </w:r>
      <w:r w:rsidRPr="004E4D1E">
        <w:rPr>
          <w:sz w:val="24"/>
        </w:rPr>
        <w:tab/>
        <w:t xml:space="preserve">víta Európsky oceánsky pakt, pripravovaný oceánsky akt Komisie a nedávne oznámenia o ostrovoch a pobrežných komunitách, pričom pripomína význam prosperujúcich, konkurencieschopných, ziskových a udržateľných odvetví rybolovu a akvakultúry pre pobrežné hospodárstva a zdravé oceány, ako aj osobitné výzvy, ktorým čelia ostrovy a pobrežné komunity, vrátane vyšších nákladov, nedostatkov v dostupnosti, zraniteľnosti voči zmene klímy a demografického tlaku; zdôrazňuje, že iniciatívy a stratégie týkajúce sa oceánov sa musia podporiť osobitným a dostatočným verejným financovaním a investičnými stimulmi, že musia zapájať rybárov, výrobcov v odvetví akvakultúry, pobrežné komunity a vedecké subjekty, najmä Medzinárodnú radu pre výskum mora (ICES), Vedecký, technický a hospodársky výbor pre rybárstvo (STECF) a národné inštitúty pre morský výskum, a v budúcom VFR na ne musia nadviazať konkrétne nástroje s plným zapojením miestnych orgánov; trvá na tom, aby sa vo VFR na obdobie po roku 2027 zachoval osobitný fond pre rybolov a akvakultúru s účelovo viazaným, jasne identifikovateľným rozpočtovým riadkom a vlastnými pridelenými prostriedkami, a tak sa zabezpečila viditeľnosť, predvídateľnosť a dostupnosť finančných prostriedkov Únie pre tieto odvetvia, a aby sa jeho zdroje výrazne zvýšili, a to so zreteľom na osobitné </w:t>
      </w:r>
      <w:r w:rsidRPr="004E4D1E">
        <w:rPr>
          <w:sz w:val="24"/>
        </w:rPr>
        <w:t>potreby flotíl maloobjemového rybolovu v celej Únii; žiada, aby sa v rámci príslušných rozpočtových riadkov na rok 2027 primerane podporila spolupráca v Atlantiku v oblasti prepojenosti, udržateľného modrého hospodárstva, odolnosti, medzinárodnej spolupráce a udržateľnej správy oceánov;</w:t>
      </w:r>
    </w:p>
    <w:p w:rsidR="000616F4" w:rsidRPr="004E4D1E" w:rsidP="000616F4" w14:paraId="33023A6B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8.</w:t>
      </w:r>
      <w:r w:rsidRPr="004E4D1E">
        <w:rPr>
          <w:sz w:val="24"/>
        </w:rPr>
        <w:tab/>
        <w:t>zdôrazňuje význam objektívnych vedeckých údajov vrátane sociálnych, environmentálnych a hospodárskych údajov týkajúcich sa morského prostredia a údajov o sociálno-ekonomickom vplyve na pobrežné, ostrovné a najvzdialenejšie regióny s cieľom posilniť udržateľné a ekosystémové riadenie rybárstva efektívne využívajúce zdroje; vyzýva Úniu a členské štáty, aby posilnili podporu vedeckých inštitúcií pri zbere, monitorovaní a analýze údajov, najmä v morských oblastiach vystavených silnému environmentálnemu tlaku, aby vedecké odporúčania a posúdenia populácií lepšie zohľadňovali zhoršovanie životného prostredia a interakcie medzi viacerými druhmi vrátane predátorstva, a zároveň zabezpečili, aby súvisiace technické a administratívne požiadavky zodpovedali kapacitám a rozsahu regionálnych orgánov, a podporu investícií do inovačných, selektívnych, vedecky podložených a udržateľných rybárskych výstrojov a technológií naprieč segmentmi flotily s cieľom zlepšiť selektívnosť a znížiť objem nechcených vedľajších úlovkov;</w:t>
      </w:r>
    </w:p>
    <w:p w:rsidR="000616F4" w:rsidRPr="004E4D1E" w:rsidP="000616F4" w14:paraId="7787DD7B" w14:textId="77777777">
      <w:pPr>
        <w:pStyle w:val="CompromiseParagraph"/>
        <w:tabs>
          <w:tab w:val="clear" w:pos="482"/>
          <w:tab w:val="left" w:pos="567"/>
          <w:tab w:val="left" w:pos="709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9.</w:t>
      </w:r>
      <w:r w:rsidRPr="004E4D1E">
        <w:rPr>
          <w:sz w:val="24"/>
        </w:rPr>
        <w:tab/>
        <w:t>vyzýva na zriadenie atlantického hlbokomorského observatória, ktoré by malo prispieť k zlepšeniu poznatkov a pochopenia hlbokomorského prostredia a podporovať udržateľné modré hospodárstvo; je presvedčený, že observatórium by malo prispievať k iniciatíve s názvom OceanEye – Monitorovanie modrej planéty v záujme vedy, udržateľnosti a spoločnosti a malo by byť jej súčasťou, pričom by malo posilňovať kapacity v oblasti pozorovania, monitorovania a výmeny údajov o hlbokomorských oblastiach;</w:t>
      </w:r>
    </w:p>
    <w:p w:rsidR="000616F4" w:rsidRPr="004E4D1E" w:rsidP="000616F4" w14:paraId="3248A3E2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10.</w:t>
      </w:r>
      <w:r w:rsidRPr="004E4D1E">
        <w:rPr>
          <w:sz w:val="24"/>
        </w:rPr>
        <w:tab/>
        <w:t>zdôrazňuje, že je dôležité venovať osobitnú a mimoriadnu podporu flotile maloobjemového a tradičného rybolovu, najmä na ostrovoch a vo vzdialených regiónoch, a zároveň umožniť primeranú podporu obnovy starnúcej flotily Únie vo všetkých jej segmentoch vrátane tých, ktoré dosiahli priemerný vek viac ako 40 rokov; opätovne potvrdzuje, že zlepšenie bezpečnosti, pracovných podmienok, energetickej efektívnosti, prístupu k príležitostiam a environmentálnej udržateľnosti vrátane modernizácie plavidiel a, ak je to vhodné, ich obnovy, ktorá nezvýši rybolovnú kapacitu plavidla, by malo prispieť ku generačnej obnove a k hospodárskej životaschopnosti maloobjemového a tradičného rybolovu a zároveň zabrániť nadmernej kapacite a nadmernému rybolovu; zdôrazňuje, že podpora modernizácie zameranej na zvýšenie bezpečnosti a energetickej efektívnosti by sa nemala zamietnuť výlučne z dôvodov súvisiacich s kapacitou flotily, ak investície nezvyšujú rybolovnú kapacitu plavidla; žiada zjednodušené administratívne postupy a postupy udeľovania licencií a prideľovanie dostatočných finančných prostriedkov, aby bolo možné zabezpečiť účinný prístup k podpore na modernizáciu a obnovu flotily maloobjemového a tradičného rybolovu; vyzýva Komisiu, aby v rámci platného právneho rámca posúdila, ako sociálna a bezpečnostná priestornosť a technické kritériá týkajúce sa hnacej sily a hrubej priestornosti ovplyvňujú prístup k podpore, najmä v najvzdialenejších regiónoch, aby sa uľahčili investície na zlepšenie bezpečnosti, pracovných podmienok a energetickej účinnosti bez toho, aby sa zvýšila rybolovná kapacita;</w:t>
      </w:r>
    </w:p>
    <w:p w:rsidR="000616F4" w:rsidRPr="004E4D1E" w:rsidP="000616F4" w14:paraId="27C3D3AB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11.</w:t>
      </w:r>
      <w:r w:rsidRPr="004E4D1E">
        <w:rPr>
          <w:sz w:val="24"/>
        </w:rPr>
        <w:tab/>
        <w:t>zdôrazňuje, že zmena klímy, znečistenie, strata biodiverzity, zvýšený výskyt nových cudzích predátorských druhov a v relevantných prípadoch rozrastajúce sa populácie niektorých chránených predátorských druhov, ako sú tulene a kormorány, majú nepriaznivý dosah na morské ekosystémy a odvetvie rybolovu; požaduje primeranú finančnú podporu vrátane rýchlej a flexibilnej podpory v prípadoch klimatických, environmentálnych alebo trhových kríz, ktoré postihujú rybárov a výrobcov v odvetví akvakultúry, aby sa posilnila odolnosť týchto odvetví; vyzýva tiež, aby sa v rámci platného právneho rámca urýchlene a primerane kompenzovala strata príjmu v prípadoch povinného dočasného zastavenia činností, prírodných katastrof, závažného narušenia trhu alebo škôd spôsobených inváznymi nepôvodnými druhmi a aby sa poskytla primeraná podpora v prípadoch kríz spôsobených dlhodobými obmedzeniami výlovu, volatilitou cien palív a tlakmi na morský priestor; žiada finančnú a technickú podporu pre rybárov postihnutých zákazmi rybolovu v reálnom čase vrátane včas poskytovaných informácií, digitálnych nástrojov, dočasnej kompenzácie v odôvodnených prípadoch a pomoci pri hľadaní alternatívnych rybolovných oblastí; žiada rýchle a flexibilné krízové financovanie v rámci ENRAF, ktoré sa bude opierať o primerané zdroje, pričom sa zabezpečí zjednodušený prístup a predvídateľné vyplácanie, a podporu vedeckého výskumu, riadenia a kontroly inváznych nepôvodných druhov, preventívnych opatrení a kompenzácie škôd na výstroji a strát príjmov;</w:t>
      </w:r>
    </w:p>
    <w:p w:rsidR="000616F4" w:rsidRPr="004E4D1E" w:rsidP="000616F4" w14:paraId="1E9C144D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12.</w:t>
      </w:r>
      <w:r w:rsidRPr="004E4D1E">
        <w:rPr>
          <w:sz w:val="24"/>
        </w:rPr>
        <w:tab/>
        <w:t>zdôrazňuje kľúčovú úlohu regionálnych organizácií pre riadenie rybárstva (RFMO) pri zabezpečovaní udržateľného rybárstva na celom svete a význam primeraných zdrojov pre silnú a koordinovanú pozíciu Únie na ich zasadnutiach, a to aj prostredníctvom primeraného zastúpenia Európskeho parlamentu a zainteresovaných strán, najmä rybárov; zdôrazňuje, že udržateľné rybárstvo si vyžaduje účinné a primerané systémy monitorovania, kontroly a dohľadu; v tejto súvislosti žiada dostatočné finančné prostriedky pre EFCA, najmä na posilnenie jej hliadkovacích kapacít a modernizáciu jej systémov dohľadu;</w:t>
      </w:r>
    </w:p>
    <w:p w:rsidR="000616F4" w:rsidRPr="004E4D1E" w:rsidP="000616F4" w14:paraId="64C384E5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13.</w:t>
      </w:r>
      <w:r w:rsidRPr="004E4D1E">
        <w:rPr>
          <w:sz w:val="24"/>
        </w:rPr>
        <w:tab/>
        <w:t>zdôrazňuje, že rybári, ktorých postihlo výrazné zníženie kvót, zákazy rybolovu a kolaps kľúčových populácií rýb, musia dostať primeranú, včasnú a predvídateľnú prechodnú podporu; požaduje dostatočné financovanie z ENRAF na dočasné zastavenie a trvalé ukončenie rybolovných činností, diverzifikáciu dotknutých podnikov, rekvalifikáciu a sociálnu ochranu dotknutých rybárov a pracovníkov; zdôrazňuje, že rybolov a pobrežné komunity v morských oblastiach, ktoré čelia mimoriadnym sociálnym a hospodárskym výzvam vyplývajúcim z dlhodobého zhoršovania rybolovných zdrojov, zhoršovania životného prostredia, eutrofizácie, zmeny klímy a dlhodobých obmedzení výlovu, si vyžadujú cielenú finančnú podporu, najmä pre tie najviac postihnuté;</w:t>
      </w:r>
    </w:p>
    <w:p w:rsidR="000616F4" w:rsidRPr="004E4D1E" w:rsidP="000616F4" w14:paraId="3BCE2480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14.</w:t>
      </w:r>
      <w:r w:rsidRPr="004E4D1E">
        <w:rPr>
          <w:sz w:val="24"/>
        </w:rPr>
        <w:tab/>
        <w:t xml:space="preserve">vyzýva Komisiu a členské štáty, aby zlepšili udržateľnú akvakultúrnu produkciu Únie tým, že budú riešiť zistené prekážky a obmedzenia, urýchlia postupy udeľovania licencií a znížia závislosť od dovozu z tretích krajín; zdôrazňuje, že je potrebné, aby boli vo financovaní a v obchodnej politike Únie zabezpečené rovnaké podmienky a reciprocita v súlade s pravidlami WTO, aby tak dovážané produkty rybolovu a akvakultúry spĺňali zdravotné, environmentálne a sociálne normy a normy udržateľnosti rovnocenné s normami platnými v Únii; zdôrazňuje, že vhodné využívanie finančných prostriedkov z </w:t>
      </w:r>
      <w:r w:rsidRPr="004E4D1E">
        <w:rPr>
          <w:sz w:val="24"/>
        </w:rPr>
        <w:t>ENRAF môže pomôcť diverzifikovať a zvýšiť akvakultúrnu produkciu Únie a podporiť doplnkové činnosti, ako je napríklad rybársky turizmus, a zároveň prispieť k rodovej rovnosti a generačnej obnove;</w:t>
      </w:r>
    </w:p>
    <w:p w:rsidR="000616F4" w:rsidRPr="004E4D1E" w:rsidP="000616F4" w14:paraId="6E5B1E23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15.</w:t>
      </w:r>
      <w:r w:rsidRPr="004E4D1E">
        <w:rPr>
          <w:sz w:val="24"/>
        </w:rPr>
        <w:tab/>
        <w:t>vyzýva na cielené financovanie výskumu, vývoja a zavádzania nízkoemisných pohonných systémov a pohonných systémov s nulovými emisiami, udržateľných alternatívnych palív a energeticky účinných technológií prispôsobených všetkým rôznym segmentom flotily, druhom rybolovu a typom výstroja, aby sa znížili emisie a závislosť od fosílnych palív vrátane potrebných úprav infraštruktúry v prístavoch Únie, najmä v ostrovných a najvzdialenejších regiónoch; zdôrazňuje, že prechod by mal byť technologicky neutrálny, primerane financovaný, ekonomicky a technicky uskutočniteľný a prispôsobený skutočným kapacitám prevádzkovateľov a že by nemal flotile maloobjemového a tradičného rybolovu spôsobovať neprimerané náklady ani ukladať neprimerané povinnosti;</w:t>
      </w:r>
    </w:p>
    <w:p w:rsidR="000616F4" w:rsidRPr="004E4D1E" w:rsidP="000616F4" w14:paraId="38A0042D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16.</w:t>
      </w:r>
      <w:r w:rsidRPr="004E4D1E">
        <w:rPr>
          <w:sz w:val="24"/>
        </w:rPr>
        <w:tab/>
        <w:t>zdôrazňuje, že kľúčom k dosiahnutiu generačnej obnovy vrátane rodovej rovnosti je primerane financovaná odborná príprava a vzdelávanie, najmä mladých a nových rybárov, a kvalifikovaná a rôznorodá pracovná sila; požaduje prístup založený na zapájaní nových generácií do ochrany oceánov (New Generations for the Ocean), ktorý bude podporovať technickú, podnikateľskú, digitálnu a bezpečnostnú odbornú prípravu, stimuly na začatie podnikateľskej činnosti a prístup mladých rybárov a podnikateľov v oblasti akvakultúry k tomuto odvetviu vrátane finančných stimulov a podpory prístupu k financovaniu, ako aj mentorstva a medzigeneračného prenosu rybárskych podnikov; vyzýva Komisiu, aby posúdila jasné vymedzenie pojmu „nový rybár“ zo strany Únie a cielenú podporu z ENRAF pre nových rybárov v súlade so SRP;</w:t>
      </w:r>
    </w:p>
    <w:p w:rsidR="000616F4" w:rsidRPr="004E4D1E" w:rsidP="000616F4" w14:paraId="6DCCF5B5" w14:textId="77777777">
      <w:pPr>
        <w:pStyle w:val="CompromiseParagraph"/>
        <w:tabs>
          <w:tab w:val="clear" w:pos="482"/>
          <w:tab w:val="left" w:pos="567"/>
        </w:tabs>
        <w:ind w:left="567" w:hanging="567"/>
        <w:rPr>
          <w:sz w:val="24"/>
          <w:szCs w:val="24"/>
        </w:rPr>
      </w:pPr>
      <w:r w:rsidRPr="004E4D1E">
        <w:rPr>
          <w:sz w:val="24"/>
        </w:rPr>
        <w:t>17.</w:t>
      </w:r>
      <w:r w:rsidRPr="004E4D1E">
        <w:rPr>
          <w:sz w:val="24"/>
        </w:rPr>
        <w:tab/>
        <w:t>opätovne zdôrazňuje potrebu osobitnej a cielenej finančnej podpory pre pobrežné komunity, ostrovy a najvzdialenejšie regióny, najmä v prípade členských štátov s mnohými ostrovmi, pre malé a vzdialené ostrovy a pre komunity, ktoré sú vystavené štrukturálnym a sociálno-ekonomickým tlakom, vrátane náležitej kompenzácie dodatočných nákladov na produkty rybolovu a akvakultúry v súlade so zmluvami; požaduje pre najvzdialenejšie regióny osobitný mechanizmus na kompenzáciu dodatočných nákladov na palivo, dopravu, zásobovanie, ľad, údržbu, skladovanie, prístavné služby a distribúciu, ktoré znášajú rybári, výrobcovia v oblasti akvakultúry a spracovateľské a obchodné spoločnosti v týchto regiónoch, a to aj prostredníctvom osobitného finančného nástroja pre rybárstvo typu POSEI; vyzýva na administratívne zjednodušenie, vytvorenie špecializovaných jednotných kontaktných miest a zavedenie opatrení na odstránenie administratívnych a finančných prekážok, ktorým čelia organizácie výrobcov v odvetví maloobjemového rybolovu, drobní rybári a výrobcovia v oblasti akvakultúry; zdôrazňuje, že takáto podpora by mala prispievať k zachovaniu trvalého osídlenia, zamestnanosti, potravinovej bezpečnosti a sociálnej a územnej súdržnosti v ostrovných regiónoch; vyzýva, aby sa poskytovala účelovo viazaná podpora na modernizáciu, zvýšenie odolnosti a udržateľný rozvoj rybárskych prístavov a vykládkovej infraštruktúry, najmä v regiónoch, ktoré sú veľmi závislé od rybárstva.</w:t>
      </w:r>
    </w:p>
    <w:p w:rsidR="000616F4" w:rsidRPr="004E4D1E" w:rsidP="000616F4" w14:paraId="6AFB05E8" w14:textId="77777777">
      <w:pPr>
        <w:widowControl/>
        <w:sectPr w:rsidSect="000616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616F4" w:rsidRPr="004E4D1E" w:rsidP="000616F4" w14:paraId="1E0A3DFC" w14:textId="77777777">
      <w:pPr>
        <w:pStyle w:val="PageHeadingNotTOC"/>
      </w:pPr>
    </w:p>
    <w:p w:rsidR="000616F4" w:rsidRPr="004E4D1E" w:rsidP="000616F4" w14:paraId="09F8BB4D" w14:textId="77777777">
      <w:pPr>
        <w:pStyle w:val="PageHeadingNotTOC"/>
      </w:pPr>
      <w:bookmarkStart w:id="0" w:name="FootprintPageAD"/>
      <w:r w:rsidRPr="004E4D1E">
        <w:t>PRÍLOHA: VYHLÁSENIE O POSKYTNUTÝCH INFORMÁCIÁCH</w:t>
      </w:r>
    </w:p>
    <w:p w:rsidR="000616F4" w:rsidRPr="004E4D1E" w:rsidP="000616F4" w14:paraId="263628C7" w14:textId="77777777">
      <w:pPr>
        <w:pStyle w:val="Normal24a"/>
      </w:pPr>
      <w:r w:rsidRPr="004E4D1E">
        <w:rPr>
          <w:rStyle w:val="HideTWBExt"/>
        </w:rPr>
        <w:t>&lt;FootprintIntro&gt;</w:t>
      </w:r>
      <w:r w:rsidRPr="004E4D1E">
        <w:t>Spravodajca výboru požiadaného o stanovisko na vlastnú zodpovednosť vyhlasuje, že do svojho stanoviska nezahrnul žiadne informácie od zástupcov záujmových skupín, na ktorých sa vzťahuje medziinštitucionálna dohoda o povinnom registri transparentnosti</w:t>
      </w:r>
      <w:r>
        <w:rPr>
          <w:rStyle w:val="FootnoteReference"/>
        </w:rPr>
        <w:footnoteReference w:id="2"/>
      </w:r>
      <w:r w:rsidRPr="004E4D1E">
        <w:t>, ani od zástupcov verejných orgánov tretích krajín vrátane ich diplomatických misií a veľvyslanectiev, ktorí sa musia uviesť v tejto prílohe podľa článku 8 prílohy I k rokovaciemu poriadku.</w:t>
      </w:r>
      <w:r w:rsidRPr="004E4D1E">
        <w:rPr>
          <w:rStyle w:val="HideTWBExt"/>
        </w:rPr>
        <w:t>&lt;/FootprintIntro&gt;</w:t>
      </w:r>
      <w:bookmarkEnd w:id="0"/>
    </w:p>
    <w:p w:rsidR="000616F4" w:rsidP="000616F4" w14:paraId="22811587" w14:textId="77777777">
      <w:pPr>
        <w:pStyle w:val="PageHeadingNotTOC"/>
        <w:sectPr w:rsidSect="000616F4">
          <w:headerReference w:type="even" r:id="rId13"/>
          <w:headerReference w:type="default" r:id="rId14"/>
          <w:headerReference w:type="first" r:id="rId15"/>
          <w:footerReference w:type="firs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F7D85" w:rsidRPr="000616F4" w:rsidP="000616F4" w14:paraId="35CE5583" w14:textId="0882BC31">
      <w:pPr>
        <w:pStyle w:val="PageHeadingNotTOC"/>
      </w:pPr>
    </w:p>
    <w:p w:rsidR="000616F4" w:rsidRPr="000616F4" w:rsidP="000616F4" w14:paraId="0D866573" w14:textId="77777777">
      <w:pPr>
        <w:sectPr w:rsidSect="000616F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616F4" w:rsidP="000616F4" w14:paraId="6B2006E8" w14:textId="40403395">
      <w:pPr>
        <w:pStyle w:val="PageHeadingNotTOC"/>
      </w:pPr>
      <w:bookmarkStart w:id="1" w:name="ProcPageAD"/>
      <w:r>
        <w:t>INFORMÁCIE O PRIJATÍ</w:t>
      </w:r>
      <w:r>
        <w:br/>
        <w:t>VÝBOROM POŽIADANÝM O STANOVISKO</w:t>
      </w:r>
    </w:p>
    <w:tbl>
      <w:tblPr>
        <w:tblW w:w="0" w:type="auto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1266A79B" w14:textId="77777777">
        <w:tblPrEx>
          <w:tblW w:w="0" w:type="auto"/>
          <w:tblInd w:w="-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46B5F209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4D131192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1.9.2026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6F95E0C2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63DC60B2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18766E00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768A799C" w14:textId="77777777">
        <w:tblPrEx>
          <w:tblW w:w="0" w:type="auto"/>
          <w:tblInd w:w="-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0738A23B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Výsledok záverečného hlasovania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22B45866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0616F4" w14:paraId="7BB005E9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0616F4" w14:paraId="2ADFB913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616F4" w14:paraId="63CBEA70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  <w:p w:rsidR="000616F4" w14:paraId="20EDB10B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  <w:p w:rsidR="000616F4" w14:paraId="59ADAB1E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</w:tr>
    </w:tbl>
    <w:p w:rsidR="000616F4" w:rsidRPr="000616F4" w:rsidP="000616F4" w14:paraId="39683C19" w14:textId="77777777"/>
    <w:bookmarkEnd w:id="1"/>
    <w:p w:rsidR="000616F4" w:rsidP="000616F4" w14:paraId="63AAF26E" w14:textId="77777777">
      <w:pPr>
        <w:sectPr w:rsidSect="000616F4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0616F4" w:rsidRPr="0099178F" w:rsidP="00C36610" w14:paraId="6A20FB03" w14:textId="38D6ACB5">
      <w:pPr>
        <w:pStyle w:val="PageHeadingNotTOC"/>
      </w:pPr>
      <w:bookmarkStart w:id="2" w:name="RollCallPageAD"/>
      <w:r>
        <w:rPr>
          <w:noProof/>
        </w:rPr>
        <w:t>ZÁVEREČNÉ HLASOVANIE PODĽA MIEN</w:t>
      </w:r>
      <w:r>
        <w:rPr>
          <w:noProof/>
        </w:rPr>
        <w:br/>
        <w:t>VÝBOROM POŽIADANÝM O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624CFA9B" w14:textId="77777777" w:rsidTr="006C27F9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616F4" w:rsidRPr="00CE167B" w:rsidP="006C27F9" w14:paraId="0D031C07" w14:textId="77777777">
            <w:pPr>
              <w:pStyle w:val="RollCallVotes"/>
            </w:pPr>
            <w:r w:rsidRPr="00CE167B">
              <w:t>20</w:t>
            </w:r>
          </w:p>
        </w:tc>
        <w:tc>
          <w:tcPr>
            <w:tcW w:w="7371" w:type="dxa"/>
            <w:shd w:val="pct10" w:color="000000" w:fill="FFFFFF"/>
          </w:tcPr>
          <w:p w:rsidR="000616F4" w:rsidRPr="00CE167B" w:rsidP="006C27F9" w14:paraId="4B56F6F5" w14:textId="77777777">
            <w:pPr>
              <w:pStyle w:val="RollCallSymbols14pt"/>
            </w:pPr>
            <w:r w:rsidRPr="00CE167B">
              <w:t>+</w:t>
            </w:r>
          </w:p>
        </w:tc>
      </w:tr>
      <w:tr w14:paraId="5E1BD5A7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3E36F1D6" w14:textId="77777777">
            <w:pPr>
              <w:pStyle w:val="RollCallTable"/>
            </w:pPr>
            <w:r w:rsidRPr="00CE167B">
              <w:t>ECR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5CE87D4D" w14:textId="77777777">
            <w:pPr>
              <w:pStyle w:val="RollCallTable"/>
            </w:pPr>
            <w:r w:rsidRPr="00CE167B">
              <w:t>Stephen Nikola Bartulica, Carlo Ciccioli, Nora Junco García, Bert-Jan Ruissen</w:t>
            </w:r>
          </w:p>
        </w:tc>
      </w:tr>
      <w:tr w14:paraId="7957B3A9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6CE049F9" w14:textId="77777777">
            <w:pPr>
              <w:pStyle w:val="RollCallTable"/>
            </w:pPr>
            <w:r w:rsidRPr="00CE167B">
              <w:t>PPE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7382BB48" w14:textId="77777777">
            <w:pPr>
              <w:pStyle w:val="RollCallTable"/>
            </w:pPr>
            <w:r w:rsidRPr="00CE167B">
              <w:t>Magdalena Adamowicz, Carmen Crespo Díaz, Marco Falcone, Niclas Herbst, Isabelle Le Callennec, Francisco José Millán Mon, Andrey Novakov</w:t>
            </w:r>
          </w:p>
        </w:tc>
      </w:tr>
      <w:tr w14:paraId="482934BF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34945A00" w14:textId="77777777">
            <w:pPr>
              <w:pStyle w:val="RollCallTable"/>
            </w:pPr>
            <w:r w:rsidRPr="00CE167B">
              <w:t>Renew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3A4D725D" w14:textId="77777777">
            <w:pPr>
              <w:pStyle w:val="RollCallTable"/>
            </w:pPr>
            <w:r w:rsidRPr="00CE167B">
              <w:t>Oihane Agirregoitia Martínez, Asger Christensen, Barry Cowen</w:t>
            </w:r>
          </w:p>
        </w:tc>
      </w:tr>
      <w:tr w14:paraId="2DA8F0C5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6FD970DB" w14:textId="77777777">
            <w:pPr>
              <w:pStyle w:val="RollCallTable"/>
            </w:pPr>
            <w:r w:rsidRPr="00CE167B">
              <w:t>S&amp;D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03CB69DD" w14:textId="77777777">
            <w:pPr>
              <w:pStyle w:val="RollCallTable"/>
            </w:pPr>
            <w:r w:rsidRPr="00CE167B">
              <w:t>Sakis Arnaoutoglou, Thomas Bajada, Sofie Eriksson, Nicolás González Casares, Giuseppe Lupo</w:t>
            </w:r>
          </w:p>
        </w:tc>
      </w:tr>
      <w:tr w14:paraId="3A225530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452972DC" w14:textId="77777777">
            <w:pPr>
              <w:pStyle w:val="RollCallTable"/>
            </w:pPr>
            <w:r w:rsidRPr="00CE167B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62282BB9" w14:textId="77777777">
            <w:pPr>
              <w:pStyle w:val="RollCallTable"/>
            </w:pPr>
            <w:r w:rsidRPr="00CE167B">
              <w:t>Ana Miranda Paz</w:t>
            </w:r>
          </w:p>
        </w:tc>
      </w:tr>
    </w:tbl>
    <w:p w:rsidR="000616F4" w:rsidRPr="00CE167B" w:rsidP="000616F4" w14:paraId="522AEB60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648C8E8D" w14:textId="77777777" w:rsidTr="006C27F9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616F4" w:rsidRPr="00CE167B" w:rsidP="006C27F9" w14:paraId="5394B304" w14:textId="77777777">
            <w:pPr>
              <w:pStyle w:val="RollCallVotes"/>
            </w:pPr>
            <w:r w:rsidRPr="00CE167B">
              <w:t>0</w:t>
            </w:r>
          </w:p>
        </w:tc>
        <w:tc>
          <w:tcPr>
            <w:tcW w:w="7371" w:type="dxa"/>
            <w:shd w:val="pct10" w:color="000000" w:fill="FFFFFF"/>
          </w:tcPr>
          <w:p w:rsidR="000616F4" w:rsidRPr="00CE167B" w:rsidP="006C27F9" w14:paraId="0AA484EF" w14:textId="77777777">
            <w:pPr>
              <w:pStyle w:val="RollCallSymbols14pt"/>
            </w:pPr>
            <w:r w:rsidRPr="00CE167B">
              <w:t>-</w:t>
            </w:r>
          </w:p>
        </w:tc>
      </w:tr>
      <w:tr w14:paraId="21E7C97A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7F45AD3B" w14:textId="7777777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2F13B3DC" w14:textId="77777777">
            <w:pPr>
              <w:pStyle w:val="RollCallTable"/>
            </w:pPr>
          </w:p>
        </w:tc>
      </w:tr>
    </w:tbl>
    <w:p w:rsidR="000616F4" w:rsidRPr="00CE167B" w:rsidP="000616F4" w14:paraId="54291CE5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10871BA0" w14:textId="77777777" w:rsidTr="006C27F9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616F4" w:rsidRPr="00CE167B" w:rsidP="006C27F9" w14:paraId="48465349" w14:textId="77777777">
            <w:pPr>
              <w:pStyle w:val="RollCallVotes"/>
            </w:pPr>
            <w:r w:rsidRPr="00CE167B">
              <w:t>7</w:t>
            </w:r>
          </w:p>
        </w:tc>
        <w:tc>
          <w:tcPr>
            <w:tcW w:w="7371" w:type="dxa"/>
            <w:shd w:val="pct10" w:color="000000" w:fill="FFFFFF"/>
          </w:tcPr>
          <w:p w:rsidR="000616F4" w:rsidRPr="00CE167B" w:rsidP="006C27F9" w14:paraId="4CF5E60B" w14:textId="77777777">
            <w:pPr>
              <w:pStyle w:val="RollCallSymbols14pt"/>
            </w:pPr>
            <w:r w:rsidRPr="00CE167B">
              <w:t>0</w:t>
            </w:r>
          </w:p>
        </w:tc>
      </w:tr>
      <w:tr w14:paraId="79DB5616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2A3B849F" w14:textId="77777777">
            <w:pPr>
              <w:pStyle w:val="RollCallTable"/>
            </w:pPr>
            <w:r w:rsidRPr="00CE167B">
              <w:t>ESN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485B83C7" w14:textId="77777777">
            <w:pPr>
              <w:pStyle w:val="RollCallTable"/>
            </w:pPr>
            <w:r w:rsidRPr="00CE167B">
              <w:t>Siegbert Frank Droese</w:t>
            </w:r>
          </w:p>
        </w:tc>
      </w:tr>
      <w:tr w14:paraId="335C3E83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6E82804D" w14:textId="77777777">
            <w:pPr>
              <w:pStyle w:val="RollCallTable"/>
            </w:pPr>
            <w:r w:rsidRPr="00CE167B">
              <w:t>PfE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1F8102FC" w14:textId="77777777">
            <w:pPr>
              <w:pStyle w:val="RollCallTable"/>
            </w:pPr>
            <w:r w:rsidRPr="00CE167B">
              <w:t>Ton Diepeveen, France Jamet, Tiago Moreira de Sá</w:t>
            </w:r>
          </w:p>
        </w:tc>
      </w:tr>
      <w:tr w14:paraId="5EE1454A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74D6ED92" w14:textId="77777777">
            <w:pPr>
              <w:pStyle w:val="RollCallTable"/>
            </w:pPr>
            <w:r w:rsidRPr="00CE167B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7464ECE7" w14:textId="77777777">
            <w:pPr>
              <w:pStyle w:val="RollCallTable"/>
            </w:pPr>
            <w:r w:rsidRPr="00CE167B">
              <w:t>Luke Ming Flanagan, Emma Fourreau</w:t>
            </w:r>
          </w:p>
        </w:tc>
      </w:tr>
      <w:tr w14:paraId="53F087BB" w14:textId="77777777" w:rsidTr="006C27F9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0616F4" w:rsidRPr="00CE167B" w:rsidP="006C27F9" w14:paraId="032C0CF7" w14:textId="77777777">
            <w:pPr>
              <w:pStyle w:val="RollCallTable"/>
            </w:pPr>
            <w:r w:rsidRPr="00CE167B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0616F4" w:rsidRPr="00CE167B" w:rsidP="006C27F9" w14:paraId="4BFA147B" w14:textId="77777777">
            <w:pPr>
              <w:pStyle w:val="RollCallTable"/>
            </w:pPr>
            <w:r w:rsidRPr="00CE167B">
              <w:t>Isabella Lövin</w:t>
            </w:r>
          </w:p>
        </w:tc>
      </w:tr>
    </w:tbl>
    <w:p w:rsidR="000616F4" w:rsidP="00147FBF" w14:paraId="2DB85883" w14:textId="77777777">
      <w:pPr>
        <w:pStyle w:val="Normal12a"/>
      </w:pPr>
    </w:p>
    <w:p w:rsidR="000616F4" w:rsidP="00B735E3" w14:paraId="142860B3" w14:textId="2B718E12">
      <w:r>
        <w:t>Vysvetlenie použitých znakov:</w:t>
      </w:r>
    </w:p>
    <w:p w:rsidR="000616F4" w:rsidP="003858C5" w14:paraId="6C1274F6" w14:textId="1F93C26D">
      <w:pPr>
        <w:pStyle w:val="RollCallTabs"/>
      </w:pPr>
      <w:r>
        <w:t>+</w:t>
      </w:r>
      <w:r>
        <w:tab/>
        <w:t>:</w:t>
      </w:r>
      <w:r>
        <w:tab/>
        <w:t>za</w:t>
      </w:r>
    </w:p>
    <w:p w:rsidR="000616F4" w:rsidP="003858C5" w14:paraId="1B1DFB94" w14:textId="66C43851">
      <w:pPr>
        <w:pStyle w:val="RollCallTabs"/>
      </w:pPr>
      <w:r>
        <w:t>-</w:t>
      </w:r>
      <w:r>
        <w:tab/>
        <w:t>:</w:t>
      </w:r>
      <w:r>
        <w:tab/>
        <w:t>proti</w:t>
      </w:r>
    </w:p>
    <w:p w:rsidR="000616F4" w:rsidP="003858C5" w14:paraId="68491A21" w14:textId="0245AAA9">
      <w:pPr>
        <w:pStyle w:val="RollCallTabs"/>
      </w:pPr>
      <w:r>
        <w:t>0</w:t>
      </w:r>
      <w:r>
        <w:tab/>
        <w:t>:</w:t>
      </w:r>
      <w:r>
        <w:tab/>
        <w:t>zdržali sa hlasovania</w:t>
      </w:r>
    </w:p>
    <w:p w:rsidR="000616F4" w:rsidP="00207509" w14:paraId="577C5B20" w14:textId="77777777"/>
    <w:bookmarkEnd w:id="2"/>
    <w:p w:rsidR="000616F4" w:rsidRPr="000616F4" w:rsidP="000616F4" w14:paraId="7E152DAE" w14:textId="3FA88D44"/>
    <w:sectPr w:rsidSect="000616F4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6F4" w:rsidP="000616F4" w14:paraId="2D4812BE" w14:textId="77777777">
    <w:pPr>
      <w:pStyle w:val="EPFooter"/>
    </w:pPr>
    <w:r>
      <w:t>PE</w:t>
    </w:r>
    <w:r w:rsidRPr="000616F4">
      <w:rPr>
        <w:rStyle w:val="HideTWBExt"/>
      </w:rPr>
      <w:t>&lt;NoPE&gt;</w:t>
    </w:r>
    <w:r>
      <w:t>789.971</w:t>
    </w:r>
    <w:r w:rsidRPr="000616F4">
      <w:rPr>
        <w:rStyle w:val="HideTWBExt"/>
      </w:rPr>
      <w:t>&lt;/NoPE&gt;&lt;Version&gt;</w:t>
    </w:r>
    <w:r>
      <w:t>v02-00</w:t>
    </w:r>
    <w:r w:rsidRPr="000616F4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10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  <w:r>
      <w:tab/>
    </w:r>
    <w:r w:rsidRPr="000616F4">
      <w:rPr>
        <w:rStyle w:val="HideTWBExt"/>
      </w:rPr>
      <w:t>&lt;PathFdR&gt;</w:t>
    </w:r>
    <w:r>
      <w:t>AD\1349799SK.docx</w:t>
    </w:r>
    <w:r w:rsidRPr="000616F4">
      <w:rPr>
        <w:rStyle w:val="HideTWBExt"/>
      </w:rPr>
      <w:t>&lt;/PathFdR&gt;</w:t>
    </w:r>
  </w:p>
  <w:p w:rsidR="000616F4" w:rsidRPr="004E4D1E" w:rsidP="000616F4" w14:paraId="7AB5E2D6" w14:textId="7FEFE0A8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6F4" w:rsidP="000616F4" w14:paraId="06063B07" w14:textId="77777777">
    <w:pPr>
      <w:pStyle w:val="EPFooter"/>
    </w:pPr>
    <w:r w:rsidRPr="000616F4">
      <w:rPr>
        <w:rStyle w:val="HideTWBExt"/>
      </w:rPr>
      <w:t>&lt;PathFdR&gt;</w:t>
    </w:r>
    <w:r>
      <w:t>AD\1349799SK.docx</w:t>
    </w:r>
    <w:r w:rsidRPr="000616F4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11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  <w:r>
      <w:tab/>
      <w:t>PE</w:t>
    </w:r>
    <w:r w:rsidRPr="000616F4">
      <w:rPr>
        <w:rStyle w:val="HideTWBExt"/>
      </w:rPr>
      <w:t>&lt;NoPE&gt;</w:t>
    </w:r>
    <w:r>
      <w:t>789.971</w:t>
    </w:r>
    <w:r w:rsidRPr="000616F4">
      <w:rPr>
        <w:rStyle w:val="HideTWBExt"/>
      </w:rPr>
      <w:t>&lt;/NoPE&gt;&lt;Version&gt;</w:t>
    </w:r>
    <w:r>
      <w:t>v02-00</w:t>
    </w:r>
    <w:r w:rsidRPr="000616F4">
      <w:rPr>
        <w:rStyle w:val="HideTWBExt"/>
      </w:rPr>
      <w:t>&lt;/Version&gt;</w:t>
    </w:r>
  </w:p>
  <w:p w:rsidR="000616F4" w:rsidRPr="004E4D1E" w:rsidP="000616F4" w14:paraId="0B969578" w14:textId="6B2B94FA">
    <w:pPr>
      <w:pStyle w:val="EPFooter2"/>
    </w:pPr>
    <w:r>
      <w:tab/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6F4" w:rsidP="000616F4" w14:paraId="65DDB319" w14:textId="77777777">
    <w:pPr>
      <w:pStyle w:val="EPFooter"/>
    </w:pPr>
    <w:r w:rsidRPr="000616F4">
      <w:rPr>
        <w:rStyle w:val="HideTWBExt"/>
      </w:rPr>
      <w:t>&lt;PathFdR&gt;</w:t>
    </w:r>
    <w:r>
      <w:t>AD\1349799SK.docx</w:t>
    </w:r>
    <w:r w:rsidRPr="000616F4">
      <w:rPr>
        <w:rStyle w:val="HideTWBExt"/>
      </w:rPr>
      <w:t>&lt;/PathFdR&gt;</w:t>
    </w:r>
    <w:r>
      <w:tab/>
    </w:r>
    <w:r>
      <w:tab/>
      <w:t>PE</w:t>
    </w:r>
    <w:r w:rsidRPr="000616F4">
      <w:rPr>
        <w:rStyle w:val="HideTWBExt"/>
      </w:rPr>
      <w:t>&lt;NoPE&gt;</w:t>
    </w:r>
    <w:r>
      <w:t>789.971</w:t>
    </w:r>
    <w:r w:rsidRPr="000616F4">
      <w:rPr>
        <w:rStyle w:val="HideTWBExt"/>
      </w:rPr>
      <w:t>&lt;/NoPE&gt;&lt;Version&gt;</w:t>
    </w:r>
    <w:r>
      <w:t>v02-00</w:t>
    </w:r>
    <w:r w:rsidRPr="000616F4">
      <w:rPr>
        <w:rStyle w:val="HideTWBExt"/>
      </w:rPr>
      <w:t>&lt;/Version&gt;</w:t>
    </w:r>
  </w:p>
  <w:p w:rsidR="000616F4" w:rsidRPr="004E4D1E" w:rsidP="000616F4" w14:paraId="270CDC92" w14:textId="7EC9579D">
    <w:pPr>
      <w:pStyle w:val="EPFooter2"/>
    </w:pPr>
    <w:r>
      <w:t>SK</w:t>
    </w:r>
    <w:r>
      <w:tab/>
    </w:r>
    <w:r w:rsidRPr="000616F4"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246D" w:rsidRPr="004E4D1E" w:rsidP="001B246D" w14:paraId="432AD390" w14:textId="77777777">
    <w:pPr>
      <w:pStyle w:val="EPFooter"/>
    </w:pPr>
    <w:r w:rsidRPr="004E4D1E">
      <w:rPr>
        <w:rStyle w:val="HideTWBExt"/>
      </w:rPr>
      <w:t>&lt;PathFdR&gt;</w:t>
    </w:r>
    <w:r w:rsidRPr="004E4D1E">
      <w:t>AD\1349799EN.docx</w:t>
    </w:r>
    <w:r w:rsidRPr="004E4D1E">
      <w:rPr>
        <w:rStyle w:val="HideTWBExt"/>
      </w:rPr>
      <w:t>&lt;/PathFdR&gt;</w:t>
    </w:r>
    <w:r w:rsidRPr="004E4D1E">
      <w:tab/>
    </w:r>
    <w:r w:rsidRPr="004E4D1E">
      <w:tab/>
      <w:t>PE</w:t>
    </w:r>
    <w:r w:rsidRPr="004E4D1E">
      <w:rPr>
        <w:rStyle w:val="HideTWBExt"/>
      </w:rPr>
      <w:t>&lt;NoPE&gt;</w:t>
    </w:r>
    <w:r w:rsidRPr="004E4D1E">
      <w:t>789.971</w:t>
    </w:r>
    <w:r w:rsidRPr="004E4D1E">
      <w:rPr>
        <w:rStyle w:val="HideTWBExt"/>
      </w:rPr>
      <w:t>&lt;/NoPE&gt;&lt;Version&gt;</w:t>
    </w:r>
    <w:r w:rsidRPr="004E4D1E">
      <w:t>v02-00</w:t>
    </w:r>
    <w:r w:rsidRPr="004E4D1E">
      <w:rPr>
        <w:rStyle w:val="HideTWBExt"/>
      </w:rPr>
      <w:t>&lt;/Version&gt;</w:t>
    </w:r>
  </w:p>
  <w:p w:rsidR="00C75378" w:rsidRPr="004E4D1E" w:rsidP="001B246D" w14:paraId="60DB7854" w14:textId="46824D1F">
    <w:pPr>
      <w:pStyle w:val="EPFooter2"/>
    </w:pPr>
    <w:r w:rsidRPr="004E4D1E">
      <w:t>EN</w:t>
    </w:r>
    <w:r w:rsidRPr="004E4D1E">
      <w:tab/>
    </w:r>
    <w:r w:rsidRPr="004E4D1E">
      <w:rPr>
        <w:b w:val="0"/>
        <w:i/>
        <w:color w:val="C0C0C0"/>
        <w:sz w:val="22"/>
      </w:rPr>
      <w:t>United in diversity</w:t>
    </w:r>
    <w:r w:rsidRPr="004E4D1E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F4480" w:rsidRPr="004E4D1E" w14:paraId="3D52BA60" w14:textId="77777777">
      <w:r w:rsidRPr="004E4D1E">
        <w:separator/>
      </w:r>
    </w:p>
  </w:footnote>
  <w:footnote w:type="continuationSeparator" w:id="1">
    <w:p w:rsidR="005F4480" w:rsidRPr="004E4D1E" w14:paraId="7DA59AE0" w14:textId="77777777">
      <w:r w:rsidRPr="004E4D1E">
        <w:continuationSeparator/>
      </w:r>
    </w:p>
  </w:footnote>
  <w:footnote w:id="2">
    <w:p w:rsidR="000616F4" w:rsidRPr="004E4D1E" w:rsidP="000616F4" w14:paraId="06C72FCA" w14:textId="52B8AA54">
      <w:pPr>
        <w:pStyle w:val="FootnoteText"/>
      </w:pPr>
      <w:r w:rsidRPr="004E4D1E">
        <w:rPr>
          <w:rStyle w:val="FootnoteReference"/>
        </w:rPr>
        <w:footnoteRef/>
      </w:r>
      <w:r w:rsidRPr="004E4D1E">
        <w:t xml:space="preserve"> Medziinštitucionálna dohoda z 20. mája 2021 medzi Európskym parlamentom, Radou Európskej únie a Európskou komisiou o povinnom registri transparentnosti (Ú. v. EÚ L 207, 11.6.2021, s. 1, ELI: </w:t>
      </w:r>
      <w:hyperlink r:id="rId1" w:tooltip="http://data.europa.eu/eli/agree_interinstit/2021/611/oj" w:history="1">
        <w:r w:rsidRPr="004E4D1E">
          <w:rPr>
            <w:rStyle w:val="Hyperlink"/>
          </w:rPr>
          <w:t>http://data.europa.eu/eli/agree_interinstit/2021/611/oj</w:t>
        </w:r>
      </w:hyperlink>
      <w:r w:rsidRPr="004E4D1E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6F4" w14:paraId="02BCA5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6F4" w14:paraId="612AC05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6F4" w14:paraId="0AB591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246D" w:rsidRPr="001B246D" w14:paraId="50296F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246D" w:rsidRPr="001B246D" w14:paraId="532BE24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246D" w:rsidRPr="001B246D" w14:paraId="5C2EF5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99411"/>
    <w:multiLevelType w:val="multilevel"/>
    <w:tmpl w:val="05305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80"/>
    <w:rsid w:val="00007A18"/>
    <w:rsid w:val="000616F4"/>
    <w:rsid w:val="00062634"/>
    <w:rsid w:val="00062B07"/>
    <w:rsid w:val="000A05CA"/>
    <w:rsid w:val="000B6C4B"/>
    <w:rsid w:val="000D001F"/>
    <w:rsid w:val="000D099F"/>
    <w:rsid w:val="000E6813"/>
    <w:rsid w:val="000F07FE"/>
    <w:rsid w:val="001275F4"/>
    <w:rsid w:val="00147FBF"/>
    <w:rsid w:val="001A455F"/>
    <w:rsid w:val="001B246D"/>
    <w:rsid w:val="001D242A"/>
    <w:rsid w:val="001F2766"/>
    <w:rsid w:val="001F6ED8"/>
    <w:rsid w:val="00207509"/>
    <w:rsid w:val="00212D35"/>
    <w:rsid w:val="002357B8"/>
    <w:rsid w:val="00245C7F"/>
    <w:rsid w:val="00271180"/>
    <w:rsid w:val="002A4AC9"/>
    <w:rsid w:val="002B2892"/>
    <w:rsid w:val="002B55E6"/>
    <w:rsid w:val="002C0EE6"/>
    <w:rsid w:val="002C34AE"/>
    <w:rsid w:val="002E2F2E"/>
    <w:rsid w:val="002F611D"/>
    <w:rsid w:val="002F7D85"/>
    <w:rsid w:val="00307C14"/>
    <w:rsid w:val="00361703"/>
    <w:rsid w:val="003707A7"/>
    <w:rsid w:val="003742ED"/>
    <w:rsid w:val="003858C5"/>
    <w:rsid w:val="003B72FC"/>
    <w:rsid w:val="003D684B"/>
    <w:rsid w:val="003E06CF"/>
    <w:rsid w:val="003E35FB"/>
    <w:rsid w:val="003F3B83"/>
    <w:rsid w:val="00431E30"/>
    <w:rsid w:val="00487232"/>
    <w:rsid w:val="00495CA4"/>
    <w:rsid w:val="004A1976"/>
    <w:rsid w:val="004A34E6"/>
    <w:rsid w:val="004B4285"/>
    <w:rsid w:val="004C28FB"/>
    <w:rsid w:val="004E4D1E"/>
    <w:rsid w:val="004E54DC"/>
    <w:rsid w:val="004F48ED"/>
    <w:rsid w:val="00514664"/>
    <w:rsid w:val="0055017A"/>
    <w:rsid w:val="00577018"/>
    <w:rsid w:val="005779E7"/>
    <w:rsid w:val="005D0786"/>
    <w:rsid w:val="005E3670"/>
    <w:rsid w:val="005F0728"/>
    <w:rsid w:val="005F4480"/>
    <w:rsid w:val="00600DC9"/>
    <w:rsid w:val="006329A2"/>
    <w:rsid w:val="00643F39"/>
    <w:rsid w:val="0066728C"/>
    <w:rsid w:val="006766A9"/>
    <w:rsid w:val="006B74F9"/>
    <w:rsid w:val="006C238A"/>
    <w:rsid w:val="006C27F9"/>
    <w:rsid w:val="006C520A"/>
    <w:rsid w:val="0071319E"/>
    <w:rsid w:val="00722749"/>
    <w:rsid w:val="00725AAC"/>
    <w:rsid w:val="00777BF4"/>
    <w:rsid w:val="007A2508"/>
    <w:rsid w:val="00806587"/>
    <w:rsid w:val="008A3964"/>
    <w:rsid w:val="008A7F59"/>
    <w:rsid w:val="008C6240"/>
    <w:rsid w:val="008E7494"/>
    <w:rsid w:val="008F36CD"/>
    <w:rsid w:val="008F7002"/>
    <w:rsid w:val="008F7D5F"/>
    <w:rsid w:val="00935C07"/>
    <w:rsid w:val="0095301E"/>
    <w:rsid w:val="0095497D"/>
    <w:rsid w:val="00965857"/>
    <w:rsid w:val="00972FD8"/>
    <w:rsid w:val="00977F76"/>
    <w:rsid w:val="0098140C"/>
    <w:rsid w:val="00983C93"/>
    <w:rsid w:val="0099178F"/>
    <w:rsid w:val="009A33F4"/>
    <w:rsid w:val="009A403C"/>
    <w:rsid w:val="009B5265"/>
    <w:rsid w:val="00A060FB"/>
    <w:rsid w:val="00A2041C"/>
    <w:rsid w:val="00A4083A"/>
    <w:rsid w:val="00A722B1"/>
    <w:rsid w:val="00A8267E"/>
    <w:rsid w:val="00A93570"/>
    <w:rsid w:val="00A9617A"/>
    <w:rsid w:val="00AA1A2C"/>
    <w:rsid w:val="00AA223C"/>
    <w:rsid w:val="00AA61F7"/>
    <w:rsid w:val="00AD49A6"/>
    <w:rsid w:val="00AF77DA"/>
    <w:rsid w:val="00B06275"/>
    <w:rsid w:val="00B107A4"/>
    <w:rsid w:val="00B1441B"/>
    <w:rsid w:val="00B362F7"/>
    <w:rsid w:val="00B36E72"/>
    <w:rsid w:val="00B735E3"/>
    <w:rsid w:val="00B91873"/>
    <w:rsid w:val="00BB2AC1"/>
    <w:rsid w:val="00BF05B4"/>
    <w:rsid w:val="00C04938"/>
    <w:rsid w:val="00C175C0"/>
    <w:rsid w:val="00C36610"/>
    <w:rsid w:val="00C47E30"/>
    <w:rsid w:val="00C54F53"/>
    <w:rsid w:val="00C75378"/>
    <w:rsid w:val="00C85D0F"/>
    <w:rsid w:val="00CA0D01"/>
    <w:rsid w:val="00CC0BDE"/>
    <w:rsid w:val="00CE167B"/>
    <w:rsid w:val="00CF7076"/>
    <w:rsid w:val="00D247DD"/>
    <w:rsid w:val="00D24E31"/>
    <w:rsid w:val="00D41244"/>
    <w:rsid w:val="00D438D0"/>
    <w:rsid w:val="00D44697"/>
    <w:rsid w:val="00D47632"/>
    <w:rsid w:val="00D625A2"/>
    <w:rsid w:val="00D71751"/>
    <w:rsid w:val="00D759AA"/>
    <w:rsid w:val="00DA1520"/>
    <w:rsid w:val="00DF2C25"/>
    <w:rsid w:val="00E01434"/>
    <w:rsid w:val="00E16E4D"/>
    <w:rsid w:val="00E3462E"/>
    <w:rsid w:val="00E729C7"/>
    <w:rsid w:val="00E76B3A"/>
    <w:rsid w:val="00E83B40"/>
    <w:rsid w:val="00E95B3E"/>
    <w:rsid w:val="00E9601C"/>
    <w:rsid w:val="00EA78B3"/>
    <w:rsid w:val="00EB19AA"/>
    <w:rsid w:val="00EC2C85"/>
    <w:rsid w:val="00F176F5"/>
    <w:rsid w:val="00F46E44"/>
    <w:rsid w:val="00F611FC"/>
    <w:rsid w:val="00F61E8C"/>
    <w:rsid w:val="00F707AB"/>
    <w:rsid w:val="00F96D53"/>
    <w:rsid w:val="00FB459D"/>
    <w:rsid w:val="00FF00D4"/>
    <w:rsid w:val="00FF158E"/>
  </w:rsids>
  <w:docVars>
    <w:docVar w:name="AUTHORMFMNU" w:val=" 1"/>
    <w:docVar w:name="CODEMNU" w:val=" 1"/>
    <w:docVar w:name="COM2KEY" w:val="BUDG"/>
    <w:docVar w:name="COMKEY" w:val="PECH"/>
    <w:docVar w:name="CONTRIBUTIONMNU" w:val=" 2"/>
    <w:docVar w:name="CopyToNetwork" w:val="-1"/>
    <w:docVar w:name="DOCDT" w:val="12/06/2026"/>
    <w:docVar w:name="FONCTIONMNU" w:val=" 1"/>
    <w:docVar w:name="LastEditedSection" w:val=" 5"/>
    <w:docVar w:name="strDocTypeID" w:val="PA_NonLegBud"/>
    <w:docVar w:name="strSubDir" w:val="1349"/>
    <w:docVar w:name="TITLEMNU" w:val=" 2"/>
    <w:docVar w:name="TXTAUTHOR" w:val="Giuseppe Lupo"/>
    <w:docVar w:name="TXTLANGUE" w:val="EN"/>
    <w:docVar w:name="TXTLANGUEMIN" w:val="en"/>
    <w:docVar w:name="TXTNRPE" w:val="789.971"/>
    <w:docVar w:name="TXTNRPROC" w:val="2026/xxxx"/>
    <w:docVar w:name="TXTPEorAP" w:val="PE"/>
    <w:docVar w:name="TXTROUTE" w:val="AD\1349799EN.docx"/>
    <w:docVar w:name="TXTTITLE" w:val=" General budget of the European Union for the financial year 2025 - all sections&lt;/Titre&gt;"/>
    <w:docVar w:name="TXTVERSION" w:val="02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927E196B-997B-40F1-B263-E47A5F36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8E749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8E74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E7494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8E7494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8E74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8E7494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8E7494"/>
    <w:pPr>
      <w:spacing w:after="480"/>
      <w:ind w:left="1417"/>
    </w:pPr>
  </w:style>
  <w:style w:type="paragraph" w:customStyle="1" w:styleId="CoverNormal">
    <w:name w:val="CoverNormal"/>
    <w:basedOn w:val="Normal"/>
    <w:rsid w:val="008E7494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8E7494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8E7494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8E7494"/>
    <w:pPr>
      <w:spacing w:before="240" w:after="1200"/>
    </w:pPr>
  </w:style>
  <w:style w:type="paragraph" w:customStyle="1" w:styleId="NormalHanging12a">
    <w:name w:val="NormalHanging12a"/>
    <w:basedOn w:val="Normal"/>
    <w:rsid w:val="008E7494"/>
    <w:pPr>
      <w:spacing w:after="240"/>
      <w:ind w:left="567" w:hanging="567"/>
    </w:pPr>
  </w:style>
  <w:style w:type="paragraph" w:customStyle="1" w:styleId="Subheading">
    <w:name w:val="Subheading"/>
    <w:basedOn w:val="Normal"/>
    <w:rsid w:val="008E7494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E74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8E7494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494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8E7494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8E7494"/>
    <w:pPr>
      <w:jc w:val="right"/>
    </w:pPr>
  </w:style>
  <w:style w:type="paragraph" w:customStyle="1" w:styleId="EPFooter">
    <w:name w:val="EPFooter"/>
    <w:basedOn w:val="Normal"/>
    <w:rsid w:val="008E74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3617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61703"/>
    <w:rPr>
      <w:sz w:val="24"/>
    </w:rPr>
  </w:style>
  <w:style w:type="paragraph" w:styleId="ListParagraph">
    <w:name w:val="List Paragraph"/>
    <w:basedOn w:val="Normal"/>
    <w:uiPriority w:val="34"/>
    <w:qFormat/>
    <w:rsid w:val="00DF2C25"/>
    <w:pPr>
      <w:ind w:left="720"/>
      <w:contextualSpacing/>
    </w:pPr>
  </w:style>
  <w:style w:type="paragraph" w:customStyle="1" w:styleId="Normal24a">
    <w:name w:val="Normal24a"/>
    <w:basedOn w:val="Normal"/>
    <w:rsid w:val="00DF2C25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DF2C25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DF2C2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F2C25"/>
    <w:rPr>
      <w:szCs w:val="24"/>
    </w:rPr>
  </w:style>
  <w:style w:type="paragraph" w:styleId="FootnoteText">
    <w:name w:val="footnote text"/>
    <w:basedOn w:val="Normal"/>
    <w:link w:val="FootnoteTextChar"/>
    <w:rsid w:val="00DF2C2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F2C25"/>
  </w:style>
  <w:style w:type="character" w:styleId="FootnoteReference">
    <w:name w:val="footnote reference"/>
    <w:basedOn w:val="DefaultParagraphFont"/>
    <w:rsid w:val="00DF2C25"/>
    <w:rPr>
      <w:vertAlign w:val="superscript"/>
    </w:rPr>
  </w:style>
  <w:style w:type="character" w:styleId="Hyperlink">
    <w:name w:val="Hyperlink"/>
    <w:basedOn w:val="DefaultParagraphFont"/>
    <w:rsid w:val="00DF2C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2C2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36E72"/>
    <w:rPr>
      <w:sz w:val="24"/>
    </w:rPr>
  </w:style>
  <w:style w:type="paragraph" w:customStyle="1" w:styleId="CompromiseParagraph">
    <w:name w:val="Compromise Paragraph"/>
    <w:basedOn w:val="Normal"/>
    <w:rsid w:val="00B36E72"/>
    <w:pPr>
      <w:widowControl/>
      <w:tabs>
        <w:tab w:val="left" w:pos="482"/>
      </w:tabs>
      <w:spacing w:after="140" w:line="259" w:lineRule="auto"/>
      <w:ind w:left="482" w:hanging="482"/>
      <w:jc w:val="both"/>
    </w:pPr>
    <w:rPr>
      <w:rFonts w:eastAsiaTheme="minorEastAsia" w:cstheme="minorBidi"/>
      <w:sz w:val="22"/>
      <w:szCs w:val="22"/>
      <w:lang w:eastAsia="en-US"/>
    </w:rPr>
  </w:style>
  <w:style w:type="paragraph" w:customStyle="1" w:styleId="RollCallSymbols14pt">
    <w:name w:val="RollCallSymbols14pt"/>
    <w:basedOn w:val="Normal"/>
    <w:rsid w:val="002F7D8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F7D8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F7D8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F7D85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700E4-7BDF-4A83-A2A3-AC3B8F60E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2435</Words>
  <Characters>16245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PA_NonLegBud</vt:lpstr>
    </vt:vector>
  </TitlesOfParts>
  <Company/>
  <LinksUpToDate>false</LinksUpToDate>
  <CharactersWithSpaces>18596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PA_NonLegBud</dc:title>
  <dc:creator>European Parliament</dc:creator>
  <cp:lastModifiedBy>European Parliament</cp:lastModifiedBy>
  <cp:revision>2</cp:revision>
  <cp:lastPrinted>2004-10-28T10:33:00Z</cp:lastPrinted>
  <dcterms:created xsi:type="dcterms:W3CDTF">2026-09-15T10:12:00Z</dcterms:created>
  <dcterms:modified xsi:type="dcterms:W3CDTF">2026-09-15T10:12:00Z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1349799</vt:lpwstr>
  </property>
  <property fmtid="{D5CDD505-2E9C-101B-9397-08002B2CF9AE}" pid="4" name="&lt;Model&gt;">
    <vt:lpwstr>PA_NonLegBud</vt:lpwstr>
  </property>
  <property fmtid="{D5CDD505-2E9C-101B-9397-08002B2CF9AE}" pid="5" name="&lt;ModelCod&gt;">
    <vt:lpwstr>\\eiciBRUpr1\pdocep$\DocEP\DOCS\General\PA\PA_NonLeg\PA_NonLegBud.dotx(08/11/2024 09:29:11)</vt:lpwstr>
  </property>
  <property fmtid="{D5CDD505-2E9C-101B-9397-08002B2CF9AE}" pid="6" name="&lt;ModelTra&gt;">
    <vt:lpwstr>\\eiciBRUpr1\pdocep$\DocEP\TRANSFIL\EN\PA_NonLegBud.EN(20/10/2025 07:45:04)</vt:lpwstr>
  </property>
  <property fmtid="{D5CDD505-2E9C-101B-9397-08002B2CF9AE}" pid="7" name="&lt;Type&gt;">
    <vt:lpwstr>AD</vt:lpwstr>
  </property>
  <property fmtid="{D5CDD505-2E9C-101B-9397-08002B2CF9AE}" pid="8" name="Bookout">
    <vt:lpwstr>OK - 2026/09/15 12:12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AD\1349799SK.docx</vt:lpwstr>
  </property>
  <property fmtid="{D5CDD505-2E9C-101B-9397-08002B2CF9AE}" pid="11" name="LastEdited with">
    <vt:lpwstr>10.3.1 Build [20260701]</vt:lpwstr>
  </property>
  <property fmtid="{D5CDD505-2E9C-101B-9397-08002B2CF9AE}" pid="12" name="PE number">
    <vt:lpwstr>789.971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- 2026/09/02 15:15</vt:lpwstr>
  </property>
</Properties>
</file>