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4C70D6" w:rsidTr="00C85D0F">
        <w:trPr>
          <w:trHeight w:hRule="exact" w:val="1418"/>
        </w:trPr>
        <w:tc>
          <w:tcPr>
            <w:tcW w:w="6804" w:type="dxa"/>
            <w:shd w:val="clear" w:color="auto" w:fill="auto"/>
            <w:vAlign w:val="center"/>
          </w:tcPr>
          <w:p w:rsidR="00854CAC" w:rsidRPr="004C70D6" w:rsidRDefault="00BF3308" w:rsidP="00C85D0F">
            <w:pPr>
              <w:pStyle w:val="EPName"/>
            </w:pPr>
            <w:r w:rsidRPr="004C70D6">
              <w:t>Europos Parlamentas</w:t>
            </w:r>
          </w:p>
          <w:p w:rsidR="00854CAC" w:rsidRPr="004C70D6" w:rsidRDefault="00243808" w:rsidP="00243808">
            <w:pPr>
              <w:pStyle w:val="EPTerm"/>
            </w:pPr>
            <w:r w:rsidRPr="004C70D6">
              <w:t>2019-2024</w:t>
            </w:r>
          </w:p>
        </w:tc>
        <w:tc>
          <w:tcPr>
            <w:tcW w:w="2268" w:type="dxa"/>
            <w:shd w:val="clear" w:color="auto" w:fill="auto"/>
          </w:tcPr>
          <w:p w:rsidR="00854CAC" w:rsidRPr="004C70D6" w:rsidRDefault="00854CAC" w:rsidP="00C85D0F">
            <w:pPr>
              <w:pStyle w:val="EPLogo"/>
            </w:pPr>
            <w:r w:rsidRPr="004C70D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4C70D6" w:rsidRDefault="001746D0" w:rsidP="001746D0">
      <w:pPr>
        <w:pStyle w:val="LineTop"/>
      </w:pPr>
    </w:p>
    <w:p w:rsidR="001746D0" w:rsidRPr="004C70D6" w:rsidRDefault="001746D0" w:rsidP="001746D0">
      <w:pPr>
        <w:pStyle w:val="EPBody"/>
      </w:pPr>
      <w:r w:rsidRPr="004C70D6">
        <w:rPr>
          <w:rStyle w:val="HideTWBExt"/>
        </w:rPr>
        <w:t>&lt;</w:t>
      </w:r>
      <w:r w:rsidRPr="004C70D6">
        <w:rPr>
          <w:rStyle w:val="HideTWBExt"/>
          <w:i w:val="0"/>
        </w:rPr>
        <w:t>Commission</w:t>
      </w:r>
      <w:r w:rsidRPr="004C70D6">
        <w:rPr>
          <w:rStyle w:val="HideTWBExt"/>
        </w:rPr>
        <w:t>&gt;</w:t>
      </w:r>
      <w:r w:rsidRPr="004C70D6">
        <w:rPr>
          <w:rStyle w:val="HideTWBInt"/>
        </w:rPr>
        <w:t>{TRAN}</w:t>
      </w:r>
      <w:r w:rsidRPr="004C70D6">
        <w:t>Transporto ir turizmo komitetas</w:t>
      </w:r>
      <w:r w:rsidRPr="004C70D6">
        <w:rPr>
          <w:rStyle w:val="HideTWBExt"/>
        </w:rPr>
        <w:t>&lt;/</w:t>
      </w:r>
      <w:r w:rsidRPr="004C70D6">
        <w:rPr>
          <w:rStyle w:val="HideTWBExt"/>
          <w:i w:val="0"/>
        </w:rPr>
        <w:t>Commission</w:t>
      </w:r>
      <w:r w:rsidRPr="004C70D6">
        <w:rPr>
          <w:rStyle w:val="HideTWBExt"/>
        </w:rPr>
        <w:t>&gt;</w:t>
      </w:r>
    </w:p>
    <w:p w:rsidR="001746D0" w:rsidRPr="004C70D6" w:rsidRDefault="001746D0" w:rsidP="001746D0">
      <w:pPr>
        <w:pStyle w:val="LineBottom"/>
      </w:pPr>
    </w:p>
    <w:p w:rsidR="002E2F2E" w:rsidRPr="004C70D6" w:rsidRDefault="002E2F2E">
      <w:pPr>
        <w:pStyle w:val="CoverReference"/>
      </w:pPr>
      <w:r w:rsidRPr="004C70D6">
        <w:rPr>
          <w:rStyle w:val="HideTWBExt"/>
          <w:b w:val="0"/>
        </w:rPr>
        <w:t>&lt;RefProc&gt;</w:t>
      </w:r>
      <w:r w:rsidRPr="004C70D6">
        <w:t>2023/2158</w:t>
      </w:r>
      <w:r w:rsidRPr="004C70D6">
        <w:rPr>
          <w:rStyle w:val="HideTWBExt"/>
          <w:b w:val="0"/>
        </w:rPr>
        <w:t>&lt;/RefProc&gt;&lt;RefTypeProc&gt;</w:t>
      </w:r>
      <w:r w:rsidRPr="004C70D6">
        <w:t>(DEC)</w:t>
      </w:r>
      <w:r w:rsidRPr="004C70D6">
        <w:rPr>
          <w:rStyle w:val="HideTWBExt"/>
          <w:b w:val="0"/>
        </w:rPr>
        <w:t>&lt;/RefTypeProc&gt;</w:t>
      </w:r>
    </w:p>
    <w:p w:rsidR="002E2F2E" w:rsidRPr="004C70D6" w:rsidRDefault="002E2F2E">
      <w:pPr>
        <w:pStyle w:val="CoverDate"/>
      </w:pPr>
      <w:r w:rsidRPr="004C70D6">
        <w:rPr>
          <w:rStyle w:val="HideTWBExt"/>
        </w:rPr>
        <w:t>&lt;Date&gt;</w:t>
      </w:r>
      <w:r w:rsidRPr="004C70D6">
        <w:rPr>
          <w:rStyle w:val="HideTWBInt"/>
        </w:rPr>
        <w:t>{23/01/2024}</w:t>
      </w:r>
      <w:r w:rsidRPr="004C70D6">
        <w:t>23.1.2024</w:t>
      </w:r>
      <w:r w:rsidRPr="004C70D6">
        <w:rPr>
          <w:rStyle w:val="HideTWBExt"/>
        </w:rPr>
        <w:t>&lt;/Date&gt;</w:t>
      </w:r>
    </w:p>
    <w:p w:rsidR="002E2F2E" w:rsidRPr="004C70D6" w:rsidRDefault="002E2F2E">
      <w:pPr>
        <w:pStyle w:val="CoverDocType24a"/>
      </w:pPr>
      <w:r w:rsidRPr="004C70D6">
        <w:rPr>
          <w:rStyle w:val="HideTWBExt"/>
          <w:b w:val="0"/>
        </w:rPr>
        <w:t>&lt;TitreType&gt;</w:t>
      </w:r>
      <w:r w:rsidRPr="004C70D6">
        <w:t>NUOMONĖ</w:t>
      </w:r>
      <w:r w:rsidRPr="004C70D6">
        <w:rPr>
          <w:rStyle w:val="HideTWBExt"/>
          <w:b w:val="0"/>
        </w:rPr>
        <w:t>&lt;/TitreType&gt;</w:t>
      </w:r>
    </w:p>
    <w:p w:rsidR="002E2F2E" w:rsidRPr="004C70D6" w:rsidRDefault="002E2F2E">
      <w:pPr>
        <w:pStyle w:val="CoverNormal24a"/>
      </w:pPr>
      <w:r w:rsidRPr="004C70D6">
        <w:rPr>
          <w:rStyle w:val="HideTWBExt"/>
        </w:rPr>
        <w:t>&lt;CommissionResp&gt;</w:t>
      </w:r>
      <w:r w:rsidRPr="004C70D6">
        <w:t>Transporto ir turizmo komiteto</w:t>
      </w:r>
      <w:r w:rsidRPr="004C70D6">
        <w:rPr>
          <w:rStyle w:val="HideTWBExt"/>
        </w:rPr>
        <w:t>&lt;/CommissionResp&gt;</w:t>
      </w:r>
    </w:p>
    <w:p w:rsidR="002E2F2E" w:rsidRPr="004C70D6" w:rsidRDefault="002E2F2E">
      <w:pPr>
        <w:pStyle w:val="CoverNormal24a"/>
      </w:pPr>
      <w:r w:rsidRPr="004C70D6">
        <w:rPr>
          <w:rStyle w:val="HideTWBExt"/>
        </w:rPr>
        <w:t>&lt;CommissionInt&gt;</w:t>
      </w:r>
      <w:r w:rsidRPr="004C70D6">
        <w:t>pateikta Biudžeto kontrolės komitetui</w:t>
      </w:r>
      <w:r w:rsidRPr="004C70D6">
        <w:rPr>
          <w:rStyle w:val="HideTWBExt"/>
        </w:rPr>
        <w:t>&lt;/CommissionInt&gt;</w:t>
      </w:r>
    </w:p>
    <w:p w:rsidR="002E2F2E" w:rsidRPr="004C70D6" w:rsidRDefault="002E2F2E">
      <w:pPr>
        <w:pStyle w:val="CoverNormal"/>
      </w:pPr>
      <w:r w:rsidRPr="004C70D6">
        <w:rPr>
          <w:rStyle w:val="HideTWBExt"/>
        </w:rPr>
        <w:t>&lt;Titre&gt;</w:t>
      </w:r>
      <w:r w:rsidRPr="004C70D6">
        <w:t>dėl Europos jūrų saugumo agentūros 2022 finansinių metų biudžeto įvykdymo patvirtinimo</w:t>
      </w:r>
      <w:r w:rsidRPr="004C70D6">
        <w:rPr>
          <w:rStyle w:val="HideTWBExt"/>
        </w:rPr>
        <w:t>&lt;/Titre&gt;</w:t>
      </w:r>
    </w:p>
    <w:p w:rsidR="002E2F2E" w:rsidRPr="004C70D6" w:rsidRDefault="002E2F2E">
      <w:pPr>
        <w:pStyle w:val="CoverNormal24a"/>
      </w:pPr>
      <w:r w:rsidRPr="004C70D6">
        <w:rPr>
          <w:rStyle w:val="HideTWBExt"/>
        </w:rPr>
        <w:t>&lt;DocRef&gt;</w:t>
      </w:r>
      <w:r w:rsidRPr="004C70D6">
        <w:t>(2023/2158(DEC))</w:t>
      </w:r>
      <w:r w:rsidRPr="004C70D6">
        <w:rPr>
          <w:rStyle w:val="HideTWBExt"/>
        </w:rPr>
        <w:t>&lt;/DocRef&gt;</w:t>
      </w:r>
    </w:p>
    <w:p w:rsidR="002E2F2E" w:rsidRPr="004C70D6" w:rsidRDefault="00243808">
      <w:pPr>
        <w:pStyle w:val="CoverNormal24a"/>
      </w:pPr>
      <w:r w:rsidRPr="004C70D6">
        <w:t xml:space="preserve">Nuomonės referentas: </w:t>
      </w:r>
      <w:r w:rsidRPr="004C70D6">
        <w:rPr>
          <w:rStyle w:val="HideTWBExt"/>
        </w:rPr>
        <w:t>&lt;Depute&gt;</w:t>
      </w:r>
      <w:r w:rsidRPr="004C70D6">
        <w:t>Vlad Gheorghe</w:t>
      </w:r>
      <w:r w:rsidRPr="004C70D6">
        <w:rPr>
          <w:rStyle w:val="HideTWBExt"/>
        </w:rPr>
        <w:t>&lt;/Depute&gt;</w:t>
      </w:r>
    </w:p>
    <w:p w:rsidR="00A72C35" w:rsidRPr="004C70D6" w:rsidRDefault="00A72C35" w:rsidP="00A72C35">
      <w:pPr>
        <w:pStyle w:val="CoverNormal"/>
      </w:pPr>
    </w:p>
    <w:p w:rsidR="002E2F2E" w:rsidRPr="004C70D6" w:rsidRDefault="002E2F2E" w:rsidP="00E856D2">
      <w:pPr>
        <w:widowControl/>
        <w:tabs>
          <w:tab w:val="center" w:pos="4677"/>
        </w:tabs>
      </w:pPr>
      <w:r w:rsidRPr="004C70D6">
        <w:br w:type="page"/>
      </w:r>
      <w:r w:rsidRPr="004C70D6">
        <w:lastRenderedPageBreak/>
        <w:t>PA_NonLeg</w:t>
      </w:r>
    </w:p>
    <w:p w:rsidR="002E2F2E" w:rsidRPr="004C70D6" w:rsidRDefault="002E2F2E">
      <w:pPr>
        <w:pStyle w:val="PageHeadingNotTOC"/>
      </w:pPr>
      <w:r w:rsidRPr="004C70D6">
        <w:br w:type="page"/>
      </w:r>
      <w:r w:rsidRPr="004C70D6">
        <w:lastRenderedPageBreak/>
        <w:t>PASIŪLYMAI</w:t>
      </w:r>
    </w:p>
    <w:p w:rsidR="002E2F2E" w:rsidRPr="004C70D6" w:rsidRDefault="00243808" w:rsidP="008313E7">
      <w:pPr>
        <w:pStyle w:val="Normal12a"/>
      </w:pPr>
      <w:r w:rsidRPr="004C70D6">
        <w:t>Transporto ir turizmo komitetas ragina atsakingą Biudžeto kontrolės komitetą į savo pasiūlymą dėl rezoliucijos įtraukti šiuos pasiūlymus:</w:t>
      </w:r>
    </w:p>
    <w:p w:rsidR="00982CAD" w:rsidRPr="004C70D6" w:rsidRDefault="00982CAD" w:rsidP="00982CAD">
      <w:pPr>
        <w:pStyle w:val="NormalHanging12a"/>
        <w:jc w:val="both"/>
      </w:pPr>
      <w:bookmarkStart w:id="0" w:name="restart"/>
      <w:r w:rsidRPr="004C70D6">
        <w:t>1.</w:t>
      </w:r>
      <w:r w:rsidRPr="004C70D6">
        <w:tab/>
        <w:t>teigiamai vertina Audito Rūmų išvadą, kad Europos jūrų saugumo agentūros (toliau – Agentūra) 2022 finansinių metų finansinėse ataskaitose atspindimos operacijos visais reikšmingais aspektais yra teisėtos ir tvarkingos;</w:t>
      </w:r>
    </w:p>
    <w:bookmarkEnd w:id="0"/>
    <w:p w:rsidR="00982CAD" w:rsidRPr="004C70D6" w:rsidRDefault="00982CAD" w:rsidP="00982CAD">
      <w:pPr>
        <w:pStyle w:val="NormalHanging12a"/>
        <w:jc w:val="both"/>
      </w:pPr>
      <w:r w:rsidRPr="004C70D6">
        <w:t>2.</w:t>
      </w:r>
      <w:r w:rsidRPr="004C70D6">
        <w:tab/>
        <w:t>pažymi, kad Agentūra panaudojo 86,3 mln. EUR įsipareigojimų asignavimų, t. y. 99,8 proc. visos 2022 metų biudžeto sumos ir 85,15 mln. EUR mokėjimų asignavimų (98,42 proc. visos biudžeto sumos); pažymi, kad tik 0,87 proc. mokėjimų asignavimų buvo panaikinti, ši dalis gerokai nesiekia Komisijos nustatytos 5 proc. viršutinės ribos;</w:t>
      </w:r>
    </w:p>
    <w:p w:rsidR="00982CAD" w:rsidRPr="004C70D6" w:rsidRDefault="00982CAD" w:rsidP="00982CAD">
      <w:pPr>
        <w:pStyle w:val="NormalHanging12a"/>
        <w:jc w:val="both"/>
      </w:pPr>
      <w:r w:rsidRPr="004C70D6">
        <w:t>3.</w:t>
      </w:r>
      <w:r w:rsidRPr="004C70D6">
        <w:tab/>
        <w:t>palankiai vertina Agentūros įsipareigojimą gerinti savo daugiakalbę komunikaciją, užtikrinant didesnį prieinamumą visiems Europos piliečiams; pažymi, kad Agentūros penkerių metų strategija, Europos jūrų aplinkos ir Europos jūrų saugumo ataskaita dabar yra prieinamos visomis 24 ES kalbomis;</w:t>
      </w:r>
    </w:p>
    <w:p w:rsidR="00982CAD" w:rsidRPr="004C70D6" w:rsidRDefault="00982CAD" w:rsidP="00982CAD">
      <w:pPr>
        <w:pStyle w:val="NormalHanging12a"/>
        <w:jc w:val="both"/>
      </w:pPr>
      <w:r w:rsidRPr="004C70D6">
        <w:t>4.</w:t>
      </w:r>
      <w:r w:rsidRPr="004C70D6">
        <w:tab/>
        <w:t>palankiai vertina tai, kad toliau įgyvendinama Agentūros 2020–2024 m. strategija, nes ji padės Agentūrai vykdyti jūrų stebėjimo, saugos ir saugumo užduotis ir kartu veiksmingai prisidėti prie Sąjungos prioritetų įgyvendinimo; atkreipia dėmesį į tai, kad Agentūra paskelbė pirmąją Europos jūrų transporto aplinkosaugos ataskaitą, kurioje surinkta patikrinta informacija apie laivybos poveikį aplinkai;</w:t>
      </w:r>
    </w:p>
    <w:p w:rsidR="00982CAD" w:rsidRPr="004C70D6" w:rsidRDefault="00982CAD" w:rsidP="00982CAD">
      <w:pPr>
        <w:pStyle w:val="NormalHanging12a"/>
        <w:jc w:val="both"/>
      </w:pPr>
      <w:r w:rsidRPr="004C70D6">
        <w:t>5.</w:t>
      </w:r>
      <w:r w:rsidRPr="004C70D6">
        <w:tab/>
        <w:t>pabrėžia EMSA vaidmenį sėkmingai įgyvendinant perėjimą prie atsinaujinančiųjų išteklių ir mažo anglies dioksido pėdsako degalų jūrų transporto sektoriuje; pabrėžia itin svarbų agentūros vaidmenį įgyvendinant reglamentą „FuelEU Maritime“; remia vykdomus mokslinius tyrimus, susijusius su laivų energijos šaltiniais, daugiausia dėmesio skiriant biodegalams, amoniakui, vandeniliui ir kuro bei technologijų eksploatavimui, saugai ir technologiniams standartams, kurių naudojimą, kaip tikimasi, paspartins iniciatyva „FuelEU Maritime“;</w:t>
      </w:r>
    </w:p>
    <w:p w:rsidR="00982CAD" w:rsidRPr="004C70D6" w:rsidRDefault="00982CAD" w:rsidP="00982CAD">
      <w:pPr>
        <w:pStyle w:val="NormalHanging12a"/>
        <w:jc w:val="both"/>
      </w:pPr>
      <w:r w:rsidRPr="004C70D6">
        <w:t>6.</w:t>
      </w:r>
      <w:r w:rsidRPr="004C70D6">
        <w:tab/>
        <w:t>palankiai vertina tai, kad Agentūra toliau stiprina savo stebėjimo veiklą, įskaitant palydovinių ir nuotoliniu būdu pilotuojamų orlaivių sistemų (RPAS) pajėgumus; mano, kad Agentūros nuotoliniu būdu pilotuojamų orlaivių sistemų tarnybos iš viso sukaupė 1305 veiklos dienas (828 dienas, skirtas daugiafunkciam stebėjimui ir 477 dienas aplinkos priežiūrai);</w:t>
      </w:r>
    </w:p>
    <w:p w:rsidR="00982CAD" w:rsidRPr="004C70D6" w:rsidRDefault="00982CAD" w:rsidP="00982CAD">
      <w:pPr>
        <w:pStyle w:val="NormalHanging12a"/>
        <w:jc w:val="both"/>
      </w:pPr>
      <w:r w:rsidRPr="004C70D6">
        <w:t>7.</w:t>
      </w:r>
      <w:r w:rsidRPr="004C70D6">
        <w:tab/>
        <w:t>pabrėžia Agentūros veiklos jūrų saugumo srityje svarbą ir prašo Komisijos toliau teikti techninę pagalbą atliekant patikrinimus pagal šią sistemą pagal Europos Parlamento ir Tarybos reglamentą (EB) Nr. 725/2004 dėl laivų ir uostų įrenginių (terminalų) apsaugos stiprinimo; pabrėžia, kad pastaraisiais metais labai padaugėjo kibernetinio saugumo incidentų jūrų sektoriuje;</w:t>
      </w:r>
    </w:p>
    <w:p w:rsidR="00982CAD" w:rsidRPr="004C70D6" w:rsidRDefault="00982CAD" w:rsidP="00982CAD">
      <w:pPr>
        <w:pStyle w:val="NormalHanging12a"/>
        <w:jc w:val="both"/>
      </w:pPr>
      <w:r w:rsidRPr="004C70D6">
        <w:t>8.</w:t>
      </w:r>
      <w:r w:rsidRPr="004C70D6">
        <w:tab/>
        <w:t xml:space="preserve">ragina skatinti jūrų sektoriaus skaitmenizavimą sudarant palankesnes sąlygas elektroniniu būdu perduoti duomenis ir taip padedant supaprastinti integruotas jūrų stebėjimo ir informuotumo didinimo sistemas bei paslaugas ir jas teikti Komisijai ir valstybėms narėms. </w:t>
      </w:r>
    </w:p>
    <w:p w:rsidR="00982CAD" w:rsidRPr="004C70D6" w:rsidRDefault="00982CAD" w:rsidP="00982CAD">
      <w:pPr>
        <w:pStyle w:val="NormalHanging12a"/>
        <w:jc w:val="both"/>
      </w:pPr>
      <w:r w:rsidRPr="004C70D6">
        <w:t>9.</w:t>
      </w:r>
      <w:r w:rsidRPr="004C70D6">
        <w:tab/>
        <w:t>palankiai vertina Agentūros lyderystę pereinamuoju bendros keitimosi informacija aplinkos (CISE) etapu siekiant stiprinti civilinį ir karinį bendradarbiavimą; tam reikia sukurti nuolatinį ryšį tarp CISE ir ES valstybių narių karinių jūrų pajėgų per MARSUR arba tiesiogiai sujungtą per nacionalinį mazgą;</w:t>
      </w:r>
    </w:p>
    <w:p w:rsidR="00982CAD" w:rsidRPr="004C70D6" w:rsidRDefault="00982CAD" w:rsidP="00982CAD">
      <w:pPr>
        <w:pStyle w:val="NormalHanging12a"/>
        <w:jc w:val="both"/>
      </w:pPr>
      <w:r w:rsidRPr="004C70D6">
        <w:t>10.</w:t>
      </w:r>
      <w:r w:rsidRPr="004C70D6">
        <w:tab/>
        <w:t>palankiai vertina Agentūros Jūrų paramos tarnybas už ad hoc produktų kūrimą siekiant padėti valstybėms narėms ir Komisijai įgyvendinti ES sankcijas, susijusias su neteisėtu ir nepagrįstu Rusijos agresijos karu prieš Ukrainą, pvz., pranešimus apie laivų iškvietimus į tam tikrus krovinius ir vėliavą; palankiai vertina tai, kad Agentūra parengė ir atitinkamiems naudotojams teikia mėnesinę pokyčių Ukrainoje poveikio jūrų transportui ir prekybai ataskaitą;</w:t>
      </w:r>
    </w:p>
    <w:p w:rsidR="00982CAD" w:rsidRPr="004C70D6" w:rsidRDefault="00982CAD" w:rsidP="00982CAD">
      <w:pPr>
        <w:pStyle w:val="NormalHanging12a"/>
        <w:jc w:val="both"/>
      </w:pPr>
      <w:r w:rsidRPr="004C70D6">
        <w:t>11.</w:t>
      </w:r>
      <w:r w:rsidRPr="004C70D6">
        <w:tab/>
        <w:t>palankiai vertina tai, kad dėl neteisėto ir nepagrįsto Rusijos agresijos karo prieš Ukrainą iki 2022 m. rugsėjo 30 d. pratęstas BC tvarios energijos asociacijos projektas, siekiant įgyvendinti tikslinius kovos su tarša įrangos įsigijimo veiksmus, kuriais remiama Gruzija ir Ukraina Juodojoje jūroje, taip pat naujo projekto pradžios etapą, kuris apėmė internetinę mokymo sesiją, kad Ukrainos „CleanSeaNet“ (CSN) paslaugos naudotojai galėtų naudotis EMSA CSN paslauga;</w:t>
      </w:r>
    </w:p>
    <w:p w:rsidR="00982CAD" w:rsidRPr="004C70D6" w:rsidRDefault="00982CAD" w:rsidP="00982CAD">
      <w:pPr>
        <w:pStyle w:val="NormalHanging12a"/>
        <w:jc w:val="both"/>
      </w:pPr>
      <w:r w:rsidRPr="004C70D6">
        <w:t>12.</w:t>
      </w:r>
      <w:r w:rsidRPr="004C70D6">
        <w:tab/>
        <w:t>palankiai vertina tai, kad Agentūra ir toliau yra itin svarbi Komisijos ir valstybių narių partnerė rengiant saugios laivybos standartus, skaitmeninant ir racionalizuojant ES laivybą;</w:t>
      </w:r>
    </w:p>
    <w:p w:rsidR="00982CAD" w:rsidRPr="004C70D6" w:rsidRDefault="00982CAD" w:rsidP="00982CAD">
      <w:pPr>
        <w:pStyle w:val="NormalHanging12a"/>
        <w:jc w:val="both"/>
      </w:pPr>
      <w:r w:rsidRPr="004C70D6">
        <w:t>13.</w:t>
      </w:r>
      <w:r w:rsidRPr="004C70D6">
        <w:tab/>
        <w:t>pabrėžia, kad ES laivynas (tiek laivų, tiek tonažo atžvilgiu) auga lėčiau, palyginti su pasaulio laivynu. per pastaruosius penkerius metus ES laivyno augimas siekė 3,4 proc., palyginti su pasaulio laivynu, kurio augimo tempas buvo didesnis – 7 proc.;</w:t>
      </w:r>
    </w:p>
    <w:p w:rsidR="00982CAD" w:rsidRPr="004C70D6" w:rsidRDefault="00982CAD" w:rsidP="00982CAD">
      <w:pPr>
        <w:pStyle w:val="NormalHanging12a"/>
        <w:jc w:val="both"/>
      </w:pPr>
      <w:r w:rsidRPr="004C70D6">
        <w:t>14.</w:t>
      </w:r>
      <w:r w:rsidRPr="004C70D6">
        <w:tab/>
        <w:t>palankiai vertina Agentūros paramą Komisijai TJO, ypač tokiuose forumuose kaip MEPC, PPR ir Komitetų pirmininkų sueiga; tai apima itin svarbias taršos prevencijos ir tvarumo sritis, įskaitant TJO išmetamo ŠESD kiekio mažinimo strategiją, laivybos taršos anglies dioksidu intensyvumą, saugą, vertinimą, diegimą ir naudojimą, jūrų šiukšles ir povandeninį triukšmą; pabrėžia, kad būsimas TJO darbas rengiant atitinkamus naujų degalų ir technologijų naudojimo reikalavimus ir standartus bus labai svarbus juos diegiant tiek pasauliniu, tiek ES lygmenimis;</w:t>
      </w:r>
    </w:p>
    <w:p w:rsidR="00982CAD" w:rsidRPr="004C70D6" w:rsidRDefault="00982CAD" w:rsidP="00982CAD">
      <w:pPr>
        <w:pStyle w:val="NormalHanging12a"/>
        <w:jc w:val="both"/>
      </w:pPr>
      <w:r w:rsidRPr="004C70D6">
        <w:t>15.</w:t>
      </w:r>
      <w:r w:rsidRPr="004C70D6">
        <w:tab/>
        <w:t xml:space="preserve">pabrėžia, kad vis dar sunku įdarbinti deleguotuosius nacionalinius ekspertus, nes sunku pritraukti ekspertų iš valstybių narių; atkreipia dėmesį į tai, kad Agentūra patyrė keletą nesėkmingų kvietimų teikti pasiūlymus; siūlo vidaus sutartininkams suteikti galimybę pereiti į kitą pareigų grupę taikant bendrą atrankos procedūrą;  </w:t>
      </w:r>
      <w:r w:rsidRPr="004C70D6">
        <w:cr/>
      </w:r>
      <w:r w:rsidRPr="004C70D6">
        <w:br/>
        <w:t xml:space="preserve"> kiek tai susiję su didesniu efektyvumu, Agentūra siekia ir stengiasi tobulinti savo procedūras, kad padidintų savo veiksmingumą ir efektyvumą optimaliai naudojant žmogiškuosius ir finansinius išteklius;</w:t>
      </w:r>
    </w:p>
    <w:p w:rsidR="00982CAD" w:rsidRPr="004C70D6" w:rsidRDefault="00982CAD" w:rsidP="00982CAD">
      <w:pPr>
        <w:pStyle w:val="NormalHanging12a"/>
        <w:jc w:val="both"/>
      </w:pPr>
      <w:r w:rsidRPr="004C70D6">
        <w:t>16.</w:t>
      </w:r>
      <w:r w:rsidRPr="004C70D6">
        <w:tab/>
        <w:t>palankiai vertina tai, kad 2022 m. Agentūra įgyvendino taisomuosius veiksmus po 2021 m. Audito Rūmų pastabos dėl viešųjų pirkimų sutarčių; po šių taisomųjų veiksmų Audito Rūmai nusprendė užbaigti su pastaba susijusius veiksmus;</w:t>
      </w:r>
    </w:p>
    <w:p w:rsidR="00982CAD" w:rsidRPr="004C70D6" w:rsidRDefault="00982CAD" w:rsidP="00982CAD">
      <w:pPr>
        <w:widowControl/>
        <w:ind w:left="567" w:hanging="567"/>
        <w:jc w:val="both"/>
      </w:pPr>
      <w:r w:rsidRPr="004C70D6">
        <w:t>17.</w:t>
      </w:r>
      <w:r w:rsidRPr="004C70D6">
        <w:tab/>
        <w:t>siūlo Parlamentui patvirtinti Agentūros vykdomajam direktoriui, kad Agentūros 2022 finansinių metų biudžetas įvykdytas.</w:t>
      </w:r>
    </w:p>
    <w:p w:rsidR="00982CAD" w:rsidRPr="004C70D6" w:rsidRDefault="00982CAD" w:rsidP="00982CAD">
      <w:pPr>
        <w:widowControl/>
        <w:ind w:left="567" w:hanging="567"/>
        <w:jc w:val="both"/>
        <w:sectPr w:rsidR="00982CAD" w:rsidRPr="004C70D6" w:rsidSect="004C70D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82CAD" w:rsidRPr="004C70D6" w:rsidRDefault="00982CAD" w:rsidP="00982CAD">
      <w:pPr>
        <w:pStyle w:val="PageHeadingNotTOC"/>
        <w:rPr>
          <w:noProof/>
        </w:rPr>
      </w:pPr>
      <w:r w:rsidRPr="004C70D6">
        <w:t xml:space="preserve">PRIEDAS. SUBJEKTAI AR ASMENYS, </w:t>
      </w:r>
      <w:r w:rsidRPr="004C70D6">
        <w:br/>
        <w:t xml:space="preserve">IŠ KURIŲ </w:t>
      </w:r>
      <w:r w:rsidR="0058213D" w:rsidRPr="0058213D">
        <w:t>NUOMONĖS REFERENTAS</w:t>
      </w:r>
      <w:r w:rsidRPr="004C70D6">
        <w:t xml:space="preserve"> GAVO INFORMACIJOS</w:t>
      </w:r>
    </w:p>
    <w:p w:rsidR="00982CAD" w:rsidRPr="004C70D6" w:rsidRDefault="00982CAD" w:rsidP="00982CAD">
      <w:pPr>
        <w:pStyle w:val="Normal24a"/>
        <w:jc w:val="both"/>
      </w:pPr>
      <w:r w:rsidRPr="004C70D6">
        <w:rPr>
          <w:rStyle w:val="HideTWBExt"/>
        </w:rPr>
        <w:t>&lt;FootprintIntro&gt;</w:t>
      </w:r>
      <w:r w:rsidR="0058213D" w:rsidRPr="0058213D">
        <w:t>Nuomonės referentas</w:t>
      </w:r>
      <w:r w:rsidRPr="004C70D6">
        <w:t>, prisiimdamas visą atsakomybę, pareiškia, kad negavo informacijos iš jokio subjekto ar asmens, kuris turi būti nurodytas šiame priede pagal Darbo tvarkos taisyklių I priedo 8 straipsnį.</w:t>
      </w:r>
      <w:r w:rsidRPr="004C70D6">
        <w:rPr>
          <w:rStyle w:val="HideTWBExt"/>
        </w:rPr>
        <w:t>&lt;/FootprintIntro&gt;</w:t>
      </w:r>
    </w:p>
    <w:p w:rsidR="00982CAD" w:rsidRPr="004C70D6" w:rsidRDefault="00982CAD" w:rsidP="00982CAD"/>
    <w:p w:rsidR="00256DAE" w:rsidRPr="004C70D6" w:rsidRDefault="00256DAE" w:rsidP="00256DAE">
      <w:r w:rsidRPr="004C70D6">
        <w:br w:type="page"/>
      </w:r>
      <w:bookmarkStart w:id="1" w:name="_GoBack"/>
      <w:bookmarkEnd w:id="1"/>
    </w:p>
    <w:p w:rsidR="00256DAE" w:rsidRPr="004C70D6" w:rsidRDefault="00256DAE" w:rsidP="00256DAE">
      <w:pPr>
        <w:pStyle w:val="PageHeadingNotTOC"/>
      </w:pPr>
      <w:bookmarkStart w:id="2" w:name="ProcPageAD"/>
      <w:r w:rsidRPr="004C70D6">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56DAE" w:rsidRPr="004C70D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b/>
                <w:bCs/>
                <w:color w:val="000000"/>
                <w:sz w:val="20"/>
              </w:rPr>
            </w:pPr>
            <w:r w:rsidRPr="004C70D6">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6DAE" w:rsidRPr="004C70D6" w:rsidRDefault="00256DAE">
            <w:pPr>
              <w:autoSpaceDE w:val="0"/>
              <w:autoSpaceDN w:val="0"/>
              <w:adjustRightInd w:val="0"/>
              <w:rPr>
                <w:color w:val="000000"/>
                <w:sz w:val="20"/>
              </w:rPr>
            </w:pPr>
            <w:r w:rsidRPr="004C70D6">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6DAE" w:rsidRPr="004C70D6" w:rsidRDefault="00256DA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6DAE" w:rsidRPr="004C70D6" w:rsidRDefault="00256DA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rFonts w:ascii="sans-serif" w:hAnsi="sans-serif" w:cs="sans-serif"/>
                <w:color w:val="000000"/>
                <w:szCs w:val="24"/>
              </w:rPr>
            </w:pPr>
          </w:p>
        </w:tc>
      </w:tr>
      <w:tr w:rsidR="00256DAE" w:rsidRPr="004C70D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b/>
                <w:bCs/>
                <w:color w:val="000000"/>
                <w:sz w:val="20"/>
              </w:rPr>
            </w:pPr>
            <w:r w:rsidRPr="004C70D6">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6DAE" w:rsidRPr="004C70D6" w:rsidRDefault="00256DAE">
            <w:pPr>
              <w:autoSpaceDE w:val="0"/>
              <w:autoSpaceDN w:val="0"/>
              <w:adjustRightInd w:val="0"/>
              <w:rPr>
                <w:color w:val="000000"/>
                <w:sz w:val="20"/>
              </w:rPr>
            </w:pPr>
            <w:r w:rsidRPr="004C70D6">
              <w:rPr>
                <w:color w:val="000000"/>
                <w:sz w:val="20"/>
              </w:rPr>
              <w:t>+:</w:t>
            </w:r>
          </w:p>
          <w:p w:rsidR="00256DAE" w:rsidRPr="004C70D6" w:rsidRDefault="00256DAE">
            <w:pPr>
              <w:autoSpaceDE w:val="0"/>
              <w:autoSpaceDN w:val="0"/>
              <w:adjustRightInd w:val="0"/>
              <w:rPr>
                <w:color w:val="000000"/>
                <w:sz w:val="20"/>
              </w:rPr>
            </w:pPr>
            <w:r w:rsidRPr="004C70D6">
              <w:rPr>
                <w:color w:val="000000"/>
                <w:sz w:val="20"/>
              </w:rPr>
              <w:t>–:</w:t>
            </w:r>
          </w:p>
          <w:p w:rsidR="00256DAE" w:rsidRPr="004C70D6" w:rsidRDefault="00256DAE">
            <w:pPr>
              <w:autoSpaceDE w:val="0"/>
              <w:autoSpaceDN w:val="0"/>
              <w:adjustRightInd w:val="0"/>
              <w:rPr>
                <w:color w:val="000000"/>
                <w:sz w:val="20"/>
              </w:rPr>
            </w:pPr>
            <w:r w:rsidRPr="004C70D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color w:val="000000"/>
                <w:sz w:val="20"/>
              </w:rPr>
            </w:pPr>
            <w:r w:rsidRPr="004C70D6">
              <w:rPr>
                <w:color w:val="000000"/>
                <w:sz w:val="20"/>
              </w:rPr>
              <w:t>32</w:t>
            </w:r>
          </w:p>
          <w:p w:rsidR="00256DAE" w:rsidRPr="004C70D6" w:rsidRDefault="00256DAE">
            <w:pPr>
              <w:autoSpaceDE w:val="0"/>
              <w:autoSpaceDN w:val="0"/>
              <w:adjustRightInd w:val="0"/>
              <w:rPr>
                <w:color w:val="000000"/>
                <w:sz w:val="20"/>
              </w:rPr>
            </w:pPr>
            <w:r w:rsidRPr="004C70D6">
              <w:rPr>
                <w:color w:val="000000"/>
                <w:sz w:val="20"/>
              </w:rPr>
              <w:t>1</w:t>
            </w:r>
          </w:p>
          <w:p w:rsidR="00256DAE" w:rsidRPr="004C70D6" w:rsidRDefault="00256DAE">
            <w:pPr>
              <w:autoSpaceDE w:val="0"/>
              <w:autoSpaceDN w:val="0"/>
              <w:adjustRightInd w:val="0"/>
              <w:rPr>
                <w:color w:val="000000"/>
                <w:sz w:val="20"/>
              </w:rPr>
            </w:pPr>
            <w:r w:rsidRPr="004C70D6">
              <w:rPr>
                <w:color w:val="000000"/>
                <w:sz w:val="20"/>
              </w:rPr>
              <w:t>2</w:t>
            </w:r>
          </w:p>
        </w:tc>
      </w:tr>
      <w:tr w:rsidR="00256DAE" w:rsidRPr="004C70D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b/>
                <w:bCs/>
                <w:color w:val="000000"/>
                <w:sz w:val="20"/>
              </w:rPr>
            </w:pPr>
            <w:r w:rsidRPr="004C70D6">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color w:val="000000"/>
                <w:sz w:val="20"/>
              </w:rPr>
            </w:pPr>
            <w:r w:rsidRPr="004C70D6">
              <w:rPr>
                <w:color w:val="000000"/>
                <w:sz w:val="20"/>
              </w:rPr>
              <w:t>Magdalena Adamowicz, Andris Ameriks, Izaskun Bilbao Barandica, Ciarán Cuffe, Karima Delli, Carlo Fidanza, Mario Furore, Isabel García Muñoz, Vlad Gheorghe, Elsi Katainen, Kateřina Konečná, Bogusław Liberadzki, Peter Lundgren, Elżbieta Katarzyna Łukacijewska, Marian-Jean Marinescu, Tilly Metz, Cláudia Monteiro de Aguiar, Caroline Nagtegaal, Philippe Olivier, Rovana Plumb, Tomasz Piotr Poręba, Bergur Løkke Rasmussen, Dominique Riquet, Thomas Rudner, Vera Tax, Achille Variati, Petar Vitanov, Elissavet Vozemberg-Vrionidi, Lucia Vuolo</w:t>
            </w:r>
          </w:p>
        </w:tc>
      </w:tr>
      <w:tr w:rsidR="00256DAE" w:rsidRPr="004C70D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b/>
                <w:bCs/>
                <w:color w:val="000000"/>
                <w:sz w:val="20"/>
              </w:rPr>
            </w:pPr>
            <w:r w:rsidRPr="004C70D6">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color w:val="000000"/>
                <w:sz w:val="20"/>
              </w:rPr>
            </w:pPr>
            <w:r w:rsidRPr="004C70D6">
              <w:rPr>
                <w:color w:val="000000"/>
                <w:sz w:val="20"/>
              </w:rPr>
              <w:t>Markus Ferber, Roman Haider, Pär Holmgren, Ljudmila Novak, Dorien Rookmaker</w:t>
            </w:r>
          </w:p>
        </w:tc>
      </w:tr>
      <w:tr w:rsidR="00256DAE" w:rsidRPr="004C70D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b/>
                <w:bCs/>
                <w:color w:val="000000"/>
                <w:sz w:val="20"/>
              </w:rPr>
            </w:pPr>
            <w:r w:rsidRPr="004C70D6">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6DAE" w:rsidRPr="004C70D6" w:rsidRDefault="00256DAE">
            <w:pPr>
              <w:autoSpaceDE w:val="0"/>
              <w:autoSpaceDN w:val="0"/>
              <w:adjustRightInd w:val="0"/>
              <w:rPr>
                <w:color w:val="000000"/>
                <w:sz w:val="20"/>
              </w:rPr>
            </w:pPr>
            <w:r w:rsidRPr="004C70D6">
              <w:rPr>
                <w:color w:val="000000"/>
                <w:sz w:val="20"/>
              </w:rPr>
              <w:t>Viola von Cramon-Taubadel</w:t>
            </w:r>
          </w:p>
        </w:tc>
      </w:tr>
    </w:tbl>
    <w:p w:rsidR="00256DAE" w:rsidRPr="004C70D6" w:rsidRDefault="00256DAE"/>
    <w:bookmarkEnd w:id="2"/>
    <w:p w:rsidR="00982CAD" w:rsidRPr="004C70D6" w:rsidRDefault="00982CAD" w:rsidP="00982CAD"/>
    <w:p w:rsidR="00982CAD" w:rsidRPr="004C70D6" w:rsidRDefault="00982CAD" w:rsidP="00982CAD">
      <w:pPr>
        <w:sectPr w:rsidR="00982CAD" w:rsidRPr="004C70D6" w:rsidSect="00A65F4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82CAD" w:rsidRPr="004C70D6" w:rsidRDefault="00982CAD" w:rsidP="00982CAD">
      <w:pPr>
        <w:pStyle w:val="PageHeadingNotTOC"/>
      </w:pPr>
      <w:bookmarkStart w:id="3" w:name="RollCallPageAD"/>
      <w:r w:rsidRPr="004C70D6">
        <w:t xml:space="preserve">GALUTINIS VARDINIS BALSAVIMAS NUOMONĘ TEIKIANČIAME KOMITETE </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2CAD" w:rsidRPr="004C70D6" w:rsidTr="00DA1E8B">
        <w:trPr>
          <w:cantSplit/>
        </w:trPr>
        <w:tc>
          <w:tcPr>
            <w:tcW w:w="1701" w:type="dxa"/>
            <w:shd w:val="pct10" w:color="000000" w:fill="FFFFFF"/>
            <w:vAlign w:val="center"/>
          </w:tcPr>
          <w:p w:rsidR="00982CAD" w:rsidRPr="004C70D6" w:rsidRDefault="00982CAD" w:rsidP="00DA1E8B">
            <w:pPr>
              <w:pStyle w:val="RollCallVotes"/>
            </w:pPr>
            <w:r w:rsidRPr="004C70D6">
              <w:t>32</w:t>
            </w:r>
          </w:p>
        </w:tc>
        <w:tc>
          <w:tcPr>
            <w:tcW w:w="7371" w:type="dxa"/>
            <w:shd w:val="pct10" w:color="000000" w:fill="FFFFFF"/>
          </w:tcPr>
          <w:p w:rsidR="00982CAD" w:rsidRPr="004C70D6" w:rsidRDefault="00982CAD" w:rsidP="00DA1E8B">
            <w:pPr>
              <w:pStyle w:val="RollCallSymbols14pt"/>
            </w:pPr>
            <w:r w:rsidRPr="004C70D6">
              <w:t>+</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ECR</w:t>
            </w:r>
          </w:p>
        </w:tc>
        <w:tc>
          <w:tcPr>
            <w:tcW w:w="7371" w:type="dxa"/>
            <w:shd w:val="clear" w:color="auto" w:fill="FFFFFF"/>
          </w:tcPr>
          <w:p w:rsidR="00982CAD" w:rsidRPr="004C70D6" w:rsidRDefault="00982CAD" w:rsidP="00DA1E8B">
            <w:pPr>
              <w:pStyle w:val="RollCallTable"/>
            </w:pPr>
            <w:r w:rsidRPr="004C70D6">
              <w:t>Carlo Fidanza, Peter Lundgren, Tomasz Piotr Poręba, Dorien Rookmaker</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NI</w:t>
            </w:r>
          </w:p>
        </w:tc>
        <w:tc>
          <w:tcPr>
            <w:tcW w:w="7371" w:type="dxa"/>
            <w:shd w:val="clear" w:color="auto" w:fill="FFFFFF"/>
          </w:tcPr>
          <w:p w:rsidR="00982CAD" w:rsidRPr="004C70D6" w:rsidRDefault="00982CAD" w:rsidP="00DA1E8B">
            <w:pPr>
              <w:pStyle w:val="RollCallTable"/>
            </w:pPr>
            <w:r w:rsidRPr="004C70D6">
              <w:t>Mario Furore</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PPE</w:t>
            </w:r>
          </w:p>
        </w:tc>
        <w:tc>
          <w:tcPr>
            <w:tcW w:w="7371" w:type="dxa"/>
            <w:shd w:val="clear" w:color="auto" w:fill="FFFFFF"/>
          </w:tcPr>
          <w:p w:rsidR="00982CAD" w:rsidRPr="004C70D6" w:rsidRDefault="00982CAD" w:rsidP="00DA1E8B">
            <w:pPr>
              <w:pStyle w:val="RollCallTable"/>
            </w:pPr>
            <w:r w:rsidRPr="004C70D6">
              <w:t>Magdalena Adamowicz, Markus Ferber, Elżbieta Katarzyna Łukacijewska, Marian-Jean Marinescu, Cláudia Monteiro de Aguiar, Ljudmila Novak, Elissavet Vozemberg-Vrionidi, Lucia Vuolo</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Renew</w:t>
            </w:r>
          </w:p>
        </w:tc>
        <w:tc>
          <w:tcPr>
            <w:tcW w:w="7371" w:type="dxa"/>
            <w:shd w:val="clear" w:color="auto" w:fill="FFFFFF"/>
          </w:tcPr>
          <w:p w:rsidR="00982CAD" w:rsidRPr="004C70D6" w:rsidRDefault="00982CAD" w:rsidP="00DA1E8B">
            <w:pPr>
              <w:pStyle w:val="RollCallTable"/>
            </w:pPr>
            <w:r w:rsidRPr="004C70D6">
              <w:t>Izaskun Bilbao Barandica, Vlad Gheorghe, Elsi Katainen, Caroline Nagtegaal, Bergur Løkke Rasmussen, Dominique Riquet</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S&amp;D</w:t>
            </w:r>
          </w:p>
        </w:tc>
        <w:tc>
          <w:tcPr>
            <w:tcW w:w="7371" w:type="dxa"/>
            <w:shd w:val="clear" w:color="auto" w:fill="FFFFFF"/>
          </w:tcPr>
          <w:p w:rsidR="00982CAD" w:rsidRPr="004C70D6" w:rsidRDefault="00982CAD" w:rsidP="00DA1E8B">
            <w:pPr>
              <w:pStyle w:val="RollCallTable"/>
            </w:pPr>
            <w:r w:rsidRPr="004C70D6">
              <w:t>Andris Ameriks, Isabel García Muñoz, Bogusław Liberadzki, Rovana Plumb, Thomas Rudner, Vera Tax, Achille Variati, Petar Vitanov</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Verts/ALE</w:t>
            </w:r>
          </w:p>
        </w:tc>
        <w:tc>
          <w:tcPr>
            <w:tcW w:w="7371" w:type="dxa"/>
            <w:shd w:val="clear" w:color="auto" w:fill="FFFFFF"/>
          </w:tcPr>
          <w:p w:rsidR="00982CAD" w:rsidRPr="004C70D6" w:rsidRDefault="00982CAD" w:rsidP="00DA1E8B">
            <w:pPr>
              <w:pStyle w:val="RollCallTable"/>
            </w:pPr>
            <w:r w:rsidRPr="004C70D6">
              <w:t>Ciarán Cuffe, Karima Delli, Pär Holmgren, Tilly Metz, Viola von Cramon-Taubadel</w:t>
            </w:r>
          </w:p>
        </w:tc>
      </w:tr>
    </w:tbl>
    <w:p w:rsidR="00982CAD" w:rsidRPr="004C70D6" w:rsidRDefault="00982CAD" w:rsidP="00982CA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2CAD" w:rsidRPr="004C70D6" w:rsidTr="00DA1E8B">
        <w:trPr>
          <w:cantSplit/>
        </w:trPr>
        <w:tc>
          <w:tcPr>
            <w:tcW w:w="1701" w:type="dxa"/>
            <w:shd w:val="pct10" w:color="000000" w:fill="FFFFFF"/>
            <w:vAlign w:val="center"/>
          </w:tcPr>
          <w:p w:rsidR="00982CAD" w:rsidRPr="004C70D6" w:rsidRDefault="00982CAD" w:rsidP="00DA1E8B">
            <w:pPr>
              <w:pStyle w:val="RollCallVotes"/>
            </w:pPr>
            <w:r w:rsidRPr="004C70D6">
              <w:t>1</w:t>
            </w:r>
          </w:p>
        </w:tc>
        <w:tc>
          <w:tcPr>
            <w:tcW w:w="7371" w:type="dxa"/>
            <w:shd w:val="pct10" w:color="000000" w:fill="FFFFFF"/>
          </w:tcPr>
          <w:p w:rsidR="00982CAD" w:rsidRPr="004C70D6" w:rsidRDefault="00982CAD" w:rsidP="00DA1E8B">
            <w:pPr>
              <w:pStyle w:val="RollCallSymbols14pt"/>
            </w:pPr>
            <w:r w:rsidRPr="004C70D6">
              <w:t>-</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The Left</w:t>
            </w:r>
          </w:p>
        </w:tc>
        <w:tc>
          <w:tcPr>
            <w:tcW w:w="7371" w:type="dxa"/>
            <w:shd w:val="clear" w:color="auto" w:fill="FFFFFF"/>
          </w:tcPr>
          <w:p w:rsidR="00982CAD" w:rsidRPr="004C70D6" w:rsidRDefault="00982CAD" w:rsidP="00DA1E8B">
            <w:pPr>
              <w:pStyle w:val="RollCallTable"/>
            </w:pPr>
            <w:r w:rsidRPr="004C70D6">
              <w:t>Kateřina Konečná</w:t>
            </w:r>
          </w:p>
        </w:tc>
      </w:tr>
    </w:tbl>
    <w:p w:rsidR="00982CAD" w:rsidRPr="004C70D6" w:rsidRDefault="00982CAD" w:rsidP="00982CA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2CAD" w:rsidRPr="004C70D6" w:rsidTr="00DA1E8B">
        <w:trPr>
          <w:cantSplit/>
        </w:trPr>
        <w:tc>
          <w:tcPr>
            <w:tcW w:w="1701" w:type="dxa"/>
            <w:shd w:val="pct10" w:color="000000" w:fill="FFFFFF"/>
            <w:vAlign w:val="center"/>
          </w:tcPr>
          <w:p w:rsidR="00982CAD" w:rsidRPr="004C70D6" w:rsidRDefault="00982CAD" w:rsidP="00DA1E8B">
            <w:pPr>
              <w:pStyle w:val="RollCallVotes"/>
            </w:pPr>
            <w:r w:rsidRPr="004C70D6">
              <w:t>2</w:t>
            </w:r>
          </w:p>
        </w:tc>
        <w:tc>
          <w:tcPr>
            <w:tcW w:w="7371" w:type="dxa"/>
            <w:shd w:val="pct10" w:color="000000" w:fill="FFFFFF"/>
          </w:tcPr>
          <w:p w:rsidR="00982CAD" w:rsidRPr="004C70D6" w:rsidRDefault="00982CAD" w:rsidP="00DA1E8B">
            <w:pPr>
              <w:pStyle w:val="RollCallSymbols14pt"/>
            </w:pPr>
            <w:r w:rsidRPr="004C70D6">
              <w:t>0</w:t>
            </w:r>
          </w:p>
        </w:tc>
      </w:tr>
      <w:tr w:rsidR="00982CAD" w:rsidRPr="004C70D6" w:rsidTr="00DA1E8B">
        <w:trPr>
          <w:cantSplit/>
        </w:trPr>
        <w:tc>
          <w:tcPr>
            <w:tcW w:w="1701" w:type="dxa"/>
            <w:shd w:val="clear" w:color="auto" w:fill="FFFFFF"/>
          </w:tcPr>
          <w:p w:rsidR="00982CAD" w:rsidRPr="004C70D6" w:rsidRDefault="00982CAD" w:rsidP="00DA1E8B">
            <w:pPr>
              <w:pStyle w:val="RollCallTable"/>
            </w:pPr>
            <w:r w:rsidRPr="004C70D6">
              <w:t>ID</w:t>
            </w:r>
          </w:p>
        </w:tc>
        <w:tc>
          <w:tcPr>
            <w:tcW w:w="7371" w:type="dxa"/>
            <w:shd w:val="clear" w:color="auto" w:fill="FFFFFF"/>
          </w:tcPr>
          <w:p w:rsidR="00982CAD" w:rsidRPr="004C70D6" w:rsidRDefault="00982CAD" w:rsidP="00DA1E8B">
            <w:pPr>
              <w:pStyle w:val="RollCallTable"/>
            </w:pPr>
            <w:r w:rsidRPr="004C70D6">
              <w:t>Roman Haider, Philippe Olivier</w:t>
            </w:r>
          </w:p>
        </w:tc>
      </w:tr>
    </w:tbl>
    <w:p w:rsidR="00982CAD" w:rsidRPr="004C70D6" w:rsidRDefault="00982CAD" w:rsidP="00982CAD">
      <w:pPr>
        <w:pStyle w:val="Normal12a"/>
      </w:pPr>
    </w:p>
    <w:p w:rsidR="00982CAD" w:rsidRPr="004C70D6" w:rsidRDefault="00982CAD" w:rsidP="00982CAD">
      <w:r w:rsidRPr="004C70D6">
        <w:t>Sutartiniai ženklai:</w:t>
      </w:r>
    </w:p>
    <w:p w:rsidR="00982CAD" w:rsidRPr="004C70D6" w:rsidRDefault="00982CAD" w:rsidP="00982CAD">
      <w:pPr>
        <w:pStyle w:val="RollCallTabs"/>
      </w:pPr>
      <w:r w:rsidRPr="004C70D6">
        <w:t>+</w:t>
      </w:r>
      <w:r w:rsidRPr="004C70D6">
        <w:tab/>
        <w:t>:</w:t>
      </w:r>
      <w:r w:rsidRPr="004C70D6">
        <w:tab/>
        <w:t>už</w:t>
      </w:r>
    </w:p>
    <w:p w:rsidR="00982CAD" w:rsidRPr="004C70D6" w:rsidRDefault="00982CAD" w:rsidP="00982CAD">
      <w:pPr>
        <w:pStyle w:val="RollCallTabs"/>
      </w:pPr>
      <w:r w:rsidRPr="004C70D6">
        <w:t>-</w:t>
      </w:r>
      <w:r w:rsidRPr="004C70D6">
        <w:tab/>
        <w:t>:</w:t>
      </w:r>
      <w:r w:rsidRPr="004C70D6">
        <w:tab/>
        <w:t>prieš</w:t>
      </w:r>
    </w:p>
    <w:p w:rsidR="00982CAD" w:rsidRPr="004C70D6" w:rsidRDefault="00982CAD" w:rsidP="00982CAD">
      <w:pPr>
        <w:pStyle w:val="RollCallTabs"/>
      </w:pPr>
      <w:r w:rsidRPr="004C70D6">
        <w:t>0</w:t>
      </w:r>
      <w:r w:rsidRPr="004C70D6">
        <w:tab/>
        <w:t>:</w:t>
      </w:r>
      <w:r w:rsidRPr="004C70D6">
        <w:tab/>
        <w:t>susilaikė</w:t>
      </w:r>
    </w:p>
    <w:p w:rsidR="00982CAD" w:rsidRPr="004C70D6" w:rsidRDefault="00982CAD" w:rsidP="00982CAD"/>
    <w:bookmarkEnd w:id="3"/>
    <w:p w:rsidR="00982CAD" w:rsidRPr="004C70D6" w:rsidRDefault="00982CAD" w:rsidP="00982CAD"/>
    <w:p w:rsidR="002E6F98" w:rsidRPr="004C70D6" w:rsidRDefault="002E6F98" w:rsidP="00256DAE"/>
    <w:sectPr w:rsidR="002E6F98" w:rsidRPr="004C70D6" w:rsidSect="004C70D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308" w:rsidRPr="004C70D6" w:rsidRDefault="00BF3308">
      <w:r w:rsidRPr="004C70D6">
        <w:separator/>
      </w:r>
    </w:p>
  </w:endnote>
  <w:endnote w:type="continuationSeparator" w:id="0">
    <w:p w:rsidR="00BF3308" w:rsidRPr="004C70D6" w:rsidRDefault="00BF3308">
      <w:r w:rsidRPr="004C7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0D6" w:rsidRPr="004C70D6" w:rsidRDefault="004C70D6" w:rsidP="004C70D6">
    <w:pPr>
      <w:pStyle w:val="EPFooter"/>
    </w:pPr>
    <w:r w:rsidRPr="004C70D6">
      <w:t>PE</w:t>
    </w:r>
    <w:r w:rsidRPr="004C70D6">
      <w:rPr>
        <w:rStyle w:val="HideTWBExt"/>
      </w:rPr>
      <w:t>&lt;NoPE&gt;</w:t>
    </w:r>
    <w:r w:rsidRPr="004C70D6">
      <w:t>753.750</w:t>
    </w:r>
    <w:r w:rsidRPr="004C70D6">
      <w:rPr>
        <w:rStyle w:val="HideTWBExt"/>
      </w:rPr>
      <w:t>&lt;/NoPE&gt;&lt;Version&gt;</w:t>
    </w:r>
    <w:r w:rsidRPr="004C70D6">
      <w:t>v02-00</w:t>
    </w:r>
    <w:r w:rsidRPr="004C70D6">
      <w:rPr>
        <w:rStyle w:val="HideTWBExt"/>
      </w:rPr>
      <w:t>&lt;/Version&gt;</w:t>
    </w:r>
    <w:r w:rsidRPr="004C70D6">
      <w:tab/>
    </w:r>
    <w:r w:rsidRPr="004C70D6">
      <w:fldChar w:fldCharType="begin"/>
    </w:r>
    <w:r w:rsidRPr="004C70D6">
      <w:instrText xml:space="preserve"> PAGE  \* MERGEFORMAT </w:instrText>
    </w:r>
    <w:r w:rsidRPr="004C70D6">
      <w:fldChar w:fldCharType="separate"/>
    </w:r>
    <w:r w:rsidR="0058213D">
      <w:rPr>
        <w:noProof/>
      </w:rPr>
      <w:t>6</w:t>
    </w:r>
    <w:r w:rsidRPr="004C70D6">
      <w:fldChar w:fldCharType="end"/>
    </w:r>
    <w:r w:rsidRPr="004C70D6">
      <w:t>/</w:t>
    </w:r>
    <w:fldSimple w:instr=" NUMPAGES  \* MERGEFORMAT ">
      <w:r w:rsidR="0058213D">
        <w:rPr>
          <w:noProof/>
        </w:rPr>
        <w:t>8</w:t>
      </w:r>
    </w:fldSimple>
    <w:r w:rsidRPr="004C70D6">
      <w:tab/>
    </w:r>
    <w:r w:rsidRPr="004C70D6">
      <w:rPr>
        <w:rStyle w:val="HideTWBExt"/>
      </w:rPr>
      <w:t>&lt;PathFdR&gt;</w:t>
    </w:r>
    <w:r w:rsidRPr="004C70D6">
      <w:t>AD\1293950LT.docx</w:t>
    </w:r>
    <w:r w:rsidRPr="004C70D6">
      <w:rPr>
        <w:rStyle w:val="HideTWBExt"/>
      </w:rPr>
      <w:t>&lt;/PathFdR&gt;</w:t>
    </w:r>
  </w:p>
  <w:p w:rsidR="00982CAD" w:rsidRPr="004C70D6" w:rsidRDefault="004C70D6" w:rsidP="004C70D6">
    <w:pPr>
      <w:pStyle w:val="EPFooter2"/>
    </w:pPr>
    <w:r w:rsidRPr="004C70D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0D6" w:rsidRPr="004C70D6" w:rsidRDefault="004C70D6" w:rsidP="004C70D6">
    <w:pPr>
      <w:pStyle w:val="EPFooter"/>
    </w:pPr>
    <w:r w:rsidRPr="004C70D6">
      <w:rPr>
        <w:rStyle w:val="HideTWBExt"/>
      </w:rPr>
      <w:t>&lt;PathFdR&gt;</w:t>
    </w:r>
    <w:r w:rsidRPr="004C70D6">
      <w:t>AD\1293950LT.docx</w:t>
    </w:r>
    <w:r w:rsidRPr="004C70D6">
      <w:rPr>
        <w:rStyle w:val="HideTWBExt"/>
      </w:rPr>
      <w:t>&lt;/PathFdR&gt;</w:t>
    </w:r>
    <w:r w:rsidRPr="004C70D6">
      <w:tab/>
    </w:r>
    <w:r w:rsidRPr="004C70D6">
      <w:fldChar w:fldCharType="begin"/>
    </w:r>
    <w:r w:rsidRPr="004C70D6">
      <w:instrText xml:space="preserve"> PAGE  \* MERGEFORMAT </w:instrText>
    </w:r>
    <w:r w:rsidRPr="004C70D6">
      <w:fldChar w:fldCharType="separate"/>
    </w:r>
    <w:r w:rsidR="0058213D">
      <w:rPr>
        <w:noProof/>
      </w:rPr>
      <w:t>7</w:t>
    </w:r>
    <w:r w:rsidRPr="004C70D6">
      <w:fldChar w:fldCharType="end"/>
    </w:r>
    <w:r w:rsidRPr="004C70D6">
      <w:t>/</w:t>
    </w:r>
    <w:fldSimple w:instr=" NUMPAGES  \* MERGEFORMAT ">
      <w:r w:rsidR="0058213D">
        <w:rPr>
          <w:noProof/>
        </w:rPr>
        <w:t>8</w:t>
      </w:r>
    </w:fldSimple>
    <w:r w:rsidRPr="004C70D6">
      <w:tab/>
      <w:t>PE</w:t>
    </w:r>
    <w:r w:rsidRPr="004C70D6">
      <w:rPr>
        <w:rStyle w:val="HideTWBExt"/>
      </w:rPr>
      <w:t>&lt;NoPE&gt;</w:t>
    </w:r>
    <w:r w:rsidRPr="004C70D6">
      <w:t>753.750</w:t>
    </w:r>
    <w:r w:rsidRPr="004C70D6">
      <w:rPr>
        <w:rStyle w:val="HideTWBExt"/>
      </w:rPr>
      <w:t>&lt;/NoPE&gt;&lt;Version&gt;</w:t>
    </w:r>
    <w:r w:rsidRPr="004C70D6">
      <w:t>v02-00</w:t>
    </w:r>
    <w:r w:rsidRPr="004C70D6">
      <w:rPr>
        <w:rStyle w:val="HideTWBExt"/>
      </w:rPr>
      <w:t>&lt;/Version&gt;</w:t>
    </w:r>
  </w:p>
  <w:p w:rsidR="00982CAD" w:rsidRPr="004C70D6" w:rsidRDefault="004C70D6" w:rsidP="004C70D6">
    <w:pPr>
      <w:pStyle w:val="EPFooter2"/>
    </w:pPr>
    <w:r w:rsidRPr="004C70D6">
      <w:tab/>
    </w:r>
    <w:r w:rsidRPr="004C70D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0D6" w:rsidRPr="004C70D6" w:rsidRDefault="004C70D6" w:rsidP="004C70D6">
    <w:pPr>
      <w:pStyle w:val="EPFooter"/>
    </w:pPr>
    <w:r w:rsidRPr="004C70D6">
      <w:rPr>
        <w:rStyle w:val="HideTWBExt"/>
      </w:rPr>
      <w:t>&lt;PathFdR&gt;</w:t>
    </w:r>
    <w:r w:rsidRPr="004C70D6">
      <w:t>AD\1293950LT.docx</w:t>
    </w:r>
    <w:r w:rsidRPr="004C70D6">
      <w:rPr>
        <w:rStyle w:val="HideTWBExt"/>
      </w:rPr>
      <w:t>&lt;/PathFdR&gt;</w:t>
    </w:r>
    <w:r w:rsidRPr="004C70D6">
      <w:tab/>
    </w:r>
    <w:r w:rsidRPr="004C70D6">
      <w:tab/>
      <w:t>PE</w:t>
    </w:r>
    <w:r w:rsidRPr="004C70D6">
      <w:rPr>
        <w:rStyle w:val="HideTWBExt"/>
      </w:rPr>
      <w:t>&lt;NoPE&gt;</w:t>
    </w:r>
    <w:r w:rsidRPr="004C70D6">
      <w:t>753.750</w:t>
    </w:r>
    <w:r w:rsidRPr="004C70D6">
      <w:rPr>
        <w:rStyle w:val="HideTWBExt"/>
      </w:rPr>
      <w:t>&lt;/NoPE&gt;&lt;Version&gt;</w:t>
    </w:r>
    <w:r w:rsidRPr="004C70D6">
      <w:t>v02-00</w:t>
    </w:r>
    <w:r w:rsidRPr="004C70D6">
      <w:rPr>
        <w:rStyle w:val="HideTWBExt"/>
      </w:rPr>
      <w:t>&lt;/Version&gt;</w:t>
    </w:r>
  </w:p>
  <w:p w:rsidR="00982CAD" w:rsidRPr="004C70D6" w:rsidRDefault="004C70D6" w:rsidP="004C70D6">
    <w:pPr>
      <w:pStyle w:val="EPFooter2"/>
    </w:pPr>
    <w:r w:rsidRPr="004C70D6">
      <w:t>LT</w:t>
    </w:r>
    <w:r w:rsidRPr="004C70D6">
      <w:tab/>
    </w:r>
    <w:r w:rsidRPr="004C70D6">
      <w:rPr>
        <w:b w:val="0"/>
        <w:i/>
        <w:color w:val="C0C0C0"/>
        <w:sz w:val="22"/>
      </w:rPr>
      <w:t>Suvienijusi įvairovę</w:t>
    </w:r>
    <w:r w:rsidRPr="004C70D6">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DAE" w:rsidRPr="004C70D6" w:rsidRDefault="00256DAE" w:rsidP="00256DAE">
    <w:pPr>
      <w:pStyle w:val="EPFooter"/>
    </w:pPr>
    <w:r w:rsidRPr="004C70D6">
      <w:rPr>
        <w:rStyle w:val="HideTWBExt"/>
      </w:rPr>
      <w:t>&lt;PathFdR&gt;</w:t>
    </w:r>
    <w:r w:rsidRPr="004C70D6">
      <w:t>AD\1293950LT.docx</w:t>
    </w:r>
    <w:r w:rsidRPr="004C70D6">
      <w:rPr>
        <w:rStyle w:val="HideTWBExt"/>
      </w:rPr>
      <w:t>&lt;/PathFdR&gt;</w:t>
    </w:r>
    <w:r w:rsidRPr="004C70D6">
      <w:tab/>
    </w:r>
    <w:r w:rsidRPr="004C70D6">
      <w:tab/>
      <w:t>PE</w:t>
    </w:r>
    <w:r w:rsidRPr="004C70D6">
      <w:rPr>
        <w:rStyle w:val="HideTWBExt"/>
      </w:rPr>
      <w:t>&lt;NoPE&gt;</w:t>
    </w:r>
    <w:r w:rsidRPr="004C70D6">
      <w:t>753.750</w:t>
    </w:r>
    <w:r w:rsidRPr="004C70D6">
      <w:rPr>
        <w:rStyle w:val="HideTWBExt"/>
      </w:rPr>
      <w:t>&lt;/NoPE&gt;&lt;Version&gt;</w:t>
    </w:r>
    <w:r w:rsidRPr="004C70D6">
      <w:t>v02-00</w:t>
    </w:r>
    <w:r w:rsidRPr="004C70D6">
      <w:rPr>
        <w:rStyle w:val="HideTWBExt"/>
      </w:rPr>
      <w:t>&lt;/Version&gt;</w:t>
    </w:r>
  </w:p>
  <w:p w:rsidR="002E2F2E" w:rsidRPr="004C70D6" w:rsidRDefault="00256DAE" w:rsidP="00256DAE">
    <w:pPr>
      <w:pStyle w:val="EPFooter2"/>
    </w:pPr>
    <w:r w:rsidRPr="004C70D6">
      <w:t>LT</w:t>
    </w:r>
    <w:r w:rsidRPr="004C70D6">
      <w:tab/>
    </w:r>
    <w:r w:rsidRPr="004C70D6">
      <w:rPr>
        <w:b w:val="0"/>
        <w:i/>
        <w:color w:val="C0C0C0"/>
        <w:sz w:val="22"/>
      </w:rPr>
      <w:t>Suvienijusi įvairovę</w:t>
    </w:r>
    <w:r w:rsidRPr="004C70D6">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308" w:rsidRPr="004C70D6" w:rsidRDefault="00BF3308">
      <w:r w:rsidRPr="004C70D6">
        <w:separator/>
      </w:r>
    </w:p>
  </w:footnote>
  <w:footnote w:type="continuationSeparator" w:id="0">
    <w:p w:rsidR="00BF3308" w:rsidRPr="004C70D6" w:rsidRDefault="00BF3308">
      <w:r w:rsidRPr="004C70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13D" w:rsidRDefault="00582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13D" w:rsidRDefault="005821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13D" w:rsidRDefault="005821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AA" w:rsidRDefault="00B757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AA" w:rsidRDefault="00B757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7AA" w:rsidRDefault="00B75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TRAN"/>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189153 HideTWBInt;}{_x000d__x000a_\s18\ql \fi-567\li567\ri0\sa240\nowidctlpar\wrapdefault\aspalpha\aspnum\faauto\adjustright\rin0\lin567\itap0 \rtlch\fcs1 \af0\afs20\alang1025 \ltrch\fcs0 \fs24\lang1063\langfe2057\cgrid\langnp1063\langfenp2057 _x000d__x000a_\sbasedon0 \snext18 \spriority0 \styrsid2189153 NormalHanging12a;}}{\*\rsidtbl \rsid24658\rsid223860\rsid735077\rsid1718133\rsid2189153\rsid2892074\rsid3565327\rsid4666813\rsid6641733\rsid7823322\rsid9636012\rsid10377208\rsid11215221\rsid11549030_x000d__x000a_\rsid12154954\rsid14162126\rsid14382809\rsid14424199\rsid15204470\rsid15285974\rsid15950462\rsid16324206\rsid16662270}{\mmathPr\mmathFont34\mbrkBin0\mbrkBinSub0\msmallFrac0\mdispDef1\mlMargin0\mrMargin0\mdefJc1\mwrapIndent1440\mintLim0\mnaryLim1}{\info_x000d__x000a_{\author MATHERS Margarita}{\operator MATHERS Margarita}{\creatim\yr2024\mo2\dy2\hr15\min49}{\revtim\yr2024\mo2\dy2\hr15\min49}{\version1}{\edmins0}{\nofpages1}{\nofwords2}{\nofchars18}{\nofcharsws19}{\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89153\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14162126 \chftnsep _x000d__x000a_\par }}{\*\ftnsepc \ltrpar \pard\plain \ltrpar\ql \li0\ri0\widctlpar\wrapdefault\aspalpha\aspnum\faauto\adjustright\rin0\lin0\itap0 \rtlch\fcs1 \af0\afs20\alang1025 \ltrch\fcs0 \fs24\lang2057\langfe2057\cgrid\langnp2057\langfenp2057 {\rtlch\fcs1 \af0 _x000d__x000a_\ltrch\fcs0 \insrsid14162126 \chftnsepc _x000d__x000a_\par }}{\*\aftnsep \ltrpar \pard\plain \ltrpar\ql \li0\ri0\widctlpar\wrapdefault\aspalpha\aspnum\faauto\adjustright\rin0\lin0\itap0 \rtlch\fcs1 \af0\afs20\alang1025 \ltrch\fcs0 \fs24\lang2057\langfe2057\cgrid\langnp2057\langfenp2057 {\rtlch\fcs1 \af0 _x000d__x000a_\ltrch\fcs0 \insrsid14162126 \chftnsep _x000d__x000a_\par }}{\*\aftnsepc \ltrpar \pard\plain \ltrpar\ql \li0\ri0\widctlpar\wrapdefault\aspalpha\aspnum\faauto\adjustright\rin0\lin0\itap0 \rtlch\fcs1 \af0\afs20\alang1025 \ltrch\fcs0 \fs24\lang2057\langfe2057\cgrid\langnp2057\langfenp2057 {\rtlch\fcs1 \af0 _x000d__x000a_\ltrch\fcs0 \insrsid141621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189153 \rtlch\fcs1 \af0\afs20\alang1025 \ltrch\fcs0 \fs24\lang1063\langfe2057\cgrid\langnp1063\langfenp2057 {\rtlch\fcs1 \af0 _x000d__x000a_\ltrch\fcs0 \insrsid2189153\charrsid11679887 {\*\bkmkstart restart}#}{\rtlch\fcs1 \af1 \ltrch\fcs0 \cs17\v\f1\fs20\cf15\insrsid2189153\charrsid11679887 NRMSG}{\rtlch\fcs1 \af0 \ltrch\fcs0 \insrsid2189153\charrsid11679887 #.\tab #}{\rtlch\fcs1 \af1 _x000d__x000a_\ltrch\fcs0 \cs17\v\f1\fs20\cf15\insrsid2189153\charrsid11679887 Tekstas}{\rtlch\fcs1 \af0 \ltrch\fcs0 \insrsid2189153\charrsid11679887 #}{\rtlch\fcs1 \af0 \ltrch\fcs0 \insrsid218915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1_x000d__x000a_2c01e7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817010 NormalHanging12a;}}{\*\rsidtbl \rsid24658\rsid223860\rsid735077\rsid1718133\rsid2892074\rsid3565327\rsid4666813\rsid6641733\rsid7817010\rsid7823322_x000d__x000a_\rsid9636012\rsid10377208\rsid11215221\rsid11549030\rsid12154954\rsid12651779\rsid14382809\rsid14424199\rsid15204470\rsid15285974\rsid15950462\rsid16324206\rsid16662270}{\mmathPr\mmathFont34\mbrkBin0\mbrkBinSub0\msmallFrac0\mdispDef1\mlMargin0\mrMargin0_x000d__x000a_\mdefJc1\mwrapIndent1440\mintLim0\mnaryLim1}{\info{\author MATHERS Margarita}{\operator MATHERS Margarita}{\creatim\yr2024\mo2\dy2\hr15\min49}{\revtim\yr2024\mo2\dy2\hr15\min49}{\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010\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12651779 \chftnsep _x000d__x000a_\par }}{\*\ftnsepc \ltrpar \pard\plain \ltrpar\ql \li0\ri0\widctlpar\wrapdefault\aspalpha\aspnum\faauto\adjustright\rin0\lin0\itap0 \rtlch\fcs1 \af0\afs20\alang1025 \ltrch\fcs0 \fs24\lang2057\langfe2057\cgrid\langnp2057\langfenp2057 {\rtlch\fcs1 \af0 _x000d__x000a_\ltrch\fcs0 \insrsid12651779 \chftnsepc _x000d__x000a_\par }}{\*\aftnsep \ltrpar \pard\plain \ltrpar\ql \li0\ri0\widctlpar\wrapdefault\aspalpha\aspnum\faauto\adjustright\rin0\lin0\itap0 \rtlch\fcs1 \af0\afs20\alang1025 \ltrch\fcs0 \fs24\lang2057\langfe2057\cgrid\langnp2057\langfenp2057 {\rtlch\fcs1 \af0 _x000d__x000a_\ltrch\fcs0 \insrsid12651779 \chftnsep _x000d__x000a_\par }}{\*\aftnsepc \ltrpar \pard\plain \ltrpar\ql \li0\ri0\widctlpar\wrapdefault\aspalpha\aspnum\faauto\adjustright\rin0\lin0\itap0 \rtlch\fcs1 \af0\afs20\alang1025 \ltrch\fcs0 \fs24\lang2057\langfe2057\cgrid\langnp2057\langfenp2057 {\rtlch\fcs1 \af0 _x000d__x000a_\ltrch\fcs0 \insrsid126517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817010 \rtlch\fcs1 \af0\afs20\alang1025 \ltrch\fcs0 \fs24\lang2057\langfe2057\cgrid\langnp2057\langfenp2057 {\rtlch\fcs1 \af0 _x000d__x000a_\ltrch\fcs0 \insrsid7817010\charrsid1525456 {\*\bkmkstart restart}[ZSUGGESTIONNR]\tab [ZSUGGESTIONTEXT]}{\rtlch\fcs1 \af0 \ltrch\fcs0 \insrsid781701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8_x000d__x000a_c103e7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3"/>
    <w:docVar w:name="TXTLANGUE" w:val="LT"/>
    <w:docVar w:name="TXTLANGUEMIN" w:val="lt"/>
    <w:docVar w:name="TXTNRPE" w:val="753.750"/>
    <w:docVar w:name="TXTNRPROC" w:val="2023/2158"/>
    <w:docVar w:name="TXTPEorAP" w:val="PE"/>
    <w:docVar w:name="TXTROUTE" w:val="AD\1293950LT.docx"/>
    <w:docVar w:name="TXTVERSION" w:val="02-00"/>
  </w:docVars>
  <w:rsids>
    <w:rsidRoot w:val="00BF3308"/>
    <w:rsid w:val="000E7EBF"/>
    <w:rsid w:val="00124F60"/>
    <w:rsid w:val="00135121"/>
    <w:rsid w:val="00140BE6"/>
    <w:rsid w:val="00147F4E"/>
    <w:rsid w:val="0016635E"/>
    <w:rsid w:val="001746D0"/>
    <w:rsid w:val="001B7393"/>
    <w:rsid w:val="001D2ED9"/>
    <w:rsid w:val="001F21C1"/>
    <w:rsid w:val="00243808"/>
    <w:rsid w:val="00256DAE"/>
    <w:rsid w:val="002D28A7"/>
    <w:rsid w:val="002E2F2E"/>
    <w:rsid w:val="002E6F98"/>
    <w:rsid w:val="00325BCB"/>
    <w:rsid w:val="00331944"/>
    <w:rsid w:val="00332AD9"/>
    <w:rsid w:val="00347D2C"/>
    <w:rsid w:val="0037356F"/>
    <w:rsid w:val="00390EB2"/>
    <w:rsid w:val="00396A0E"/>
    <w:rsid w:val="003E2402"/>
    <w:rsid w:val="004C28FB"/>
    <w:rsid w:val="004C44C0"/>
    <w:rsid w:val="004C70D6"/>
    <w:rsid w:val="0052544E"/>
    <w:rsid w:val="0058213D"/>
    <w:rsid w:val="005940C3"/>
    <w:rsid w:val="00594C48"/>
    <w:rsid w:val="005B2F11"/>
    <w:rsid w:val="005C0BDF"/>
    <w:rsid w:val="005D60C6"/>
    <w:rsid w:val="006102E7"/>
    <w:rsid w:val="00640C1B"/>
    <w:rsid w:val="00657AFB"/>
    <w:rsid w:val="006D5BF7"/>
    <w:rsid w:val="008141C3"/>
    <w:rsid w:val="008313E7"/>
    <w:rsid w:val="00854CAC"/>
    <w:rsid w:val="008A32C5"/>
    <w:rsid w:val="008C6203"/>
    <w:rsid w:val="008D61E7"/>
    <w:rsid w:val="008F7002"/>
    <w:rsid w:val="00982CAD"/>
    <w:rsid w:val="0099493F"/>
    <w:rsid w:val="00A16BEA"/>
    <w:rsid w:val="00A312B3"/>
    <w:rsid w:val="00A72C35"/>
    <w:rsid w:val="00AE180F"/>
    <w:rsid w:val="00B362F7"/>
    <w:rsid w:val="00B5456B"/>
    <w:rsid w:val="00B74B53"/>
    <w:rsid w:val="00B757AA"/>
    <w:rsid w:val="00BC26E4"/>
    <w:rsid w:val="00BD1EAA"/>
    <w:rsid w:val="00BF3308"/>
    <w:rsid w:val="00C52739"/>
    <w:rsid w:val="00C827FF"/>
    <w:rsid w:val="00CD34AC"/>
    <w:rsid w:val="00CF001B"/>
    <w:rsid w:val="00DE19FF"/>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37302AA"/>
  <w15:chartTrackingRefBased/>
  <w15:docId w15:val="{95BBDB57-5FBD-49F2-8527-B843750A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B757AA"/>
    <w:pPr>
      <w:tabs>
        <w:tab w:val="center" w:pos="4513"/>
        <w:tab w:val="right" w:pos="9026"/>
      </w:tabs>
    </w:pPr>
  </w:style>
  <w:style w:type="character" w:customStyle="1" w:styleId="FooterChar">
    <w:name w:val="Footer Char"/>
    <w:basedOn w:val="DefaultParagraphFont"/>
    <w:link w:val="Footer"/>
    <w:semiHidden/>
    <w:rsid w:val="00B757AA"/>
    <w:rPr>
      <w:sz w:val="24"/>
      <w:lang w:val="lt-LT"/>
    </w:rPr>
  </w:style>
  <w:style w:type="paragraph" w:customStyle="1" w:styleId="Normal24a">
    <w:name w:val="Normal24a"/>
    <w:basedOn w:val="Normal"/>
    <w:rsid w:val="00982CAD"/>
    <w:pPr>
      <w:spacing w:after="480"/>
    </w:pPr>
  </w:style>
  <w:style w:type="character" w:customStyle="1" w:styleId="NormalHanging12aChar">
    <w:name w:val="NormalHanging12a Char"/>
    <w:basedOn w:val="DefaultParagraphFont"/>
    <w:link w:val="NormalHanging12a"/>
    <w:rsid w:val="00982CAD"/>
    <w:rPr>
      <w:sz w:val="24"/>
    </w:rPr>
  </w:style>
  <w:style w:type="paragraph" w:customStyle="1" w:styleId="RollCallSymbols14pt">
    <w:name w:val="RollCallSymbols14pt"/>
    <w:basedOn w:val="Normal"/>
    <w:rsid w:val="00982CA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82CAD"/>
    <w:pPr>
      <w:tabs>
        <w:tab w:val="center" w:pos="284"/>
        <w:tab w:val="left" w:pos="426"/>
      </w:tabs>
    </w:pPr>
    <w:rPr>
      <w:snapToGrid w:val="0"/>
      <w:lang w:eastAsia="en-US"/>
    </w:rPr>
  </w:style>
  <w:style w:type="paragraph" w:customStyle="1" w:styleId="RollCallVotes">
    <w:name w:val="RollCallVotes"/>
    <w:basedOn w:val="Normal"/>
    <w:rsid w:val="00982CAD"/>
    <w:pPr>
      <w:spacing w:before="120" w:after="120"/>
      <w:jc w:val="center"/>
    </w:pPr>
    <w:rPr>
      <w:b/>
      <w:bCs/>
      <w:snapToGrid w:val="0"/>
      <w:sz w:val="16"/>
      <w:lang w:eastAsia="en-US"/>
    </w:rPr>
  </w:style>
  <w:style w:type="paragraph" w:customStyle="1" w:styleId="RollCallTable">
    <w:name w:val="RollCallTable"/>
    <w:basedOn w:val="Normal"/>
    <w:rsid w:val="00982CA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1087</Words>
  <Characters>7341</Characters>
  <Application>Microsoft Office Word</Application>
  <DocSecurity>0</DocSecurity>
  <Lines>179</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2024-02-08T14:28:00Z</dcterms:created>
  <dcterms:modified xsi:type="dcterms:W3CDTF">2024-02-08T14:28:00Z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1293950</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\\eiciLUXpr1\pdocep$\DocEP\TRANSFIL\LT\PA_NonLeg.LT(18/09/2023 10:08:02)</vt:lpwstr>
  </property>
  <property fmtid="{D5CDD505-2E9C-101B-9397-08002B2CF9AE}" pid="9" name="&lt;Model&gt;">
    <vt:lpwstr>PA_NonLeg</vt:lpwstr>
  </property>
  <property fmtid="{D5CDD505-2E9C-101B-9397-08002B2CF9AE}" pid="10" name="FooterPath">
    <vt:lpwstr>AD\1293950LT.docx</vt:lpwstr>
  </property>
  <property fmtid="{D5CDD505-2E9C-101B-9397-08002B2CF9AE}" pid="11" name="PE number">
    <vt:lpwstr>753.750</vt:lpwstr>
  </property>
  <property fmtid="{D5CDD505-2E9C-101B-9397-08002B2CF9AE}" pid="12" name="Bookout">
    <vt:lpwstr>OK - 2024/02/08 15:28</vt:lpwstr>
  </property>
  <property fmtid="{D5CDD505-2E9C-101B-9397-08002B2CF9AE}" pid="13" name="SDLStudio">
    <vt:lpwstr/>
  </property>
</Properties>
</file>