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4080C" w:rsidRPr="00741A4F" w14:paraId="43D2F0CF" w14:textId="77777777" w:rsidTr="00C85D0F">
        <w:trPr>
          <w:trHeight w:hRule="exact" w:val="1418"/>
        </w:trPr>
        <w:tc>
          <w:tcPr>
            <w:tcW w:w="6804" w:type="dxa"/>
            <w:shd w:val="clear" w:color="auto" w:fill="auto"/>
            <w:vAlign w:val="center"/>
          </w:tcPr>
          <w:p w14:paraId="0ABF7034" w14:textId="77777777" w:rsidR="00310DF8" w:rsidRPr="00741A4F" w:rsidRDefault="00ED0547" w:rsidP="00C85D0F">
            <w:pPr>
              <w:pStyle w:val="EPName"/>
            </w:pPr>
            <w:r w:rsidRPr="00741A4F">
              <w:t>Parlamentul European</w:t>
            </w:r>
          </w:p>
          <w:p w14:paraId="6D403EC6" w14:textId="77777777" w:rsidR="00310DF8" w:rsidRPr="00741A4F" w:rsidRDefault="00ED0547" w:rsidP="00C85D0F">
            <w:pPr>
              <w:pStyle w:val="EPTerm"/>
            </w:pPr>
            <w:r w:rsidRPr="00741A4F">
              <w:t>2024-2029</w:t>
            </w:r>
          </w:p>
        </w:tc>
        <w:tc>
          <w:tcPr>
            <w:tcW w:w="2268" w:type="dxa"/>
            <w:shd w:val="clear" w:color="auto" w:fill="auto"/>
          </w:tcPr>
          <w:p w14:paraId="54B5217F" w14:textId="77777777" w:rsidR="00310DF8" w:rsidRPr="00741A4F" w:rsidRDefault="00ED0547" w:rsidP="00C85D0F">
            <w:pPr>
              <w:pStyle w:val="EPLogo"/>
            </w:pPr>
            <w:r w:rsidRPr="00741A4F">
              <w:rPr>
                <w:noProof/>
              </w:rPr>
              <w:drawing>
                <wp:inline distT="0" distB="0" distL="0" distR="0" wp14:anchorId="784EE793" wp14:editId="0616DF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E6D0FB7" w14:textId="77777777" w:rsidR="00000C7D" w:rsidRPr="00741A4F" w:rsidRDefault="00000C7D" w:rsidP="00000C7D">
      <w:pPr>
        <w:pStyle w:val="LineTop"/>
      </w:pPr>
    </w:p>
    <w:p w14:paraId="0900A325" w14:textId="77777777" w:rsidR="00000C7D" w:rsidRPr="00741A4F" w:rsidRDefault="00ED0547" w:rsidP="00000C7D">
      <w:pPr>
        <w:pStyle w:val="EPBody"/>
      </w:pPr>
      <w:r w:rsidRPr="00741A4F">
        <w:rPr>
          <w:rStyle w:val="HideTWBExt"/>
        </w:rPr>
        <w:t>&lt;</w:t>
      </w:r>
      <w:r w:rsidRPr="00741A4F">
        <w:rPr>
          <w:rStyle w:val="HideTWBExt"/>
          <w:i w:val="0"/>
        </w:rPr>
        <w:t>Commission</w:t>
      </w:r>
      <w:r w:rsidRPr="00741A4F">
        <w:rPr>
          <w:rStyle w:val="HideTWBExt"/>
        </w:rPr>
        <w:t>&gt;</w:t>
      </w:r>
      <w:r w:rsidRPr="00741A4F">
        <w:rPr>
          <w:rStyle w:val="HideTWBInt"/>
          <w:color w:val="auto"/>
        </w:rPr>
        <w:t>{AFET}</w:t>
      </w:r>
      <w:r w:rsidRPr="00741A4F">
        <w:t>Comisia pentru afaceri externe</w:t>
      </w:r>
      <w:r w:rsidRPr="00741A4F">
        <w:rPr>
          <w:rStyle w:val="HideTWBExt"/>
        </w:rPr>
        <w:t>&lt;/</w:t>
      </w:r>
      <w:r w:rsidRPr="00741A4F">
        <w:rPr>
          <w:rStyle w:val="HideTWBExt"/>
          <w:i w:val="0"/>
        </w:rPr>
        <w:t>Commission</w:t>
      </w:r>
      <w:r w:rsidRPr="00741A4F">
        <w:rPr>
          <w:rStyle w:val="HideTWBExt"/>
        </w:rPr>
        <w:t>&gt;</w:t>
      </w:r>
    </w:p>
    <w:p w14:paraId="787F76BD" w14:textId="77777777" w:rsidR="00000C7D" w:rsidRPr="00741A4F" w:rsidRDefault="00ED0547" w:rsidP="00000C7D">
      <w:pPr>
        <w:pStyle w:val="EPBody"/>
      </w:pPr>
      <w:r w:rsidRPr="00741A4F">
        <w:t>Președintele</w:t>
      </w:r>
    </w:p>
    <w:p w14:paraId="4CFB289F" w14:textId="77777777" w:rsidR="00000C7D" w:rsidRPr="00741A4F" w:rsidRDefault="00000C7D" w:rsidP="00000C7D">
      <w:pPr>
        <w:pStyle w:val="LineBottom"/>
      </w:pPr>
    </w:p>
    <w:p w14:paraId="5A522E42" w14:textId="77777777" w:rsidR="00E71F4C" w:rsidRPr="00741A4F" w:rsidRDefault="00ED0547" w:rsidP="007C3F41">
      <w:pPr>
        <w:pStyle w:val="LetterDate"/>
      </w:pPr>
      <w:r w:rsidRPr="00741A4F">
        <w:rPr>
          <w:rStyle w:val="HideTWBExt"/>
        </w:rPr>
        <w:t>&lt;Date&gt;</w:t>
      </w:r>
      <w:r w:rsidRPr="00741A4F">
        <w:rPr>
          <w:rStyle w:val="HideTWBInt"/>
          <w:color w:val="auto"/>
        </w:rPr>
        <w:t>{22/10/2025}</w:t>
      </w:r>
      <w:r w:rsidRPr="00741A4F">
        <w:t>22.10.2025</w:t>
      </w:r>
      <w:r w:rsidRPr="00741A4F">
        <w:rPr>
          <w:rStyle w:val="HideTWBExt"/>
        </w:rPr>
        <w:t>&lt;/Date&gt;</w:t>
      </w:r>
    </w:p>
    <w:p w14:paraId="1DC5734B" w14:textId="77777777" w:rsidR="007179A7" w:rsidRPr="00741A4F" w:rsidRDefault="00ED0547">
      <w:r w:rsidRPr="00741A4F">
        <w:t>Domnului Javier Zarzalejos</w:t>
      </w:r>
      <w:r w:rsidRPr="00741A4F">
        <w:tab/>
      </w:r>
      <w:r w:rsidRPr="00741A4F">
        <w:tab/>
      </w:r>
      <w:r w:rsidRPr="00741A4F">
        <w:tab/>
      </w:r>
      <w:r w:rsidRPr="00741A4F">
        <w:tab/>
      </w:r>
      <w:r w:rsidRPr="00741A4F">
        <w:tab/>
      </w:r>
      <w:r w:rsidRPr="00741A4F">
        <w:tab/>
      </w:r>
      <w:r w:rsidRPr="00741A4F">
        <w:tab/>
      </w:r>
      <w:r w:rsidRPr="00741A4F">
        <w:tab/>
      </w:r>
      <w:r w:rsidRPr="00741A4F">
        <w:tab/>
      </w:r>
    </w:p>
    <w:p w14:paraId="3AE4CB81" w14:textId="77777777" w:rsidR="007179A7" w:rsidRPr="00741A4F" w:rsidRDefault="00ED0547">
      <w:r w:rsidRPr="00741A4F">
        <w:t>Președinte</w:t>
      </w:r>
    </w:p>
    <w:p w14:paraId="765FE3BC" w14:textId="77777777" w:rsidR="007179A7" w:rsidRPr="00741A4F" w:rsidRDefault="00ED0547">
      <w:r w:rsidRPr="00741A4F">
        <w:t xml:space="preserve">Comisia pentru libertăți civile, justiție și afaceri </w:t>
      </w:r>
      <w:r w:rsidRPr="00741A4F">
        <w:t>interne</w:t>
      </w:r>
    </w:p>
    <w:p w14:paraId="57B09543" w14:textId="77777777" w:rsidR="009F796C" w:rsidRPr="00741A4F" w:rsidRDefault="00ED0547" w:rsidP="009F796C">
      <w:pPr>
        <w:pStyle w:val="LetterSubject"/>
        <w:rPr>
          <w:rStyle w:val="HideTWBExt"/>
          <w:noProof w:val="0"/>
        </w:rPr>
      </w:pPr>
      <w:r w:rsidRPr="00741A4F">
        <w:t>Subiect:</w:t>
      </w:r>
      <w:r w:rsidRPr="00741A4F">
        <w:tab/>
      </w:r>
      <w:r w:rsidRPr="00741A4F">
        <w:rPr>
          <w:rStyle w:val="HideTWBExt"/>
        </w:rPr>
        <w:t>&lt;Titre&gt;</w:t>
      </w:r>
      <w:r w:rsidRPr="00741A4F">
        <w:t>Aviz referitor la propunerea de regulament al Parlamentului European și al Consiliului privind securitatea informațiilor în instituțiile, organele, oficiile și agențiile Uniunii</w:t>
      </w:r>
      <w:r w:rsidRPr="00741A4F">
        <w:rPr>
          <w:rStyle w:val="HideTWBExt"/>
        </w:rPr>
        <w:t>&lt;/Titre&gt;</w:t>
      </w:r>
      <w:r w:rsidRPr="00741A4F">
        <w:t xml:space="preserve"> </w:t>
      </w:r>
      <w:r w:rsidRPr="00741A4F">
        <w:rPr>
          <w:rStyle w:val="HideTWBExt"/>
        </w:rPr>
        <w:t>&lt;DocRef&gt;</w:t>
      </w:r>
      <w:r w:rsidRPr="00741A4F">
        <w:t>(COM(2022)0119 – C10</w:t>
      </w:r>
      <w:r w:rsidRPr="00741A4F">
        <w:noBreakHyphen/>
        <w:t>0121/2022 – 2022/0094(COD))</w:t>
      </w:r>
      <w:r w:rsidRPr="00741A4F">
        <w:rPr>
          <w:rStyle w:val="HideTWBExt"/>
        </w:rPr>
        <w:t>&lt;/DocRef&gt;</w:t>
      </w:r>
    </w:p>
    <w:p w14:paraId="2C5B0FD2" w14:textId="77777777" w:rsidR="003939CB" w:rsidRPr="00741A4F" w:rsidRDefault="003939CB" w:rsidP="00583DB0">
      <w:pPr>
        <w:pStyle w:val="LetterSubject"/>
        <w:spacing w:before="0"/>
      </w:pPr>
    </w:p>
    <w:p w14:paraId="3C7AB505" w14:textId="77777777" w:rsidR="008D29B2" w:rsidRPr="00741A4F" w:rsidRDefault="008D29B2" w:rsidP="00583DB0">
      <w:pPr>
        <w:pStyle w:val="LetterSubject"/>
        <w:spacing w:before="0"/>
      </w:pPr>
    </w:p>
    <w:p w14:paraId="4A7F5077" w14:textId="77777777" w:rsidR="003939CB" w:rsidRPr="00741A4F" w:rsidRDefault="00ED0547" w:rsidP="003A6FF0">
      <w:pPr>
        <w:pStyle w:val="LetterSalutation"/>
        <w:spacing w:before="0" w:after="0"/>
      </w:pPr>
      <w:r w:rsidRPr="00741A4F">
        <w:t>Stimate domnule președinte,</w:t>
      </w:r>
    </w:p>
    <w:p w14:paraId="113EC24B" w14:textId="77777777" w:rsidR="003A6FF0" w:rsidRPr="00741A4F" w:rsidRDefault="003A6FF0" w:rsidP="00583DB0">
      <w:pPr>
        <w:pStyle w:val="LetterSalutation"/>
        <w:spacing w:before="0" w:after="0"/>
      </w:pPr>
    </w:p>
    <w:p w14:paraId="2FB081A7" w14:textId="77777777" w:rsidR="007179A7" w:rsidRPr="00741A4F" w:rsidRDefault="00ED0547" w:rsidP="003A6FF0">
      <w:pPr>
        <w:pStyle w:val="LetterSalutation"/>
        <w:spacing w:before="0" w:after="0"/>
      </w:pPr>
      <w:r w:rsidRPr="00741A4F">
        <w:t>Stimate domnule Zarzalejos,</w:t>
      </w:r>
    </w:p>
    <w:p w14:paraId="216AA54F" w14:textId="77777777" w:rsidR="003A6FF0" w:rsidRPr="00741A4F" w:rsidRDefault="003A6FF0" w:rsidP="00583DB0">
      <w:pPr>
        <w:pStyle w:val="LetterSalutation"/>
        <w:spacing w:before="0" w:after="0"/>
      </w:pPr>
    </w:p>
    <w:p w14:paraId="13547FAC" w14:textId="77777777" w:rsidR="009A0F83" w:rsidRPr="00741A4F" w:rsidRDefault="00ED0547" w:rsidP="003A6FF0">
      <w:pPr>
        <w:pStyle w:val="Normal12a"/>
        <w:spacing w:after="0"/>
      </w:pPr>
      <w:r w:rsidRPr="00741A4F">
        <w:t xml:space="preserve">În cadrul procedurii menționate mai sus, Comisia pentru afaceri externe a fost solicitată pentru a transmite un aviz comisiei dumneavoastră. În cursul reuniunii din </w:t>
      </w:r>
      <w:r w:rsidRPr="00741A4F">
        <w:t>13 ianuarie 2025, coordonatorii Comisiei pentru afaceri externe au hotărât să trimită acest aviz sub formă de scrisoare. Comisia pentru afaceri externe a adoptat avizul în cadrul reuniunii comisiei din 16 octombrie 2025</w:t>
      </w:r>
      <w:r w:rsidRPr="00741A4F">
        <w:rPr>
          <w:vertAlign w:val="superscript"/>
        </w:rPr>
        <w:footnoteReference w:id="1"/>
      </w:r>
      <w:r w:rsidRPr="00741A4F">
        <w:t xml:space="preserve"> și a invitat comisia competentă să includă în raportul său următoarele sugestii:</w:t>
      </w:r>
    </w:p>
    <w:p w14:paraId="2BB2B743" w14:textId="77777777" w:rsidR="003A6FF0" w:rsidRPr="00741A4F" w:rsidRDefault="003A6FF0" w:rsidP="00583DB0">
      <w:pPr>
        <w:pStyle w:val="Normal12a"/>
        <w:spacing w:after="0"/>
      </w:pPr>
    </w:p>
    <w:p w14:paraId="022D4DA6" w14:textId="77777777" w:rsidR="003A6FF0" w:rsidRPr="00741A4F" w:rsidRDefault="00ED0547" w:rsidP="003A6FF0">
      <w:pPr>
        <w:pStyle w:val="Normal12a"/>
        <w:spacing w:after="0"/>
      </w:pPr>
      <w:r w:rsidRPr="00741A4F">
        <w:t xml:space="preserve">Într-un moment de schimbări geopolitice rapide, combinate cu un mediu de amenințări în evoluție, securitatea informațiilor Uniunii este din ce în ce mai pusă în pericol. Crizele </w:t>
      </w:r>
      <w:r w:rsidRPr="00741A4F">
        <w:lastRenderedPageBreak/>
        <w:t>internaționale demonstrează necesitatea ca UE să obțină informații credibile și directe despre amenințările externe actuale și posibile la adresa Uniunii, pentru a putea reacționa rapid și eficient, precum și pentru a-și proteja mai bine cetățenii și interesele în străinătate. Ingerințele străine și dezinformarea reprezintă, de asemenea, un pericol real pentru procesele democratice ale UE, iar instituțiile, organele, oficiile și agențiile Uniunii ar trebui să primească mijloacele și resursele adecvate pentr</w:t>
      </w:r>
      <w:r w:rsidRPr="00741A4F">
        <w:t>u a face față acestor noi provocări.</w:t>
      </w:r>
    </w:p>
    <w:p w14:paraId="1F0897A6" w14:textId="77777777" w:rsidR="009A0F83" w:rsidRPr="00741A4F" w:rsidRDefault="009A0F83" w:rsidP="00583DB0">
      <w:pPr>
        <w:pStyle w:val="Normal12a"/>
        <w:spacing w:after="0"/>
      </w:pPr>
    </w:p>
    <w:p w14:paraId="27AE7394" w14:textId="77777777" w:rsidR="003A6FF0" w:rsidRPr="00741A4F" w:rsidRDefault="00ED0547" w:rsidP="003A6FF0">
      <w:pPr>
        <w:pStyle w:val="Normal12a"/>
        <w:spacing w:after="0"/>
      </w:pPr>
      <w:r w:rsidRPr="00741A4F">
        <w:t>Din perspectiva afacerilor externe și a securității și așa cum s-a subliniat în mai multe rezoluții ale Parlamentului referitoare la punerea în aplicare a politicii externe și de securitate comune (PESC), Parlamentul ar trebui să primească informațiile și documentele necesare în mod transparent și în timp util pentru a-și îndeplini în mod corespunzător rolul important de supraveghere democratică. Acesta este motivul pentru care sunt esențiale consolidarea și armonizarea clasificării, gestionării și stocării</w:t>
      </w:r>
      <w:r w:rsidRPr="00741A4F">
        <w:t xml:space="preserve"> informațiilor clasificate ale UE și a informațiilor neclasificate.</w:t>
      </w:r>
    </w:p>
    <w:p w14:paraId="6A94CF0D" w14:textId="77777777" w:rsidR="009A0F83" w:rsidRPr="00741A4F" w:rsidRDefault="009A0F83" w:rsidP="00583DB0">
      <w:pPr>
        <w:pStyle w:val="Normal12a"/>
        <w:spacing w:after="0"/>
      </w:pPr>
    </w:p>
    <w:p w14:paraId="69D82134" w14:textId="77777777" w:rsidR="003A6FF0" w:rsidRPr="00741A4F" w:rsidRDefault="00ED0547" w:rsidP="003A6FF0">
      <w:pPr>
        <w:pStyle w:val="Normal12a"/>
        <w:spacing w:after="0"/>
      </w:pPr>
      <w:r w:rsidRPr="00741A4F">
        <w:t xml:space="preserve">AFET salută această propunere oportună a Comisiei, care face parte din Strategia UE privind uniunea securității, adoptată de Comisie în iulie 2020, deoarece </w:t>
      </w:r>
      <w:r w:rsidRPr="00741A4F">
        <w:t>instituțiile, organele, oficiile și agențiile Uniunii trebuie să dispună de un nivel comun ridicat de securitate, adecvat pentru informațiile clasificate ale UE și pentru informațiile neclasificate. De asemenea, AFET salută faptul că regulamentul propus intenționează să creeze o serie minimă de norme și să instituie un grup interinstituțional de coordonare a securității informațiilor, un pas necesar către armonizare pentru a asigura o punere în aplicare fără probleme a unei culturi a securității informațiil</w:t>
      </w:r>
      <w:r w:rsidRPr="00741A4F">
        <w:t>or la nivelul UE.</w:t>
      </w:r>
    </w:p>
    <w:p w14:paraId="237EAEEB" w14:textId="77777777" w:rsidR="009A0F83" w:rsidRPr="00741A4F" w:rsidRDefault="009A0F83" w:rsidP="00583DB0">
      <w:pPr>
        <w:pStyle w:val="Normal12a"/>
        <w:spacing w:after="0"/>
      </w:pPr>
    </w:p>
    <w:p w14:paraId="4E093DD8" w14:textId="77777777" w:rsidR="003A6FF0" w:rsidRPr="00741A4F" w:rsidRDefault="00ED0547" w:rsidP="003A6FF0">
      <w:pPr>
        <w:pStyle w:val="Normal12a"/>
        <w:spacing w:after="0"/>
      </w:pPr>
      <w:r w:rsidRPr="00741A4F">
        <w:t>În pofida acestui efort de facilitare și armonizare a protecției informațiilor în instituțiile, organele și agențiile UE, Parlamentul reamintește necesitatea urgentă de a actualiza cadrul interinstituțional pentru accesul Parlamentului la informații confidențiale în domeniul PESC.</w:t>
      </w:r>
    </w:p>
    <w:p w14:paraId="53966474" w14:textId="77777777" w:rsidR="009A0F83" w:rsidRPr="00741A4F" w:rsidRDefault="009A0F83" w:rsidP="00583DB0">
      <w:pPr>
        <w:pStyle w:val="Normal12a"/>
        <w:spacing w:after="0"/>
      </w:pPr>
    </w:p>
    <w:p w14:paraId="4B989FF0" w14:textId="77777777" w:rsidR="003A6FF0" w:rsidRPr="00741A4F" w:rsidRDefault="00ED0547" w:rsidP="003A6FF0">
      <w:pPr>
        <w:pStyle w:val="Normal12a"/>
        <w:spacing w:after="0"/>
      </w:pPr>
      <w:r w:rsidRPr="00741A4F">
        <w:t>Având în vedere cele de mai sus, AFET propune includerea următoarelor elemente în proiectul de raport:</w:t>
      </w:r>
    </w:p>
    <w:p w14:paraId="393CA64F" w14:textId="77777777" w:rsidR="003A6FF0" w:rsidRPr="00741A4F" w:rsidRDefault="003A6FF0" w:rsidP="00583DB0">
      <w:pPr>
        <w:pStyle w:val="Normal12a"/>
        <w:spacing w:after="0"/>
      </w:pPr>
    </w:p>
    <w:p w14:paraId="66C502A8" w14:textId="77777777" w:rsidR="009A0F83" w:rsidRPr="00741A4F" w:rsidRDefault="00ED0547" w:rsidP="003A6FF0">
      <w:pPr>
        <w:pStyle w:val="Normal12a"/>
        <w:spacing w:after="0"/>
        <w:ind w:left="425" w:hanging="425"/>
      </w:pPr>
      <w:r w:rsidRPr="00741A4F">
        <w:t>1.</w:t>
      </w:r>
      <w:r w:rsidRPr="00741A4F">
        <w:tab/>
        <w:t>Elementele sus-menționate privind prerogativele instituționale trebuie clarificate în mod corespunzător la articolul 32: deși controlul exercitat de partea emitentă este un principiu incontestabil, textul ar trebui să fie mai bine formulat, deoarece nu ar trebui să prevaleze asupra prerogativelor tratatului. Și articolul 54 din propunere este incomplet, deoarece nu se referă la drepturile și obligațiile care decurg din tratate pe care o instituție a UE le are ca bază pentru schimbul de informații clasifica</w:t>
      </w:r>
      <w:r w:rsidRPr="00741A4F">
        <w:t>te ale UE.</w:t>
      </w:r>
    </w:p>
    <w:p w14:paraId="2F03DEB1" w14:textId="77777777" w:rsidR="003A6FF0" w:rsidRPr="00741A4F" w:rsidRDefault="003A6FF0" w:rsidP="00583DB0">
      <w:pPr>
        <w:pStyle w:val="Normal12a"/>
        <w:spacing w:after="0"/>
        <w:ind w:left="425" w:hanging="425"/>
      </w:pPr>
    </w:p>
    <w:p w14:paraId="42830936" w14:textId="77777777" w:rsidR="009A0F83" w:rsidRPr="00741A4F" w:rsidRDefault="00ED0547" w:rsidP="003A6FF0">
      <w:pPr>
        <w:pStyle w:val="Normal12a"/>
        <w:spacing w:after="0"/>
        <w:ind w:left="425" w:hanging="425"/>
      </w:pPr>
      <w:r w:rsidRPr="00741A4F">
        <w:t>2.</w:t>
      </w:r>
      <w:r w:rsidRPr="00741A4F">
        <w:tab/>
        <w:t>Propunerea ar trebui să clarifice că deputații în Parlamentul European ar trebui să aibă acces, în virtutea mandatului lor, la toate informațiile necesare pe baza „principiului necesității de a cunoaște” pentru a-și exercita competențele care le sunt conferite prin tratate. Propunerea ar trebui să includă așadar următorul alineat nou:</w:t>
      </w:r>
    </w:p>
    <w:p w14:paraId="38053F73" w14:textId="77777777" w:rsidR="003A6FF0" w:rsidRPr="00741A4F" w:rsidRDefault="003A6FF0" w:rsidP="00583DB0">
      <w:pPr>
        <w:pStyle w:val="Normal12a"/>
        <w:spacing w:after="0"/>
        <w:ind w:left="425" w:hanging="425"/>
      </w:pPr>
    </w:p>
    <w:p w14:paraId="3C5FE8A8" w14:textId="77777777" w:rsidR="009A0F83" w:rsidRPr="00741A4F" w:rsidRDefault="00ED0547" w:rsidP="00583DB0">
      <w:pPr>
        <w:pStyle w:val="Normal12a"/>
        <w:spacing w:after="0"/>
        <w:ind w:left="425"/>
        <w:rPr>
          <w:i/>
        </w:rPr>
      </w:pPr>
      <w:r w:rsidRPr="00741A4F">
        <w:rPr>
          <w:i/>
        </w:rPr>
        <w:t>„(alineat nou) Membrii instituțiilor Uniunii ar trebui să aibă acces, în virtutea mandatului lor, la toate informațiile confidențiale și informațiile sensibile neconfidențiale necesare în temeiul principiului „necesității de a cunoaște” și cu respectarea normelor privind autorizarea de securitate a personalului pentru a-și exercita competențele care le sunt conferite prin tratate.”</w:t>
      </w:r>
    </w:p>
    <w:p w14:paraId="466D529E" w14:textId="77777777" w:rsidR="003A6FF0" w:rsidRPr="00741A4F" w:rsidRDefault="003A6FF0" w:rsidP="00583DB0">
      <w:pPr>
        <w:pStyle w:val="Normal12a"/>
        <w:spacing w:after="0"/>
        <w:ind w:left="425" w:hanging="425"/>
      </w:pPr>
    </w:p>
    <w:p w14:paraId="6B074C37" w14:textId="77777777" w:rsidR="009A0F83" w:rsidRPr="00741A4F" w:rsidRDefault="00ED0547" w:rsidP="003A6FF0">
      <w:pPr>
        <w:pStyle w:val="Normal12a"/>
        <w:spacing w:after="0"/>
        <w:ind w:left="425" w:hanging="425"/>
      </w:pPr>
      <w:r w:rsidRPr="00741A4F">
        <w:t>3.</w:t>
      </w:r>
      <w:r w:rsidRPr="00741A4F">
        <w:tab/>
        <w:t>Ar trebui instituit un mecanism de tratare a cazurilor de clasificare excesivă a informațiilor, în special sub forma unor consultări și a unei decizii finale între emitentul și destinatarul informațiilor.</w:t>
      </w:r>
    </w:p>
    <w:p w14:paraId="1203CB80" w14:textId="77777777" w:rsidR="003A6FF0" w:rsidRPr="00741A4F" w:rsidRDefault="003A6FF0" w:rsidP="00583DB0">
      <w:pPr>
        <w:pStyle w:val="Normal12a"/>
        <w:spacing w:after="0"/>
        <w:ind w:left="425" w:hanging="425"/>
      </w:pPr>
    </w:p>
    <w:p w14:paraId="36A2A82B" w14:textId="77777777" w:rsidR="009A0F83" w:rsidRPr="00741A4F" w:rsidRDefault="00ED0547" w:rsidP="003A6FF0">
      <w:pPr>
        <w:pStyle w:val="Normal12a"/>
        <w:spacing w:after="0"/>
        <w:ind w:left="425" w:hanging="425"/>
      </w:pPr>
      <w:r w:rsidRPr="00741A4F">
        <w:t>4.</w:t>
      </w:r>
      <w:r w:rsidRPr="00741A4F">
        <w:tab/>
        <w:t>Ingerințele străine și dezinformarea reprezintă un pericol real pentru procesele democratice ale UE, iar instituțiile, organele, oficiile și agențiile Uniunii ar trebui să primească mijloacele și resursele adecvate pentru a face față acestor noi provocări. Propunerea ar trebui să includă următorul alineat nou:</w:t>
      </w:r>
    </w:p>
    <w:p w14:paraId="191A5C14" w14:textId="77777777" w:rsidR="003A6FF0" w:rsidRPr="00741A4F" w:rsidRDefault="003A6FF0" w:rsidP="00583DB0">
      <w:pPr>
        <w:pStyle w:val="Normal12a"/>
        <w:spacing w:after="0"/>
        <w:ind w:left="425" w:hanging="425"/>
      </w:pPr>
    </w:p>
    <w:p w14:paraId="234B38AB" w14:textId="77777777" w:rsidR="009A0F83" w:rsidRPr="00741A4F" w:rsidRDefault="00ED0547" w:rsidP="00583DB0">
      <w:pPr>
        <w:pStyle w:val="Normal12a"/>
        <w:spacing w:after="0"/>
        <w:ind w:left="425"/>
        <w:rPr>
          <w:i/>
        </w:rPr>
      </w:pPr>
      <w:r w:rsidRPr="00741A4F">
        <w:rPr>
          <w:i/>
        </w:rPr>
        <w:t>„(alineat nou) Atunci când elaborează și pun în aplicare cadrul lor de securitate a documentelor, instituțiile și organele Uniunii garantează integritatea proceselor democratice ale UE. Acestea adoptă, printre altele, dispoziții specifice în procedurile de achiziții publice pentru a reduce riscul ingerințelor străine în funcționarea lor. Aceste dispoziții vizează cel puțin achiziționarea și întreținerea infrastructurii de securitate, verificarea organizațiilor terțe și autorizarea personalului.”</w:t>
      </w:r>
    </w:p>
    <w:p w14:paraId="17C9C3F4" w14:textId="77777777" w:rsidR="003A6FF0" w:rsidRPr="00741A4F" w:rsidRDefault="003A6FF0" w:rsidP="00583DB0">
      <w:pPr>
        <w:pStyle w:val="Normal12a"/>
        <w:spacing w:after="0"/>
        <w:ind w:left="425" w:hanging="425"/>
        <w:rPr>
          <w:i/>
        </w:rPr>
      </w:pPr>
    </w:p>
    <w:p w14:paraId="326F1439" w14:textId="77777777" w:rsidR="009A0F83" w:rsidRPr="00741A4F" w:rsidRDefault="00ED0547" w:rsidP="003A6FF0">
      <w:pPr>
        <w:pStyle w:val="Normal12a"/>
        <w:spacing w:after="0"/>
        <w:ind w:left="425" w:hanging="425"/>
      </w:pPr>
      <w:r w:rsidRPr="00741A4F">
        <w:t>5.</w:t>
      </w:r>
      <w:r w:rsidRPr="00741A4F">
        <w:tab/>
        <w:t>Comisia LIBE, în calitate de comisie competentă, ar trebui să reexamineze dacă instituirea categoriei de informații obișnuite (clasificate prin marcajul „NORMAL” prevăzut la articolul 13 din propunere) oferă suficiente beneficii care ar compensa cerințele administrative suplimentare care ar rezulta din crearea și aplicarea acestei categorii de informații și din distincția dintre aceasta și informațiile destinate publicului (clasificate prin marcajul „DESTINATE PUBLICULUI”).</w:t>
      </w:r>
    </w:p>
    <w:p w14:paraId="6A67AB77" w14:textId="77777777" w:rsidR="003A6FF0" w:rsidRPr="00741A4F" w:rsidRDefault="003A6FF0" w:rsidP="00583DB0">
      <w:pPr>
        <w:pStyle w:val="Normal12a"/>
        <w:spacing w:after="0"/>
        <w:ind w:left="425" w:hanging="425"/>
      </w:pPr>
    </w:p>
    <w:p w14:paraId="2629EF7D" w14:textId="77777777" w:rsidR="007179A7" w:rsidRPr="00741A4F" w:rsidRDefault="00ED0547" w:rsidP="00583DB0">
      <w:pPr>
        <w:pStyle w:val="Normal12a"/>
        <w:spacing w:after="0"/>
      </w:pPr>
      <w:r w:rsidRPr="00741A4F">
        <w:t>Vă asigur, domnule președinte, de înalta mea considerație.</w:t>
      </w:r>
    </w:p>
    <w:p w14:paraId="31D56088" w14:textId="77777777" w:rsidR="007179A7" w:rsidRPr="00741A4F" w:rsidRDefault="00ED0547">
      <w:pPr>
        <w:pStyle w:val="LetterSignature66b"/>
      </w:pPr>
      <w:r w:rsidRPr="00741A4F">
        <w:t>David McAllister</w:t>
      </w:r>
    </w:p>
    <w:p w14:paraId="61E51E3E" w14:textId="77777777" w:rsidR="00424521" w:rsidRPr="00741A4F" w:rsidRDefault="00424521">
      <w:pPr>
        <w:widowControl/>
        <w:sectPr w:rsidR="00424521" w:rsidRPr="00741A4F" w:rsidSect="00741A4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2DC60C63" w14:textId="77777777" w:rsidR="00424521" w:rsidRPr="00741A4F" w:rsidRDefault="00424521">
      <w:pPr>
        <w:widowControl/>
      </w:pPr>
    </w:p>
    <w:p w14:paraId="21D5FFF8" w14:textId="77777777" w:rsidR="00424521" w:rsidRPr="00741A4F" w:rsidRDefault="00ED0547" w:rsidP="002B2C72">
      <w:pPr>
        <w:pStyle w:val="PageHeadingNotTOC"/>
        <w:rPr>
          <w:noProof/>
        </w:rPr>
      </w:pPr>
      <w:bookmarkStart w:id="0" w:name="FootprintPageAL"/>
      <w:r w:rsidRPr="00741A4F">
        <w:t>ANEXĂ: DECLARAȚIE PRIVIND CONTRIBUȚIILE</w:t>
      </w:r>
    </w:p>
    <w:p w14:paraId="29C983F1" w14:textId="77777777" w:rsidR="00424521" w:rsidRPr="00741A4F" w:rsidRDefault="00ED0547" w:rsidP="00037518">
      <w:pPr>
        <w:pStyle w:val="Normal24a"/>
      </w:pPr>
      <w:r w:rsidRPr="00741A4F">
        <w:rPr>
          <w:rStyle w:val="HideTWBExt"/>
        </w:rPr>
        <w:t>&lt;FootprintIntro&gt;</w:t>
      </w:r>
      <w:r w:rsidRPr="00741A4F">
        <w:t>Președintele declară pe propria răspundere că nu a inclus în raportul său nicio contribuție de la reprezentanți de interese care intră sub incidența Acordului interinstituțional privind un registru de transparență obligatoriu</w:t>
      </w:r>
      <w:r w:rsidRPr="00741A4F">
        <w:rPr>
          <w:rStyle w:val="FootnoteReference"/>
        </w:rPr>
        <w:footnoteReference w:id="2"/>
      </w:r>
      <w:r w:rsidRPr="00741A4F">
        <w:t xml:space="preserve"> sau de la reprezentanți ai autorităților publice din țările terțe, inclusiv misiuni diplomatice și ambasade ale acestora, care trebuie inclusă în prezenta anexă în conformitate cu articolul 8 din anexa I la Regulamentul de procedură.</w:t>
      </w:r>
      <w:r w:rsidRPr="00741A4F">
        <w:rPr>
          <w:rStyle w:val="HideTWBExt"/>
        </w:rPr>
        <w:t>&lt;/FootprintIntro&gt;</w:t>
      </w:r>
    </w:p>
    <w:p w14:paraId="32D78CE4" w14:textId="77777777" w:rsidR="00424521" w:rsidRPr="00741A4F" w:rsidRDefault="00424521" w:rsidP="00424521"/>
    <w:bookmarkEnd w:id="0"/>
    <w:p w14:paraId="1244E697" w14:textId="77777777" w:rsidR="00862D62" w:rsidRPr="00741A4F" w:rsidRDefault="00862D62" w:rsidP="00862D62"/>
    <w:sectPr w:rsidR="00862D62" w:rsidRPr="00741A4F" w:rsidSect="00583D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A41FF" w14:textId="77777777" w:rsidR="00ED0547" w:rsidRPr="00741A4F" w:rsidRDefault="00ED0547">
      <w:r w:rsidRPr="00741A4F">
        <w:separator/>
      </w:r>
    </w:p>
  </w:endnote>
  <w:endnote w:type="continuationSeparator" w:id="0">
    <w:p w14:paraId="778BF932" w14:textId="77777777" w:rsidR="00ED0547" w:rsidRPr="00741A4F" w:rsidRDefault="00ED0547">
      <w:r w:rsidRPr="00741A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7DB11" w14:textId="77777777" w:rsidR="00741A4F" w:rsidRPr="00741A4F" w:rsidRDefault="00741A4F" w:rsidP="00741A4F">
    <w:pPr>
      <w:pStyle w:val="EPFooter"/>
    </w:pPr>
    <w:r w:rsidRPr="00741A4F">
      <w:t>PE</w:t>
    </w:r>
    <w:r w:rsidRPr="00741A4F">
      <w:rPr>
        <w:rStyle w:val="HideTWBExt"/>
      </w:rPr>
      <w:t>&lt;NoPE&gt;</w:t>
    </w:r>
    <w:r w:rsidRPr="00741A4F">
      <w:t>778.158</w:t>
    </w:r>
    <w:r w:rsidRPr="00741A4F">
      <w:rPr>
        <w:rStyle w:val="HideTWBExt"/>
      </w:rPr>
      <w:t>&lt;/NoPE&gt;&lt;Version&gt;</w:t>
    </w:r>
    <w:r w:rsidRPr="00741A4F">
      <w:t>v03-00</w:t>
    </w:r>
    <w:r w:rsidRPr="00741A4F">
      <w:rPr>
        <w:rStyle w:val="HideTWBExt"/>
      </w:rPr>
      <w:t>&lt;/Version&gt;</w:t>
    </w:r>
    <w:r w:rsidRPr="00741A4F">
      <w:tab/>
    </w:r>
    <w:r w:rsidRPr="00741A4F">
      <w:fldChar w:fldCharType="begin"/>
    </w:r>
    <w:r w:rsidRPr="00741A4F">
      <w:instrText xml:space="preserve"> PAGE  \* MERGEFORMAT </w:instrText>
    </w:r>
    <w:r w:rsidRPr="00741A4F">
      <w:fldChar w:fldCharType="separate"/>
    </w:r>
    <w:r w:rsidRPr="00741A4F">
      <w:rPr>
        <w:noProof/>
      </w:rPr>
      <w:t>2</w:t>
    </w:r>
    <w:r w:rsidRPr="00741A4F">
      <w:fldChar w:fldCharType="end"/>
    </w:r>
    <w:r w:rsidRPr="00741A4F">
      <w:t>/</w:t>
    </w:r>
    <w:fldSimple w:instr=" NUMPAGES  \* MERGEFORMAT ">
      <w:r w:rsidRPr="00741A4F">
        <w:rPr>
          <w:noProof/>
        </w:rPr>
        <w:t>4</w:t>
      </w:r>
    </w:fldSimple>
    <w:r w:rsidRPr="00741A4F">
      <w:tab/>
    </w:r>
    <w:r w:rsidRPr="00741A4F">
      <w:rPr>
        <w:rStyle w:val="HideTWBExt"/>
      </w:rPr>
      <w:t>&lt;PathFdR&gt;</w:t>
    </w:r>
    <w:r w:rsidRPr="00741A4F">
      <w:t>AL\1330061RO.docx</w:t>
    </w:r>
    <w:r w:rsidRPr="00741A4F">
      <w:rPr>
        <w:rStyle w:val="HideTWBExt"/>
      </w:rPr>
      <w:t>&lt;/PathFdR&gt;</w:t>
    </w:r>
  </w:p>
  <w:p w14:paraId="630DFAC2" w14:textId="7606D8E5" w:rsidR="00000C7D" w:rsidRPr="00741A4F" w:rsidRDefault="00741A4F" w:rsidP="00741A4F">
    <w:pPr>
      <w:pStyle w:val="EPFooter2"/>
    </w:pPr>
    <w:r w:rsidRPr="00741A4F">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0F635" w14:textId="77777777" w:rsidR="00741A4F" w:rsidRPr="00741A4F" w:rsidRDefault="00741A4F" w:rsidP="00741A4F">
    <w:pPr>
      <w:pStyle w:val="EPFooter"/>
    </w:pPr>
    <w:r w:rsidRPr="00741A4F">
      <w:rPr>
        <w:rStyle w:val="HideTWBExt"/>
      </w:rPr>
      <w:t>&lt;PathFdR&gt;</w:t>
    </w:r>
    <w:r w:rsidRPr="00741A4F">
      <w:t>AL\1330061RO.docx</w:t>
    </w:r>
    <w:r w:rsidRPr="00741A4F">
      <w:rPr>
        <w:rStyle w:val="HideTWBExt"/>
      </w:rPr>
      <w:t>&lt;/PathFdR&gt;</w:t>
    </w:r>
    <w:r w:rsidRPr="00741A4F">
      <w:tab/>
    </w:r>
    <w:r w:rsidRPr="00741A4F">
      <w:fldChar w:fldCharType="begin"/>
    </w:r>
    <w:r w:rsidRPr="00741A4F">
      <w:instrText xml:space="preserve"> PAGE  \* MERGEFORMAT </w:instrText>
    </w:r>
    <w:r w:rsidRPr="00741A4F">
      <w:fldChar w:fldCharType="separate"/>
    </w:r>
    <w:r w:rsidRPr="00741A4F">
      <w:rPr>
        <w:noProof/>
      </w:rPr>
      <w:t>3</w:t>
    </w:r>
    <w:r w:rsidRPr="00741A4F">
      <w:fldChar w:fldCharType="end"/>
    </w:r>
    <w:r w:rsidRPr="00741A4F">
      <w:t>/</w:t>
    </w:r>
    <w:fldSimple w:instr=" NUMPAGES  \* MERGEFORMAT ">
      <w:r w:rsidRPr="00741A4F">
        <w:rPr>
          <w:noProof/>
        </w:rPr>
        <w:t>4</w:t>
      </w:r>
    </w:fldSimple>
    <w:r w:rsidRPr="00741A4F">
      <w:tab/>
      <w:t>PE</w:t>
    </w:r>
    <w:r w:rsidRPr="00741A4F">
      <w:rPr>
        <w:rStyle w:val="HideTWBExt"/>
      </w:rPr>
      <w:t>&lt;NoPE&gt;</w:t>
    </w:r>
    <w:r w:rsidRPr="00741A4F">
      <w:t>778.158</w:t>
    </w:r>
    <w:r w:rsidRPr="00741A4F">
      <w:rPr>
        <w:rStyle w:val="HideTWBExt"/>
      </w:rPr>
      <w:t>&lt;/NoPE&gt;&lt;Version&gt;</w:t>
    </w:r>
    <w:r w:rsidRPr="00741A4F">
      <w:t>v03-00</w:t>
    </w:r>
    <w:r w:rsidRPr="00741A4F">
      <w:rPr>
        <w:rStyle w:val="HideTWBExt"/>
      </w:rPr>
      <w:t>&lt;/Version&gt;</w:t>
    </w:r>
  </w:p>
  <w:p w14:paraId="685BFA8D" w14:textId="5065925B" w:rsidR="00000C7D" w:rsidRPr="00741A4F" w:rsidRDefault="00741A4F" w:rsidP="00741A4F">
    <w:pPr>
      <w:pStyle w:val="EPFooter2"/>
    </w:pPr>
    <w:r w:rsidRPr="00741A4F">
      <w:tab/>
    </w:r>
    <w:r w:rsidRPr="00741A4F">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4FF7" w14:textId="77777777" w:rsidR="00741A4F" w:rsidRPr="00741A4F" w:rsidRDefault="00741A4F" w:rsidP="00741A4F">
    <w:pPr>
      <w:pStyle w:val="EPFooter"/>
    </w:pPr>
    <w:r w:rsidRPr="00741A4F">
      <w:rPr>
        <w:rStyle w:val="HideTWBExt"/>
      </w:rPr>
      <w:t>&lt;PathFdR&gt;</w:t>
    </w:r>
    <w:r w:rsidRPr="00741A4F">
      <w:t>AL\1330061RO.docx</w:t>
    </w:r>
    <w:r w:rsidRPr="00741A4F">
      <w:rPr>
        <w:rStyle w:val="HideTWBExt"/>
      </w:rPr>
      <w:t>&lt;/PathFdR&gt;</w:t>
    </w:r>
    <w:r w:rsidRPr="00741A4F">
      <w:tab/>
    </w:r>
    <w:r w:rsidRPr="00741A4F">
      <w:tab/>
      <w:t>PE</w:t>
    </w:r>
    <w:r w:rsidRPr="00741A4F">
      <w:rPr>
        <w:rStyle w:val="HideTWBExt"/>
      </w:rPr>
      <w:t>&lt;NoPE&gt;</w:t>
    </w:r>
    <w:r w:rsidRPr="00741A4F">
      <w:t>778.158</w:t>
    </w:r>
    <w:r w:rsidRPr="00741A4F">
      <w:rPr>
        <w:rStyle w:val="HideTWBExt"/>
      </w:rPr>
      <w:t>&lt;/NoPE&gt;&lt;Version&gt;</w:t>
    </w:r>
    <w:r w:rsidRPr="00741A4F">
      <w:t>v03-00</w:t>
    </w:r>
    <w:r w:rsidRPr="00741A4F">
      <w:rPr>
        <w:rStyle w:val="HideTWBExt"/>
      </w:rPr>
      <w:t>&lt;/Version&gt;</w:t>
    </w:r>
  </w:p>
  <w:p w14:paraId="102AB7D6" w14:textId="2D09B608" w:rsidR="00000C7D" w:rsidRPr="00741A4F" w:rsidRDefault="00741A4F" w:rsidP="00741A4F">
    <w:pPr>
      <w:pStyle w:val="EPFooter2"/>
    </w:pPr>
    <w:r w:rsidRPr="00741A4F">
      <w:t>RO</w:t>
    </w:r>
    <w:r w:rsidRPr="00741A4F">
      <w:tab/>
    </w:r>
    <w:r w:rsidRPr="00741A4F">
      <w:rPr>
        <w:b w:val="0"/>
        <w:i/>
        <w:color w:val="C0C0C0"/>
        <w:sz w:val="22"/>
      </w:rPr>
      <w:t>Unită în diversitate</w:t>
    </w:r>
    <w:r w:rsidRPr="00741A4F">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6FD74" w14:textId="77777777" w:rsidR="00BC18CA" w:rsidRPr="00741A4F" w:rsidRDefault="00ED0547">
      <w:r w:rsidRPr="00741A4F">
        <w:separator/>
      </w:r>
    </w:p>
  </w:footnote>
  <w:footnote w:type="continuationSeparator" w:id="0">
    <w:p w14:paraId="63563525" w14:textId="77777777" w:rsidR="00BC18CA" w:rsidRPr="00741A4F" w:rsidRDefault="00ED0547">
      <w:r w:rsidRPr="00741A4F">
        <w:continuationSeparator/>
      </w:r>
    </w:p>
  </w:footnote>
  <w:footnote w:id="1">
    <w:p w14:paraId="6F458407" w14:textId="77777777" w:rsidR="009A0F83" w:rsidRPr="00741A4F" w:rsidRDefault="00ED0547" w:rsidP="009A0F83">
      <w:pPr>
        <w:pStyle w:val="FootnoteText"/>
      </w:pPr>
      <w:r w:rsidRPr="00741A4F">
        <w:rPr>
          <w:rStyle w:val="FootnoteReference"/>
        </w:rPr>
        <w:footnoteRef/>
      </w:r>
      <w:r w:rsidRPr="00741A4F">
        <w:t xml:space="preserve"> La votul final au fost prezenți: David McAllister (președinte), Mika Aaltola, Pascal Arimont [deputat vizat de articolul 216 alineatul (7) din Regulamentul de procedură], Pernando Barrena Arza, Robert Biedroń, Ľuboš Blaha, Marc Botenga, Grzegorz Braun, Sebastião Bugalho, Jaroslav Bžoch, Tobias Cremer, Henrik Dahl [deputat vizat de articolul 216 alineatul (7) din Regulamentul de procedură], Danilo Della Valle, Elio Di Rupo, Tomasz Froelich, Michael Gahler, Niels Geuking [deputat vizat de articolul 216 aline</w:t>
      </w:r>
      <w:r w:rsidRPr="00741A4F">
        <w:t>atul (7) din Regulamentul de procedură], Christophe Gomart, Hanna Gronkiewicz Waltz [deputată vizată de articolul 216 alineatul (7) din Regulamentul de procedură], Bernard Guetta, Sandra Gómez López, Michalis Hadjipantela [deputat vizat de articolul 216 alineatul (7) din Regulamentul de procedură], Andrzej Halicki, Rima Hassan, Mircea Gheorghe Hava, Marc Jongen [deputat vizat de articolul 216 alineatul (7) din Regulamentul de procedură], Łukasz Kohut, Rihards Kols, Sergey Lagodinsky, Ilia Lazarov [deputat v</w:t>
      </w:r>
      <w:r w:rsidRPr="00741A4F">
        <w:t>izat de articolul 216 alineatul (7) din Regulamentul de procedură], Antonio López Istúriz White, Liudas Mažylis, Vangelis Meimarakis, Sven Mikser, Hannah Neumann, Jan Christoph Oetjen [deputat vizat de articolul 216 alineatul (7) din Regulamentul de procedură], Kostas Papadakis, Tonino Picula, Chloé Ridel, Nela Riehl, Ilaria Salis, Mounir Satouri, Andreas Schieder, Stanislav Stoyanov, Marie Agnes Strack Zimmermann, Sebastiaan Stöteler, Nacho Sánchez Amor, Villy Søvndal, Marta Temido, Ivaylo Valchev, Petar V</w:t>
      </w:r>
      <w:r w:rsidRPr="00741A4F">
        <w:t xml:space="preserve">olgin, Nicola Zingaretti, Milan Zver, Dainius Žalimas [deputat vizat de articolul 216 alineatul (7) din Regulamentul de procedură]. </w:t>
      </w:r>
    </w:p>
    <w:p w14:paraId="58E7059D" w14:textId="77777777" w:rsidR="009A0F83" w:rsidRPr="00741A4F" w:rsidRDefault="009A0F83" w:rsidP="009A0F83">
      <w:pPr>
        <w:pStyle w:val="FootnoteText"/>
      </w:pPr>
    </w:p>
  </w:footnote>
  <w:footnote w:id="2">
    <w:p w14:paraId="31CF48A7" w14:textId="6B11EB2A" w:rsidR="00424521" w:rsidRPr="00741A4F" w:rsidRDefault="00ED0547">
      <w:pPr>
        <w:pStyle w:val="FootnoteText"/>
      </w:pPr>
      <w:r w:rsidRPr="00741A4F">
        <w:rPr>
          <w:rStyle w:val="FootnoteReference"/>
        </w:rPr>
        <w:footnoteRef/>
      </w:r>
      <w:r w:rsidRPr="00741A4F">
        <w:t xml:space="preserve"> Acordul interinstituțional din 20 mai 2021 dintre Parlamentul European, Consiliul Uniunii Europene și Comisia Europeană privind un registru de transparență obligatoriu (JO L 207, 11.6.2021, p. 1, ELI: </w:t>
      </w:r>
      <w:hyperlink r:id="rId1" w:history="1">
        <w:r w:rsidRPr="00741A4F">
          <w:rPr>
            <w:rStyle w:val="Hyperlink"/>
          </w:rPr>
          <w:t>http://data.europa.eu/eli/agree_interinstit/2021/611/oj</w:t>
        </w:r>
      </w:hyperlink>
      <w:r w:rsidRPr="00741A4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8C3C1" w14:textId="77777777" w:rsidR="00ED0547" w:rsidRDefault="00ED05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85F11" w14:textId="77777777" w:rsidR="00ED0547" w:rsidRDefault="00ED05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ACFEC" w14:textId="77777777" w:rsidR="00ED0547" w:rsidRDefault="00ED05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00028694">
    <w:abstractNumId w:val="9"/>
  </w:num>
  <w:num w:numId="2" w16cid:durableId="879898567">
    <w:abstractNumId w:val="9"/>
  </w:num>
  <w:num w:numId="3" w16cid:durableId="1781875992">
    <w:abstractNumId w:val="7"/>
  </w:num>
  <w:num w:numId="4" w16cid:durableId="1062797821">
    <w:abstractNumId w:val="7"/>
  </w:num>
  <w:num w:numId="5" w16cid:durableId="340661938">
    <w:abstractNumId w:val="6"/>
  </w:num>
  <w:num w:numId="6" w16cid:durableId="1370649288">
    <w:abstractNumId w:val="6"/>
  </w:num>
  <w:num w:numId="7" w16cid:durableId="799690014">
    <w:abstractNumId w:val="5"/>
  </w:num>
  <w:num w:numId="8" w16cid:durableId="1454012716">
    <w:abstractNumId w:val="5"/>
  </w:num>
  <w:num w:numId="9" w16cid:durableId="330449068">
    <w:abstractNumId w:val="4"/>
  </w:num>
  <w:num w:numId="10" w16cid:durableId="1158616613">
    <w:abstractNumId w:val="4"/>
  </w:num>
  <w:num w:numId="11" w16cid:durableId="1543248831">
    <w:abstractNumId w:val="8"/>
  </w:num>
  <w:num w:numId="12" w16cid:durableId="478961302">
    <w:abstractNumId w:val="8"/>
  </w:num>
  <w:num w:numId="13" w16cid:durableId="1292905447">
    <w:abstractNumId w:val="3"/>
  </w:num>
  <w:num w:numId="14" w16cid:durableId="643513566">
    <w:abstractNumId w:val="3"/>
  </w:num>
  <w:num w:numId="15" w16cid:durableId="86970364">
    <w:abstractNumId w:val="2"/>
  </w:num>
  <w:num w:numId="16" w16cid:durableId="295376301">
    <w:abstractNumId w:val="2"/>
  </w:num>
  <w:num w:numId="17" w16cid:durableId="1241477542">
    <w:abstractNumId w:val="1"/>
  </w:num>
  <w:num w:numId="18" w16cid:durableId="1392776558">
    <w:abstractNumId w:val="1"/>
  </w:num>
  <w:num w:numId="19" w16cid:durableId="1107964230">
    <w:abstractNumId w:val="0"/>
  </w:num>
  <w:num w:numId="20" w16cid:durableId="1069037632">
    <w:abstractNumId w:val="0"/>
  </w:num>
  <w:num w:numId="21" w16cid:durableId="855117381">
    <w:abstractNumId w:val="9"/>
  </w:num>
  <w:num w:numId="22" w16cid:durableId="2076587975">
    <w:abstractNumId w:val="7"/>
  </w:num>
  <w:num w:numId="23" w16cid:durableId="1273702773">
    <w:abstractNumId w:val="6"/>
  </w:num>
  <w:num w:numId="24" w16cid:durableId="2012096469">
    <w:abstractNumId w:val="5"/>
  </w:num>
  <w:num w:numId="25" w16cid:durableId="202209266">
    <w:abstractNumId w:val="4"/>
  </w:num>
  <w:num w:numId="26" w16cid:durableId="1930773130">
    <w:abstractNumId w:val="8"/>
  </w:num>
  <w:num w:numId="27" w16cid:durableId="1527598221">
    <w:abstractNumId w:val="3"/>
  </w:num>
  <w:num w:numId="28" w16cid:durableId="1468820650">
    <w:abstractNumId w:val="2"/>
  </w:num>
  <w:num w:numId="29" w16cid:durableId="1259406943">
    <w:abstractNumId w:val="1"/>
  </w:num>
  <w:num w:numId="30" w16cid:durableId="878394939">
    <w:abstractNumId w:val="0"/>
  </w:num>
  <w:num w:numId="31" w16cid:durableId="1829057884">
    <w:abstractNumId w:val="9"/>
  </w:num>
  <w:num w:numId="32" w16cid:durableId="1913734885">
    <w:abstractNumId w:val="7"/>
  </w:num>
  <w:num w:numId="33" w16cid:durableId="1138959260">
    <w:abstractNumId w:val="6"/>
  </w:num>
  <w:num w:numId="34" w16cid:durableId="1533415921">
    <w:abstractNumId w:val="5"/>
  </w:num>
  <w:num w:numId="35" w16cid:durableId="1497726304">
    <w:abstractNumId w:val="4"/>
  </w:num>
  <w:num w:numId="36" w16cid:durableId="1469009456">
    <w:abstractNumId w:val="8"/>
  </w:num>
  <w:num w:numId="37" w16cid:durableId="707993099">
    <w:abstractNumId w:val="3"/>
  </w:num>
  <w:num w:numId="38" w16cid:durableId="1091463166">
    <w:abstractNumId w:val="2"/>
  </w:num>
  <w:num w:numId="39" w16cid:durableId="2097700007">
    <w:abstractNumId w:val="1"/>
  </w:num>
  <w:num w:numId="40" w16cid:durableId="108206231">
    <w:abstractNumId w:val="0"/>
  </w:num>
  <w:num w:numId="41" w16cid:durableId="295839823">
    <w:abstractNumId w:val="10"/>
  </w:num>
  <w:num w:numId="42" w16cid:durableId="1055276676">
    <w:abstractNumId w:val="12"/>
  </w:num>
  <w:num w:numId="43" w16cid:durableId="1630696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AUTHORMFMNU" w:val=" 1"/>
    <w:docVar w:name="CJMNU" w:val=" 1"/>
    <w:docVar w:name="CODEMNU" w:val=" 1"/>
    <w:docVar w:name="COM2KEY" w:val="LIBE"/>
    <w:docVar w:name="COMKEY" w:val="AFET"/>
    <w:docVar w:name="CONTRIBUTIONMNU" w:val=" 2"/>
    <w:docVar w:name="DOCDT" w:val="03/10/2025"/>
    <w:docVar w:name="DOCREFMNU" w:val=" 1"/>
    <w:docVar w:name="FONCTIONMNU" w:val=" 2"/>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AUTHOR" w:val="Javier Zarzalejos"/>
    <w:docVar w:name="TXTLANGUE" w:val="EN"/>
    <w:docVar w:name="TXTLANGUEMIN" w:val="en"/>
    <w:docVar w:name="TXTNRC" w:val="0121/2022"/>
    <w:docVar w:name="TXTNRCOM" w:val="(2022)0119"/>
    <w:docVar w:name="TXTNRPE" w:val="778.158"/>
    <w:docVar w:name="TXTNRPROC" w:val="2022/0094"/>
    <w:docVar w:name="TXTPEorAP" w:val="PE"/>
    <w:docVar w:name="TXTROUTE" w:val="AL\1330061EN.docx"/>
    <w:docVar w:name="TXTVERSION" w:val="03-00"/>
  </w:docVars>
  <w:rsids>
    <w:rsidRoot w:val="00BC18CA"/>
    <w:rsid w:val="00000C7D"/>
    <w:rsid w:val="00003140"/>
    <w:rsid w:val="000349B3"/>
    <w:rsid w:val="00035402"/>
    <w:rsid w:val="00037518"/>
    <w:rsid w:val="000923BD"/>
    <w:rsid w:val="00095164"/>
    <w:rsid w:val="000C1BB9"/>
    <w:rsid w:val="000E028A"/>
    <w:rsid w:val="00140049"/>
    <w:rsid w:val="0014080C"/>
    <w:rsid w:val="00160979"/>
    <w:rsid w:val="001924F0"/>
    <w:rsid w:val="00195F0C"/>
    <w:rsid w:val="001D1646"/>
    <w:rsid w:val="001E1ECB"/>
    <w:rsid w:val="00203BEA"/>
    <w:rsid w:val="002877DA"/>
    <w:rsid w:val="002A4C7A"/>
    <w:rsid w:val="002B2C72"/>
    <w:rsid w:val="002F3A20"/>
    <w:rsid w:val="002F3C5F"/>
    <w:rsid w:val="003051EB"/>
    <w:rsid w:val="00310DF8"/>
    <w:rsid w:val="003740E8"/>
    <w:rsid w:val="003763A3"/>
    <w:rsid w:val="00381FD4"/>
    <w:rsid w:val="003939CB"/>
    <w:rsid w:val="003A6FF0"/>
    <w:rsid w:val="003C6D88"/>
    <w:rsid w:val="003D30D6"/>
    <w:rsid w:val="003D6714"/>
    <w:rsid w:val="003E2632"/>
    <w:rsid w:val="0041289B"/>
    <w:rsid w:val="00424521"/>
    <w:rsid w:val="00482DA5"/>
    <w:rsid w:val="00493031"/>
    <w:rsid w:val="004A4FEE"/>
    <w:rsid w:val="004D0D33"/>
    <w:rsid w:val="004D18D6"/>
    <w:rsid w:val="004F676F"/>
    <w:rsid w:val="00501E47"/>
    <w:rsid w:val="00583DB0"/>
    <w:rsid w:val="005A43D0"/>
    <w:rsid w:val="005A6EDD"/>
    <w:rsid w:val="00604B0E"/>
    <w:rsid w:val="006B5FB6"/>
    <w:rsid w:val="006E71D7"/>
    <w:rsid w:val="007179A7"/>
    <w:rsid w:val="00722A49"/>
    <w:rsid w:val="00740FBE"/>
    <w:rsid w:val="00741A4F"/>
    <w:rsid w:val="007732C5"/>
    <w:rsid w:val="00781220"/>
    <w:rsid w:val="007829F6"/>
    <w:rsid w:val="007B162F"/>
    <w:rsid w:val="007B5A4E"/>
    <w:rsid w:val="007C0FD1"/>
    <w:rsid w:val="007C3F41"/>
    <w:rsid w:val="007F7CF3"/>
    <w:rsid w:val="0080636E"/>
    <w:rsid w:val="008249C6"/>
    <w:rsid w:val="00853AFA"/>
    <w:rsid w:val="00862D62"/>
    <w:rsid w:val="008A2CBD"/>
    <w:rsid w:val="008D29B2"/>
    <w:rsid w:val="009160AC"/>
    <w:rsid w:val="00934F59"/>
    <w:rsid w:val="009A0F83"/>
    <w:rsid w:val="009D564F"/>
    <w:rsid w:val="009F796C"/>
    <w:rsid w:val="00A02156"/>
    <w:rsid w:val="00A10666"/>
    <w:rsid w:val="00A31FC7"/>
    <w:rsid w:val="00A61B6A"/>
    <w:rsid w:val="00AC0580"/>
    <w:rsid w:val="00B14510"/>
    <w:rsid w:val="00B454AC"/>
    <w:rsid w:val="00B5230D"/>
    <w:rsid w:val="00B56C19"/>
    <w:rsid w:val="00B61A16"/>
    <w:rsid w:val="00BB7240"/>
    <w:rsid w:val="00BC18CA"/>
    <w:rsid w:val="00BD2CD7"/>
    <w:rsid w:val="00C127ED"/>
    <w:rsid w:val="00C12FD4"/>
    <w:rsid w:val="00C175BE"/>
    <w:rsid w:val="00C85D0F"/>
    <w:rsid w:val="00C90F6D"/>
    <w:rsid w:val="00C92388"/>
    <w:rsid w:val="00CC44E0"/>
    <w:rsid w:val="00CE1655"/>
    <w:rsid w:val="00CF6043"/>
    <w:rsid w:val="00D77EF1"/>
    <w:rsid w:val="00D92A83"/>
    <w:rsid w:val="00DB0EE7"/>
    <w:rsid w:val="00E148FC"/>
    <w:rsid w:val="00E56898"/>
    <w:rsid w:val="00E71F4C"/>
    <w:rsid w:val="00E771D1"/>
    <w:rsid w:val="00EA53ED"/>
    <w:rsid w:val="00EB63C8"/>
    <w:rsid w:val="00ED0547"/>
    <w:rsid w:val="00F15CC4"/>
    <w:rsid w:val="00F22C57"/>
    <w:rsid w:val="00F70D50"/>
    <w:rsid w:val="00F96EAB"/>
    <w:rsid w:val="00FA4DCE"/>
    <w:rsid w:val="00FB60E5"/>
    <w:rsid w:val="00FC68F8"/>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F72B1"/>
  <w15:chartTrackingRefBased/>
  <w15:docId w15:val="{B4A02400-5A96-4866-8F72-F1CAA745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CF6043"/>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9A0F83"/>
    <w:rPr>
      <w:sz w:val="20"/>
    </w:rPr>
  </w:style>
  <w:style w:type="character" w:customStyle="1" w:styleId="FootnoteTextChar">
    <w:name w:val="Footnote Text Char"/>
    <w:basedOn w:val="DefaultParagraphFont"/>
    <w:link w:val="FootnoteText"/>
    <w:rsid w:val="009A0F83"/>
  </w:style>
  <w:style w:type="character" w:styleId="FootnoteReference">
    <w:name w:val="footnote reference"/>
    <w:basedOn w:val="DefaultParagraphFont"/>
    <w:rsid w:val="009A0F83"/>
    <w:rPr>
      <w:vertAlign w:val="superscript"/>
    </w:rPr>
  </w:style>
  <w:style w:type="paragraph" w:styleId="Footer">
    <w:name w:val="footer"/>
    <w:basedOn w:val="Normal"/>
    <w:link w:val="FooterChar"/>
    <w:semiHidden/>
    <w:rsid w:val="009A0F83"/>
    <w:pPr>
      <w:tabs>
        <w:tab w:val="center" w:pos="4513"/>
        <w:tab w:val="right" w:pos="9026"/>
      </w:tabs>
    </w:pPr>
  </w:style>
  <w:style w:type="character" w:customStyle="1" w:styleId="FooterChar">
    <w:name w:val="Footer Char"/>
    <w:basedOn w:val="DefaultParagraphFont"/>
    <w:link w:val="Footer"/>
    <w:semiHidden/>
    <w:rsid w:val="009A0F83"/>
    <w:rPr>
      <w:sz w:val="24"/>
    </w:rPr>
  </w:style>
  <w:style w:type="paragraph" w:styleId="Revision">
    <w:name w:val="Revision"/>
    <w:hidden/>
    <w:uiPriority w:val="99"/>
    <w:semiHidden/>
    <w:rsid w:val="003939CB"/>
    <w:rPr>
      <w:sz w:val="24"/>
    </w:rPr>
  </w:style>
  <w:style w:type="paragraph" w:customStyle="1" w:styleId="Normal24a">
    <w:name w:val="Normal24a"/>
    <w:basedOn w:val="Normal"/>
    <w:rsid w:val="00424521"/>
    <w:pPr>
      <w:spacing w:after="480"/>
    </w:pPr>
    <w:rPr>
      <w:szCs w:val="24"/>
    </w:rPr>
  </w:style>
  <w:style w:type="paragraph" w:customStyle="1" w:styleId="NormalBoldCenter">
    <w:name w:val="NormalBoldCenter"/>
    <w:basedOn w:val="Normal"/>
    <w:rsid w:val="00424521"/>
    <w:pPr>
      <w:jc w:val="center"/>
    </w:pPr>
    <w:rPr>
      <w:b/>
      <w:szCs w:val="24"/>
    </w:rPr>
  </w:style>
  <w:style w:type="paragraph" w:customStyle="1" w:styleId="PageHeadingNotTOC">
    <w:name w:val="PageHeadingNotTOC"/>
    <w:basedOn w:val="Normal"/>
    <w:rsid w:val="00424521"/>
    <w:pPr>
      <w:keepNext/>
      <w:spacing w:after="480"/>
      <w:jc w:val="center"/>
    </w:pPr>
    <w:rPr>
      <w:rFonts w:ascii="Arial" w:hAnsi="Arial" w:cs="Arial"/>
      <w:b/>
      <w:szCs w:val="24"/>
    </w:rPr>
  </w:style>
  <w:style w:type="paragraph" w:customStyle="1" w:styleId="NormalSingle">
    <w:name w:val="NormalSingle"/>
    <w:basedOn w:val="Normal"/>
    <w:qFormat/>
    <w:rsid w:val="00424521"/>
    <w:rPr>
      <w:szCs w:val="24"/>
    </w:rPr>
  </w:style>
  <w:style w:type="paragraph" w:customStyle="1" w:styleId="Footprint12b">
    <w:name w:val="Footprint12b"/>
    <w:basedOn w:val="Normal"/>
    <w:rsid w:val="00424521"/>
    <w:pPr>
      <w:spacing w:before="240"/>
    </w:pPr>
    <w:rPr>
      <w:szCs w:val="24"/>
    </w:rPr>
  </w:style>
  <w:style w:type="character" w:styleId="Hyperlink">
    <w:name w:val="Hyperlink"/>
    <w:basedOn w:val="DefaultParagraphFont"/>
    <w:rsid w:val="00424521"/>
    <w:rPr>
      <w:color w:val="0563C1" w:themeColor="hyperlink"/>
      <w:u w:val="single"/>
    </w:rPr>
  </w:style>
  <w:style w:type="character" w:styleId="UnresolvedMention">
    <w:name w:val="Unresolved Mention"/>
    <w:basedOn w:val="DefaultParagraphFont"/>
    <w:uiPriority w:val="99"/>
    <w:semiHidden/>
    <w:unhideWhenUsed/>
    <w:rsid w:val="00424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1015</Words>
  <Characters>5797</Characters>
  <Application>Microsoft Office Word</Application>
  <DocSecurity>0</DocSecurity>
  <Lines>120</Lines>
  <Paragraphs>36</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AL_Com_Leg</dc:title>
  <dc:creator>DAHLI Silke</dc:creator>
  <cp:lastModifiedBy>ATANASIU Stefania Cristina</cp:lastModifiedBy>
  <cp:revision>2</cp:revision>
  <cp:lastPrinted>2004-06-24T10:04:00Z</cp:lastPrinted>
  <dcterms:created xsi:type="dcterms:W3CDTF">2025-11-03T08:22:00Z</dcterms:created>
  <dcterms:modified xsi:type="dcterms:W3CDTF">2025-11-03T08:22:00Z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1330061</vt:lpwstr>
  </property>
  <property fmtid="{D5CDD505-2E9C-101B-9397-08002B2CF9AE}" pid="4" name="&lt;Model&gt;">
    <vt:lpwstr>AL_Com_Leg</vt:lpwstr>
  </property>
  <property fmtid="{D5CDD505-2E9C-101B-9397-08002B2CF9AE}" pid="5" name="&lt;ModelCod&gt;">
    <vt:lpwstr>\\eiciBRUpr1\pdocep$\DocEP\DOCS\General\AL\AL_Com_Leg.dotx(20/01/2023 22:25:07)</vt:lpwstr>
  </property>
  <property fmtid="{D5CDD505-2E9C-101B-9397-08002B2CF9AE}" pid="6" name="&lt;ModelTra&gt;">
    <vt:lpwstr>\\eiciBRUpr1\pdocep$\DocEP\TRANSFIL\EN\AL_Com_Leg.EN(11/09/2024 09:05:01)</vt:lpwstr>
  </property>
  <property fmtid="{D5CDD505-2E9C-101B-9397-08002B2CF9AE}" pid="7" name="&lt;Type&gt;">
    <vt:lpwstr>AL</vt:lpwstr>
  </property>
  <property fmtid="{D5CDD505-2E9C-101B-9397-08002B2CF9AE}" pid="8" name="Created with">
    <vt:lpwstr>10.1.2 Build [20250817]</vt:lpwstr>
  </property>
  <property fmtid="{D5CDD505-2E9C-101B-9397-08002B2CF9AE}" pid="9" name="FooterPath">
    <vt:lpwstr>AL\1330061RO.docx</vt:lpwstr>
  </property>
  <property fmtid="{D5CDD505-2E9C-101B-9397-08002B2CF9AE}" pid="10" name="LastEdited with">
    <vt:lpwstr>10.1.2 Build [20250817]</vt:lpwstr>
  </property>
  <property fmtid="{D5CDD505-2E9C-101B-9397-08002B2CF9AE}" pid="11" name="PE number">
    <vt:lpwstr>778.158</vt:lpwstr>
  </property>
  <property fmtid="{D5CDD505-2E9C-101B-9397-08002B2CF9AE}" pid="12" name="SDLStudio">
    <vt:lpwstr/>
  </property>
  <property fmtid="{D5CDD505-2E9C-101B-9397-08002B2CF9AE}" pid="13" name="SendToEpades">
    <vt:lpwstr>OK - 2025/10/22 09:39</vt:lpwstr>
  </property>
  <property fmtid="{D5CDD505-2E9C-101B-9397-08002B2CF9AE}" pid="14" name="Bookout">
    <vt:lpwstr>OK - 2025/11/03 09:22</vt:lpwstr>
  </property>
</Properties>
</file>