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FCCD6BE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310DF8" w:rsidRPr="00BF7843" w:rsidP="00C85D0F" w14:paraId="0DFF6C76" w14:textId="4DC4D17F">
            <w:pPr>
              <w:pStyle w:val="EPName"/>
            </w:pPr>
            <w:r>
              <w:t>Evropský parlament</w:t>
            </w:r>
          </w:p>
          <w:p w:rsidR="00310DF8" w:rsidRPr="00104150" w:rsidP="00C85D0F" w14:paraId="1AF0B101" w14:textId="4DB31750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310DF8" w:rsidRPr="00BF7843" w:rsidP="00C85D0F" w14:paraId="1EC32771" w14:textId="77777777">
            <w:pPr>
              <w:pStyle w:val="EPLogo"/>
            </w:pPr>
            <w:r w:rsidRPr="00BF784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32008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C7D" w:rsidRPr="00BF7843" w:rsidP="00000C7D" w14:paraId="305715CF" w14:textId="77777777">
      <w:pPr>
        <w:pStyle w:val="LineTop"/>
      </w:pPr>
    </w:p>
    <w:p w:rsidR="00000C7D" w:rsidRPr="00BF7843" w:rsidP="00000C7D" w14:paraId="17EC776D" w14:textId="15EB9A23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{CULT}</w:t>
      </w:r>
      <w:r>
        <w:t xml:space="preserve">Výbor pro kulturu </w:t>
      </w:r>
      <w:r w:rsidR="000B1BB0">
        <w:t>a </w:t>
      </w:r>
      <w:r>
        <w:t>vzdělávání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000C7D" w:rsidRPr="00BF7843" w:rsidP="00000C7D" w14:paraId="65AE402D" w14:textId="3100BE2A">
      <w:pPr>
        <w:pStyle w:val="EPBody"/>
      </w:pPr>
      <w:r>
        <w:t>předsedkyně</w:t>
      </w:r>
    </w:p>
    <w:p w:rsidR="00000C7D" w:rsidRPr="00BF7843" w:rsidP="00000C7D" w14:paraId="68E0E54C" w14:textId="77777777">
      <w:pPr>
        <w:pStyle w:val="LineBottom"/>
      </w:pPr>
    </w:p>
    <w:p w:rsidR="00E71F4C" w:rsidRPr="00BF7843" w:rsidP="007C3F41" w14:paraId="16C9847B" w14:textId="72CFA8D1">
      <w:pPr>
        <w:pStyle w:val="LetterDate"/>
      </w:pPr>
      <w:r>
        <w:rPr>
          <w:rStyle w:val="HideTWBExt"/>
        </w:rPr>
        <w:t>&lt;Date&gt;</w:t>
      </w:r>
      <w:r>
        <w:rPr>
          <w:rStyle w:val="HideTWBInt"/>
        </w:rPr>
        <w:t>{14/07/2026}</w:t>
      </w:r>
      <w:r>
        <w:t>14.7.2026</w:t>
      </w:r>
      <w:r>
        <w:rPr>
          <w:rStyle w:val="HideTWBExt"/>
        </w:rPr>
        <w:t>&lt;/Date&gt;</w:t>
      </w:r>
    </w:p>
    <w:p w:rsidR="007179A7" w:rsidRPr="00BF7843" w14:paraId="4BEC1D6D" w14:textId="3F20EA47">
      <w:r>
        <w:t>Paní Li Andersson</w:t>
      </w:r>
    </w:p>
    <w:p w:rsidR="007179A7" w:rsidRPr="00BF7843" w14:paraId="3C31C806" w14:textId="618501A8">
      <w:r>
        <w:t>předsedkyně</w:t>
      </w:r>
    </w:p>
    <w:p w:rsidR="007179A7" w:rsidRPr="00BF7843" w14:paraId="5CD35775" w14:textId="7948CCD3">
      <w:r>
        <w:t xml:space="preserve">Výbor pro zaměstnanost </w:t>
      </w:r>
      <w:r w:rsidR="000B1BB0">
        <w:t>a </w:t>
      </w:r>
      <w:r>
        <w:t>sociální věci</w:t>
      </w:r>
    </w:p>
    <w:p w:rsidR="007179A7" w:rsidRPr="00BF7843" w14:paraId="32CF1612" w14:textId="73190807">
      <w:r>
        <w:t>BRUSEL</w:t>
      </w:r>
    </w:p>
    <w:p w:rsidR="009F796C" w:rsidRPr="00BF7843" w:rsidP="009F796C" w14:paraId="4D8E7FF6" w14:textId="0AB3DAC3">
      <w:pPr>
        <w:pStyle w:val="LetterSubject"/>
      </w:pPr>
      <w:r>
        <w:t>Věc:</w:t>
      </w:r>
      <w:r>
        <w:tab/>
      </w:r>
      <w:r>
        <w:rPr>
          <w:rStyle w:val="HideTWBExt"/>
        </w:rPr>
        <w:t>&lt;Titre&gt;</w:t>
      </w:r>
      <w:r>
        <w:t xml:space="preserve">Stanovisko výboru CULT ke zlepšování dovedností </w:t>
      </w:r>
      <w:r w:rsidR="000B1BB0">
        <w:t>v </w:t>
      </w:r>
      <w:r>
        <w:t xml:space="preserve">Unii – příležitostem pro odborné vzdělávání </w:t>
      </w:r>
      <w:r w:rsidR="000B1BB0">
        <w:t>a </w:t>
      </w:r>
      <w:r>
        <w:t xml:space="preserve">přípravu </w:t>
      </w:r>
      <w:r w:rsidR="000B1BB0">
        <w:t>v </w:t>
      </w:r>
      <w:r>
        <w:t>době transformace</w:t>
      </w:r>
      <w:r>
        <w:rPr>
          <w:rStyle w:val="HideTWBExt"/>
        </w:rPr>
        <w:t>&lt;/Titre&gt;</w:t>
      </w:r>
      <w:r>
        <w:t xml:space="preserve"> </w:t>
      </w:r>
      <w:r>
        <w:rPr>
          <w:rStyle w:val="HideTWBExt"/>
        </w:rPr>
        <w:t>&lt;DocRef&gt;</w:t>
      </w:r>
      <w:r>
        <w:t>(2026/2070(INI))</w:t>
      </w:r>
      <w:r>
        <w:rPr>
          <w:rStyle w:val="HideTWBExt"/>
        </w:rPr>
        <w:t>&lt;/DocRef&gt;</w:t>
      </w:r>
    </w:p>
    <w:p w:rsidR="007179A7" w:rsidRPr="00BF7843" w:rsidP="007C3F41" w14:paraId="6ECFEEE2" w14:textId="40212720">
      <w:pPr>
        <w:pStyle w:val="LetterSalutation"/>
      </w:pPr>
      <w:r>
        <w:t>Vážená paní předsedkyně,</w:t>
      </w:r>
    </w:p>
    <w:p w:rsidR="00104150" w:rsidRPr="006025D3" w:rsidP="00104150" w14:paraId="1ED4431B" w14:textId="74A46E12">
      <w:pPr>
        <w:pStyle w:val="Normal12a"/>
        <w:rPr>
          <w:szCs w:val="24"/>
        </w:rPr>
      </w:pPr>
      <w:r>
        <w:t xml:space="preserve">Výbor pro kulturu </w:t>
      </w:r>
      <w:r w:rsidR="000B1BB0">
        <w:t>a </w:t>
      </w:r>
      <w:r>
        <w:t xml:space="preserve">vzdělávání (CULT) byl </w:t>
      </w:r>
      <w:r w:rsidR="000B1BB0">
        <w:t>v </w:t>
      </w:r>
      <w:r>
        <w:t xml:space="preserve">rámci výše uvedeného postupu požádán </w:t>
      </w:r>
      <w:r w:rsidR="000B1BB0">
        <w:t>o </w:t>
      </w:r>
      <w:r>
        <w:t xml:space="preserve">předložení stanoviska Vašemu výboru </w:t>
      </w:r>
      <w:r w:rsidR="000B1BB0">
        <w:t>a </w:t>
      </w:r>
      <w:r>
        <w:t>rozhodl se předat toto stanovisko ve formě dopisu.</w:t>
      </w:r>
    </w:p>
    <w:p w:rsidR="00104150" w:rsidP="00104150" w14:paraId="58395AC5" w14:textId="4B816957">
      <w:pPr>
        <w:pStyle w:val="Normal12a"/>
        <w:rPr>
          <w:szCs w:val="24"/>
        </w:rPr>
      </w:pPr>
      <w:r>
        <w:t xml:space="preserve">Výbor CULT tuto záležitost projednal na schůzi konané dne 14. července 2026. Na této schůzi se rozhodl předložit Výboru pro zaměstnanost </w:t>
      </w:r>
      <w:r w:rsidR="000B1BB0">
        <w:t>a </w:t>
      </w:r>
      <w:r>
        <w:t>sociální věci jako příslušnému výboru níže uvedené stanovisko.</w:t>
      </w:r>
    </w:p>
    <w:p w:rsidR="007179A7" w:rsidRPr="00BF7843" w:rsidP="00104150" w14:paraId="46B11E57" w14:textId="62DB0A8F">
      <w:pPr>
        <w:pStyle w:val="Normal12a"/>
      </w:pPr>
      <w:r>
        <w:t>S </w:t>
      </w:r>
      <w:r w:rsidR="00BF7843">
        <w:t>pozdravem</w:t>
      </w:r>
    </w:p>
    <w:p w:rsidR="001E76F5" w:rsidP="00085831" w14:paraId="13E5CC98" w14:textId="46F68766">
      <w:pPr>
        <w:pStyle w:val="LetterSignature66b"/>
      </w:pPr>
      <w:r>
        <w:t>Nela Riehl</w:t>
      </w:r>
    </w:p>
    <w:p w:rsidR="001E76F5" w14:paraId="7AB5208E" w14:textId="77777777">
      <w:pPr>
        <w:widowControl/>
      </w:pPr>
      <w:r>
        <w:br w:type="page"/>
      </w:r>
    </w:p>
    <w:p w:rsidR="001E76F5" w:rsidRPr="000B1BB0" w:rsidP="001E76F5" w14:paraId="7ADD0622" w14:textId="77777777">
      <w:pPr>
        <w:jc w:val="center"/>
        <w:rPr>
          <w:rFonts w:ascii="Arial" w:hAnsi="Arial" w:cs="Arial"/>
          <w:b/>
          <w:bCs/>
        </w:rPr>
      </w:pPr>
      <w:bookmarkStart w:id="0" w:name="_Hlk234339819"/>
      <w:r w:rsidRPr="000B1BB0">
        <w:rPr>
          <w:rFonts w:ascii="Arial" w:hAnsi="Arial" w:cs="Arial"/>
          <w:b/>
        </w:rPr>
        <w:t>NÁVRHY</w:t>
      </w:r>
    </w:p>
    <w:p w:rsidR="001E76F5" w:rsidRPr="006025D3" w:rsidP="001E76F5" w14:paraId="0C4144FC" w14:textId="77777777">
      <w:pPr>
        <w:jc w:val="center"/>
        <w:rPr>
          <w:b/>
          <w:bCs/>
        </w:rPr>
      </w:pPr>
    </w:p>
    <w:p w:rsidR="001E76F5" w:rsidRPr="006025D3" w:rsidP="001E76F5" w14:paraId="3F002A20" w14:textId="77777777">
      <w:pPr>
        <w:ind w:left="426"/>
      </w:pPr>
    </w:p>
    <w:p w:rsidR="001E76F5" w:rsidRPr="006025D3" w:rsidP="001E76F5" w14:paraId="045CD868" w14:textId="77777777">
      <w:pPr>
        <w:ind w:left="644" w:right="565" w:hanging="360"/>
        <w:jc w:val="both"/>
      </w:pPr>
      <w:r>
        <w:rPr>
          <w:rFonts w:ascii="Symbol" w:hAnsi="Symbol"/>
        </w:rPr>
        <w:sym w:font="Symbol" w:char="F02D"/>
      </w:r>
      <w:r>
        <w:rPr>
          <w:rFonts w:ascii="Symbol" w:hAnsi="Symbol"/>
        </w:rPr>
        <w:tab/>
      </w:r>
      <w:r>
        <w:t>s ohledem na Smlouvu o fungování Evropské unie, a zejména na články 165 a 166 této smlouvy,</w:t>
      </w:r>
    </w:p>
    <w:p w:rsidR="001E76F5" w:rsidRPr="006025D3" w:rsidP="001E76F5" w14:paraId="78E6CBE5" w14:textId="77777777">
      <w:pPr>
        <w:ind w:right="565"/>
        <w:jc w:val="both"/>
      </w:pPr>
    </w:p>
    <w:p w:rsidR="001E76F5" w:rsidRPr="006025D3" w:rsidP="001E76F5" w14:paraId="49290049" w14:textId="5DAE4140">
      <w:pPr>
        <w:pStyle w:val="ListParagraph"/>
        <w:ind w:left="284" w:right="565"/>
        <w:jc w:val="both"/>
      </w:pPr>
      <w:r>
        <w:t xml:space="preserve">A. vzhledem </w:t>
      </w:r>
      <w:r w:rsidR="000B1BB0">
        <w:t>k </w:t>
      </w:r>
      <w:r>
        <w:t xml:space="preserve">tomu, že odborné vzdělávání </w:t>
      </w:r>
      <w:r w:rsidR="000B1BB0">
        <w:t>a </w:t>
      </w:r>
      <w:r>
        <w:t xml:space="preserve">příprava (OVP) jsou klíčovým pilířem Evropského prostoru vzdělávání, unie dovedností </w:t>
      </w:r>
      <w:r w:rsidR="000B1BB0">
        <w:t>a </w:t>
      </w:r>
      <w:r>
        <w:t xml:space="preserve">evropského ekosystému celoživotního učení </w:t>
      </w:r>
      <w:r w:rsidR="000B1BB0">
        <w:t>a </w:t>
      </w:r>
      <w:r>
        <w:t xml:space="preserve">přispívají </w:t>
      </w:r>
      <w:r w:rsidR="000B1BB0">
        <w:t>k </w:t>
      </w:r>
      <w:r>
        <w:t xml:space="preserve">osobnímu rozvoji, kvalitnímu zaměstnání, sociální soudržnosti, konkurenceschopnosti </w:t>
      </w:r>
      <w:r w:rsidR="000B1BB0">
        <w:t>a </w:t>
      </w:r>
      <w:r>
        <w:t>odolnosti EU, včetně strategické autonomie, v</w:t>
      </w:r>
      <w:r w:rsidR="003D425D">
        <w:t> </w:t>
      </w:r>
      <w:r>
        <w:t xml:space="preserve">době ekologické, digitální, demografické </w:t>
      </w:r>
      <w:r w:rsidR="000B1BB0">
        <w:t>a </w:t>
      </w:r>
      <w:r>
        <w:t>průmyslové transformace; vzhledem k</w:t>
      </w:r>
      <w:r w:rsidR="003D425D">
        <w:t> </w:t>
      </w:r>
      <w:r>
        <w:t xml:space="preserve">tomu, že OVP hraje klíčovou úlohu při posilování evropské průmyslové základny, zachování </w:t>
      </w:r>
      <w:r w:rsidR="000B1BB0">
        <w:t>a </w:t>
      </w:r>
      <w:r>
        <w:t xml:space="preserve">zlepšování specializovaného technického know-how </w:t>
      </w:r>
      <w:r w:rsidR="000B1BB0">
        <w:t>a </w:t>
      </w:r>
      <w:r>
        <w:t xml:space="preserve">řešení nedostatku pracovních sil </w:t>
      </w:r>
      <w:r w:rsidR="000B1BB0">
        <w:t>v </w:t>
      </w:r>
      <w:r>
        <w:t xml:space="preserve">odvětvích, která mají zásadní význam pro konkurenceschopnost </w:t>
      </w:r>
      <w:r w:rsidR="000B1BB0">
        <w:t>a </w:t>
      </w:r>
      <w:r>
        <w:t xml:space="preserve">odolnost Unie; vzhledem </w:t>
      </w:r>
      <w:r w:rsidR="000B1BB0">
        <w:t>k </w:t>
      </w:r>
      <w:r>
        <w:t xml:space="preserve">tomu, že kodaňský proces zahájený </w:t>
      </w:r>
      <w:r w:rsidR="000B1BB0">
        <w:t>v </w:t>
      </w:r>
      <w:r>
        <w:t>listopadu 2002 s</w:t>
      </w:r>
      <w:r w:rsidR="003D425D">
        <w:t> </w:t>
      </w:r>
      <w:r>
        <w:t xml:space="preserve">cílem posílit evropskou spolupráci </w:t>
      </w:r>
      <w:r w:rsidR="000B1BB0">
        <w:t>v </w:t>
      </w:r>
      <w:r>
        <w:t xml:space="preserve">oblasti odborného vzdělávání </w:t>
      </w:r>
      <w:r w:rsidR="000B1BB0">
        <w:t>a </w:t>
      </w:r>
      <w:r>
        <w:t xml:space="preserve">přípravy poskytuje soudržný rámec pro evropskou politiku </w:t>
      </w:r>
      <w:r w:rsidR="000B1BB0">
        <w:t>v </w:t>
      </w:r>
      <w:r>
        <w:t>oblasti OVP;</w:t>
      </w:r>
    </w:p>
    <w:p w:rsidR="001E76F5" w:rsidRPr="006025D3" w:rsidP="001E76F5" w14:paraId="44FCC02B" w14:textId="77777777">
      <w:pPr>
        <w:pStyle w:val="ListParagraph"/>
        <w:ind w:left="284" w:right="565"/>
        <w:jc w:val="both"/>
      </w:pPr>
    </w:p>
    <w:p w:rsidR="001E76F5" w:rsidRPr="006025D3" w:rsidP="001E76F5" w14:paraId="2F650EAF" w14:textId="1C23D299">
      <w:pPr>
        <w:pStyle w:val="ListParagraph"/>
        <w:ind w:left="284" w:right="565"/>
        <w:jc w:val="both"/>
      </w:pPr>
      <w:r>
        <w:t xml:space="preserve">B. vzhledem </w:t>
      </w:r>
      <w:r w:rsidR="000B1BB0">
        <w:t>k </w:t>
      </w:r>
      <w:r>
        <w:t xml:space="preserve">tomu, že OVP by mělo být oceňováno samo </w:t>
      </w:r>
      <w:r w:rsidR="000B1BB0">
        <w:t>o </w:t>
      </w:r>
      <w:r>
        <w:t xml:space="preserve">sobě jako vysoce kvalitní vzdělávací dráha, </w:t>
      </w:r>
      <w:r w:rsidR="000B1BB0">
        <w:t>a </w:t>
      </w:r>
      <w:r>
        <w:t xml:space="preserve">vzhledem </w:t>
      </w:r>
      <w:r w:rsidR="000B1BB0">
        <w:t>k </w:t>
      </w:r>
      <w:r>
        <w:t xml:space="preserve">tomu, že členské státy by měly </w:t>
      </w:r>
      <w:r w:rsidR="000B1BB0">
        <w:t>v </w:t>
      </w:r>
      <w:r>
        <w:t xml:space="preserve">souladu se svými vnitrostátními systémy vzdělávání </w:t>
      </w:r>
      <w:r w:rsidR="000B1BB0">
        <w:t>a </w:t>
      </w:r>
      <w:r>
        <w:t xml:space="preserve">odborné přípravy povzbuzovat </w:t>
      </w:r>
      <w:r w:rsidR="000B1BB0">
        <w:t>a </w:t>
      </w:r>
      <w:r>
        <w:t xml:space="preserve">podporovat rovnocennost odborného </w:t>
      </w:r>
      <w:r w:rsidR="000B1BB0">
        <w:t>a </w:t>
      </w:r>
      <w:r>
        <w:t xml:space="preserve">akademického vzdělávání při navrhování politik, </w:t>
      </w:r>
      <w:r w:rsidR="000B1BB0">
        <w:t>v </w:t>
      </w:r>
      <w:r>
        <w:t xml:space="preserve">rámci poradenství pro účastníky vzdělávání, příležitostí </w:t>
      </w:r>
      <w:r w:rsidR="000B1BB0">
        <w:t>k </w:t>
      </w:r>
      <w:r>
        <w:t xml:space="preserve">mobilitě, systémů uznávání, investic do kvality </w:t>
      </w:r>
      <w:r w:rsidR="000B1BB0">
        <w:t>a </w:t>
      </w:r>
      <w:r>
        <w:t xml:space="preserve">informování veřejnosti </w:t>
      </w:r>
      <w:r w:rsidR="000B1BB0">
        <w:t>o </w:t>
      </w:r>
      <w:r>
        <w:t xml:space="preserve">OVP; vzhledem </w:t>
      </w:r>
      <w:r w:rsidR="000B1BB0">
        <w:t>k </w:t>
      </w:r>
      <w:r>
        <w:t xml:space="preserve">tomu, že rovnocennost by měla znamenat účinný přístup </w:t>
      </w:r>
      <w:r w:rsidR="000B1BB0">
        <w:t>a </w:t>
      </w:r>
      <w:r>
        <w:t xml:space="preserve">příležitosti pro účastníky vzdělávání všech věkových kategorií </w:t>
      </w:r>
      <w:r w:rsidR="000B1BB0">
        <w:t>a </w:t>
      </w:r>
      <w:r>
        <w:t>ze všech prostředí, nikoli soutěž „</w:t>
      </w:r>
      <w:r w:rsidR="000B1BB0">
        <w:t>s </w:t>
      </w:r>
      <w:r>
        <w:t xml:space="preserve">nulovým součtem“ mezi odvětvími vzdělávání </w:t>
      </w:r>
      <w:r w:rsidR="000B1BB0">
        <w:t>a </w:t>
      </w:r>
      <w:r>
        <w:t>odborné přípravy;</w:t>
      </w:r>
    </w:p>
    <w:p w:rsidR="001E76F5" w:rsidRPr="006025D3" w:rsidP="001E76F5" w14:paraId="52F119FA" w14:textId="77777777">
      <w:pPr>
        <w:pStyle w:val="ListParagraph"/>
        <w:ind w:left="284" w:right="565"/>
        <w:jc w:val="both"/>
      </w:pPr>
    </w:p>
    <w:p w:rsidR="001E76F5" w:rsidRPr="006025D3" w:rsidP="001E76F5" w14:paraId="067E73D3" w14:textId="46A0E896">
      <w:pPr>
        <w:pStyle w:val="ListParagraph"/>
        <w:ind w:left="284" w:right="565"/>
        <w:jc w:val="both"/>
      </w:pPr>
      <w:r>
        <w:t xml:space="preserve">C. vzhledem </w:t>
      </w:r>
      <w:r w:rsidR="000B1BB0">
        <w:t>k </w:t>
      </w:r>
      <w:r>
        <w:t xml:space="preserve">tomu, že atraktivita </w:t>
      </w:r>
      <w:r w:rsidR="000B1BB0">
        <w:t>a </w:t>
      </w:r>
      <w:r>
        <w:t xml:space="preserve">kvalita OVP závisí nejen na významu pro trh práce, ale také na výuce </w:t>
      </w:r>
      <w:r w:rsidR="000B1BB0">
        <w:t>a </w:t>
      </w:r>
      <w:r>
        <w:t xml:space="preserve">odborné přípravě, poradenských systémech, inkluzivním přístupu, prostupnosti mezi cestami vzdělávání </w:t>
      </w:r>
      <w:r w:rsidR="000B1BB0">
        <w:t>a </w:t>
      </w:r>
      <w:r>
        <w:t xml:space="preserve">odborné přípravy, uznávání dovedností </w:t>
      </w:r>
      <w:r w:rsidR="000B1BB0">
        <w:t>a </w:t>
      </w:r>
      <w:r>
        <w:t xml:space="preserve">kvalifikací </w:t>
      </w:r>
      <w:r w:rsidR="000B1BB0">
        <w:t>a </w:t>
      </w:r>
      <w:r>
        <w:t xml:space="preserve">rozvoji základních, digitálních, zelených, občanských, sociálních </w:t>
      </w:r>
      <w:r w:rsidR="000B1BB0">
        <w:t>a </w:t>
      </w:r>
      <w:r>
        <w:t xml:space="preserve">průřezových kompetencí;  </w:t>
      </w:r>
    </w:p>
    <w:p w:rsidR="001E76F5" w:rsidRPr="006025D3" w:rsidP="001E76F5" w14:paraId="3C2E1DA0" w14:textId="77777777">
      <w:pPr>
        <w:pStyle w:val="ListParagraph"/>
        <w:ind w:left="284" w:right="565"/>
        <w:jc w:val="both"/>
      </w:pPr>
    </w:p>
    <w:p w:rsidR="001E76F5" w:rsidRPr="006025D3" w:rsidP="001E76F5" w14:paraId="503350E6" w14:textId="227B4D2B">
      <w:pPr>
        <w:pStyle w:val="ListParagraph"/>
        <w:ind w:left="284" w:right="565"/>
        <w:jc w:val="both"/>
      </w:pPr>
      <w:r>
        <w:t xml:space="preserve">D. vzhledem </w:t>
      </w:r>
      <w:r w:rsidR="000B1BB0">
        <w:t>k </w:t>
      </w:r>
      <w:r>
        <w:t xml:space="preserve">tomu, že veřejné investice na účastníka vzdělávání </w:t>
      </w:r>
      <w:r w:rsidR="000B1BB0">
        <w:t>a </w:t>
      </w:r>
      <w:r>
        <w:t xml:space="preserve">přímá finanční pomoc jsou ve většině členských států systematicky nižší </w:t>
      </w:r>
      <w:r w:rsidR="000B1BB0">
        <w:t>u </w:t>
      </w:r>
      <w:r>
        <w:t xml:space="preserve">vyššího sekundárního </w:t>
      </w:r>
      <w:r w:rsidR="000B1BB0">
        <w:t>a </w:t>
      </w:r>
      <w:r>
        <w:t xml:space="preserve">postsekundárního neterciárního vzdělávání – tj. na úrovních, </w:t>
      </w:r>
      <w:r w:rsidR="000B1BB0">
        <w:t>v </w:t>
      </w:r>
      <w:r>
        <w:t xml:space="preserve">nichž se soustřeďuje OVP – než </w:t>
      </w:r>
      <w:r w:rsidR="000B1BB0">
        <w:t>u </w:t>
      </w:r>
      <w:r>
        <w:t>terciárního vzdělávání</w:t>
      </w:r>
      <w:r>
        <w:rPr>
          <w:rStyle w:val="FootnoteReference"/>
        </w:rPr>
        <w:footnoteReference w:id="2"/>
      </w:r>
      <w:r>
        <w:t>;</w:t>
      </w:r>
    </w:p>
    <w:p w:rsidR="000B1BB0" w14:paraId="5BB37639" w14:textId="010A09D3">
      <w:pPr>
        <w:widowControl/>
      </w:pPr>
      <w:r>
        <w:br w:type="page"/>
      </w:r>
    </w:p>
    <w:p w:rsidR="001E76F5" w:rsidRPr="006025D3" w:rsidP="001E76F5" w14:paraId="0ECB4D6A" w14:textId="6FD1CE94">
      <w:pPr>
        <w:pStyle w:val="ListParagraph"/>
        <w:ind w:left="284" w:right="565"/>
        <w:jc w:val="both"/>
      </w:pPr>
      <w:r>
        <w:t xml:space="preserve">E. vzhledem </w:t>
      </w:r>
      <w:r w:rsidR="000B1BB0">
        <w:t>k </w:t>
      </w:r>
      <w:r>
        <w:t xml:space="preserve">tomu, že mobilita účastníků OVP </w:t>
      </w:r>
      <w:r w:rsidR="000B1BB0">
        <w:t>a </w:t>
      </w:r>
      <w:r>
        <w:t>učňů patří nadále jednoznačně k</w:t>
      </w:r>
      <w:r w:rsidR="003D425D">
        <w:t> </w:t>
      </w:r>
      <w:r>
        <w:t xml:space="preserve">oblastem, </w:t>
      </w:r>
      <w:r w:rsidR="000B1BB0">
        <w:t>v </w:t>
      </w:r>
      <w:r>
        <w:t xml:space="preserve">nichž je třeba tuto ambici ještě převést do praxe; vzhledem </w:t>
      </w:r>
      <w:r w:rsidR="000B1BB0">
        <w:t>k </w:t>
      </w:r>
      <w:r>
        <w:t xml:space="preserve">tomu, že příliš mnoho účastníků OVP </w:t>
      </w:r>
      <w:r w:rsidR="000B1BB0">
        <w:t>a </w:t>
      </w:r>
      <w:r>
        <w:t xml:space="preserve">učňů nadále čelí právní nejistotě, administrativním </w:t>
      </w:r>
      <w:r>
        <w:t xml:space="preserve">překážkám, omezené kapacitě poskytovatelů, nejednoznačně definovaným povinnostem </w:t>
      </w:r>
      <w:r w:rsidR="000B1BB0">
        <w:t>a </w:t>
      </w:r>
      <w:r>
        <w:t xml:space="preserve">nevyřešeným otázkám týkajícím se pojištění, odměňování, sociálního zabezpečení </w:t>
      </w:r>
      <w:r w:rsidR="000B1BB0">
        <w:t>a </w:t>
      </w:r>
      <w:r>
        <w:t xml:space="preserve">uznávání; vzhledem </w:t>
      </w:r>
      <w:r w:rsidR="000B1BB0">
        <w:t>k </w:t>
      </w:r>
      <w:r>
        <w:t xml:space="preserve">tomu, že účastníci vzdělávání si často nejsou vědomi svých práv </w:t>
      </w:r>
      <w:r w:rsidR="000B1BB0">
        <w:t>a </w:t>
      </w:r>
      <w:r>
        <w:t xml:space="preserve">nevědí </w:t>
      </w:r>
      <w:r w:rsidR="000B1BB0">
        <w:t>o </w:t>
      </w:r>
      <w:r>
        <w:t xml:space="preserve">postupech, které mají </w:t>
      </w:r>
      <w:r w:rsidR="000B1BB0">
        <w:t>k </w:t>
      </w:r>
      <w:r>
        <w:t xml:space="preserve">dispozici pro oznamování případů porušení těchto práv; vzhledem </w:t>
      </w:r>
      <w:r w:rsidR="000B1BB0">
        <w:t>k </w:t>
      </w:r>
      <w:r>
        <w:t xml:space="preserve">tomu, že další překážky, jako jsou rostoucí životní náklady </w:t>
      </w:r>
      <w:r w:rsidR="000B1BB0">
        <w:t>a </w:t>
      </w:r>
      <w:r>
        <w:t xml:space="preserve">náklady na bydlení, by mohly představovat riziko, že účastníci vzdělávání pocházející ze znevýhodněného socioekonomického prostředí budou vyloučeni </w:t>
      </w:r>
      <w:r w:rsidR="000B1BB0">
        <w:t>z </w:t>
      </w:r>
      <w:r>
        <w:t xml:space="preserve">možností mobility </w:t>
      </w:r>
      <w:r w:rsidR="000B1BB0">
        <w:t>v </w:t>
      </w:r>
      <w:r>
        <w:t>oblasti OVP;</w:t>
      </w:r>
    </w:p>
    <w:p w:rsidR="001E76F5" w:rsidRPr="006025D3" w:rsidP="001E76F5" w14:paraId="286593C8" w14:textId="77777777">
      <w:pPr>
        <w:pStyle w:val="ListParagraph"/>
        <w:ind w:left="284" w:right="565"/>
        <w:jc w:val="both"/>
      </w:pPr>
    </w:p>
    <w:p w:rsidR="001E76F5" w:rsidRPr="006025D3" w:rsidP="001E76F5" w14:paraId="5BE322F1" w14:textId="69FEA5C1">
      <w:pPr>
        <w:pStyle w:val="ListParagraph"/>
        <w:ind w:left="284" w:right="565"/>
        <w:jc w:val="both"/>
      </w:pPr>
      <w:r>
        <w:t xml:space="preserve">F. vzhledem </w:t>
      </w:r>
      <w:r w:rsidR="000B1BB0">
        <w:t>k </w:t>
      </w:r>
      <w:r>
        <w:t xml:space="preserve">tomu, že přetrvávající nesoulad mezi nabízenými </w:t>
      </w:r>
      <w:r w:rsidR="000B1BB0">
        <w:t>a </w:t>
      </w:r>
      <w:r>
        <w:t xml:space="preserve">požadovanými dovednostmi nadále brzdí produktivitu, hospodářský růst </w:t>
      </w:r>
      <w:r w:rsidR="000B1BB0">
        <w:t>a </w:t>
      </w:r>
      <w:r>
        <w:t xml:space="preserve">inovace </w:t>
      </w:r>
      <w:r w:rsidR="000B1BB0">
        <w:t>v </w:t>
      </w:r>
      <w:r>
        <w:t xml:space="preserve">celé Unii, což poukazuje na potřebu užší spolupráce mezi poskytovateli odborné přípravy, zaměstnavateli, malými </w:t>
      </w:r>
      <w:r w:rsidR="000B1BB0">
        <w:t>a </w:t>
      </w:r>
      <w:r>
        <w:t xml:space="preserve">středními podniky </w:t>
      </w:r>
      <w:r w:rsidR="000B1BB0">
        <w:t>a </w:t>
      </w:r>
      <w:r>
        <w:t xml:space="preserve">místními výrobními ekosystémy; vzhledem </w:t>
      </w:r>
      <w:r w:rsidR="000B1BB0">
        <w:t>k </w:t>
      </w:r>
      <w:r>
        <w:t xml:space="preserve">tomu, že systémy učňovského </w:t>
      </w:r>
      <w:r w:rsidR="000B1BB0">
        <w:t>a </w:t>
      </w:r>
      <w:r>
        <w:t xml:space="preserve">duálního odborného vzdělávání </w:t>
      </w:r>
      <w:r w:rsidR="000B1BB0">
        <w:t>a </w:t>
      </w:r>
      <w:r>
        <w:t xml:space="preserve">přípravy, které kombinují výuku ve škole </w:t>
      </w:r>
      <w:r w:rsidR="000B1BB0">
        <w:t>s </w:t>
      </w:r>
      <w:r>
        <w:t xml:space="preserve">významnou kvalitní odbornou přípravou na pracovištích </w:t>
      </w:r>
      <w:r w:rsidR="000B1BB0">
        <w:t>v </w:t>
      </w:r>
      <w:r>
        <w:t>podnicích, se ukázaly jako účinné při podpoře přechodu ze vzdělávání do zaměstnání;</w:t>
      </w:r>
    </w:p>
    <w:p w:rsidR="001E76F5" w:rsidRPr="006025D3" w:rsidP="001E76F5" w14:paraId="33C055BD" w14:textId="77777777">
      <w:pPr>
        <w:pStyle w:val="ListParagraph"/>
        <w:ind w:left="284" w:right="565"/>
        <w:jc w:val="both"/>
      </w:pPr>
    </w:p>
    <w:p w:rsidR="001E76F5" w:rsidRPr="006025D3" w:rsidP="001E76F5" w14:paraId="74A5F37F" w14:textId="6559381C">
      <w:pPr>
        <w:pStyle w:val="ListParagraph"/>
        <w:ind w:left="284" w:right="565"/>
        <w:jc w:val="both"/>
      </w:pPr>
      <w:r>
        <w:t xml:space="preserve">G. vzhledem </w:t>
      </w:r>
      <w:r w:rsidR="000B1BB0">
        <w:t>k </w:t>
      </w:r>
      <w:r>
        <w:t xml:space="preserve">tomu, že posílení společných evropských zásad </w:t>
      </w:r>
      <w:r w:rsidR="000B1BB0">
        <w:t>a </w:t>
      </w:r>
      <w:r>
        <w:t xml:space="preserve">ustanovení pro mobilní účastníky OVP </w:t>
      </w:r>
      <w:r w:rsidR="000B1BB0">
        <w:t>a </w:t>
      </w:r>
      <w:r>
        <w:t xml:space="preserve">učně by mohlo pomoci poskytnout větší právní jistotu účastníkům vzdělávání, poskytovatelům OVP, zaměstnavatelům </w:t>
      </w:r>
      <w:r w:rsidR="000B1BB0">
        <w:t>a </w:t>
      </w:r>
      <w:r>
        <w:t xml:space="preserve">příslušným orgánům, </w:t>
      </w:r>
      <w:r w:rsidR="000B1BB0">
        <w:t>a </w:t>
      </w:r>
      <w:r>
        <w:t xml:space="preserve">to při plném respektování pravomocí členských států </w:t>
      </w:r>
      <w:r w:rsidR="000B1BB0">
        <w:t>a </w:t>
      </w:r>
      <w:r>
        <w:t>vnitrostátních systémů OVP;</w:t>
      </w:r>
    </w:p>
    <w:p w:rsidR="001E76F5" w:rsidRPr="006025D3" w:rsidP="001E76F5" w14:paraId="1D7B460D" w14:textId="77777777">
      <w:pPr>
        <w:pStyle w:val="ListParagraph"/>
        <w:ind w:left="284" w:right="565"/>
        <w:jc w:val="both"/>
      </w:pPr>
    </w:p>
    <w:p w:rsidR="001E76F5" w:rsidRPr="006025D3" w:rsidP="001E76F5" w14:paraId="1D3B1E64" w14:textId="2C12AC55">
      <w:pPr>
        <w:pStyle w:val="ListParagraph"/>
        <w:ind w:left="284" w:right="565"/>
        <w:jc w:val="both"/>
      </w:pPr>
      <w:r>
        <w:t xml:space="preserve">H. vzhledem </w:t>
      </w:r>
      <w:r w:rsidR="000B1BB0">
        <w:t>k </w:t>
      </w:r>
      <w:r>
        <w:t xml:space="preserve">tomu, že mobilita </w:t>
      </w:r>
      <w:r w:rsidR="000B1BB0">
        <w:t>v </w:t>
      </w:r>
      <w:r>
        <w:t xml:space="preserve">oblasti OVP vyžaduje silnější podpůrnou kapacitu </w:t>
      </w:r>
      <w:r w:rsidR="000B1BB0">
        <w:t>v </w:t>
      </w:r>
      <w:r>
        <w:t xml:space="preserve">rámci institucí OVP, včetně specializovaných zaměstnanců, poradenství, partnerství zaměstnavatelů, zjednodušených postupů </w:t>
      </w:r>
      <w:r w:rsidR="000B1BB0">
        <w:t>a </w:t>
      </w:r>
      <w:r>
        <w:t xml:space="preserve">digitálních nástrojů; </w:t>
      </w:r>
    </w:p>
    <w:p w:rsidR="001E76F5" w:rsidRPr="006025D3" w:rsidP="001E76F5" w14:paraId="0009A89D" w14:textId="77777777">
      <w:pPr>
        <w:pStyle w:val="ListParagraph"/>
        <w:ind w:left="284" w:right="565"/>
        <w:jc w:val="both"/>
      </w:pPr>
    </w:p>
    <w:p w:rsidR="001E76F5" w:rsidRPr="006025D3" w:rsidP="001E76F5" w14:paraId="0D96510D" w14:textId="632924F9">
      <w:pPr>
        <w:pStyle w:val="ListParagraph"/>
        <w:ind w:left="284" w:right="565"/>
        <w:jc w:val="both"/>
      </w:pPr>
      <w:r>
        <w:t xml:space="preserve">I. vzhledem </w:t>
      </w:r>
      <w:r w:rsidR="000B1BB0">
        <w:t>k </w:t>
      </w:r>
      <w:r>
        <w:t xml:space="preserve">tomu, že centra excelence odborného vzdělávání, která byla jako taková zavedena ve stávajícím programu Erasmus+, jsou projekty transformační spolupráce </w:t>
      </w:r>
      <w:r w:rsidR="000B1BB0">
        <w:t>a </w:t>
      </w:r>
      <w:r>
        <w:t xml:space="preserve">partnerství propojující poskytovatele OVP, veřejné orgány, akademickou obec </w:t>
      </w:r>
      <w:r w:rsidR="000B1BB0">
        <w:t>a </w:t>
      </w:r>
      <w:r>
        <w:t xml:space="preserve">soukromý sektor, které mají úlohu </w:t>
      </w:r>
      <w:r w:rsidR="000B1BB0">
        <w:t>v </w:t>
      </w:r>
      <w:r>
        <w:t xml:space="preserve">ekosystémech dovedností, světě práce, inovacích </w:t>
      </w:r>
      <w:r w:rsidR="000B1BB0">
        <w:t>a </w:t>
      </w:r>
      <w:r>
        <w:t xml:space="preserve">ekologické </w:t>
      </w:r>
      <w:r w:rsidR="000B1BB0">
        <w:t>a </w:t>
      </w:r>
      <w:r>
        <w:t xml:space="preserve">digitální transformaci </w:t>
      </w:r>
      <w:r w:rsidR="000B1BB0">
        <w:t>a </w:t>
      </w:r>
      <w:r>
        <w:t xml:space="preserve">jsou podporovány inovativními pedagogickými postupy, profesním rozvojem učitelů </w:t>
      </w:r>
      <w:r w:rsidR="000B1BB0">
        <w:t>a </w:t>
      </w:r>
      <w:r>
        <w:t xml:space="preserve">školitelů, mobilitou účastníků vzdělávání </w:t>
      </w:r>
      <w:r w:rsidR="000B1BB0">
        <w:t>a </w:t>
      </w:r>
      <w:r>
        <w:t xml:space="preserve">pracovníků </w:t>
      </w:r>
      <w:r w:rsidR="000B1BB0">
        <w:t>a </w:t>
      </w:r>
      <w:r>
        <w:t>strategiemi internacionalizace OVP;</w:t>
      </w:r>
    </w:p>
    <w:p w:rsidR="001E76F5" w:rsidRPr="006025D3" w:rsidP="001E76F5" w14:paraId="5AB0142C" w14:textId="77777777">
      <w:pPr>
        <w:pStyle w:val="ListParagraph"/>
        <w:ind w:left="284" w:right="565"/>
        <w:jc w:val="both"/>
      </w:pPr>
    </w:p>
    <w:p w:rsidR="001E76F5" w:rsidRPr="006025D3" w:rsidP="001E76F5" w14:paraId="3002C92D" w14:textId="0505CE30">
      <w:pPr>
        <w:pStyle w:val="ListParagraph"/>
        <w:ind w:left="284" w:right="565"/>
        <w:jc w:val="both"/>
      </w:pPr>
      <w:r>
        <w:t xml:space="preserve">J. vzhledem </w:t>
      </w:r>
      <w:r w:rsidR="000B1BB0">
        <w:t>k </w:t>
      </w:r>
      <w:r>
        <w:t xml:space="preserve">tomu, že je třeba, aby OVP získalo </w:t>
      </w:r>
      <w:r w:rsidR="000B1BB0">
        <w:t>v </w:t>
      </w:r>
      <w:r>
        <w:t xml:space="preserve">příštím VFR odpovídající, viditelnou </w:t>
      </w:r>
      <w:r w:rsidR="000B1BB0">
        <w:t>a </w:t>
      </w:r>
      <w:r>
        <w:t xml:space="preserve">postupně posílenou podporu, zejména </w:t>
      </w:r>
      <w:r w:rsidR="000B1BB0">
        <w:t>v </w:t>
      </w:r>
      <w:r>
        <w:t xml:space="preserve">rámci programu Erasmus+, </w:t>
      </w:r>
      <w:r w:rsidR="000B1BB0">
        <w:t>a </w:t>
      </w:r>
      <w:r>
        <w:t xml:space="preserve">zároveň je třeba zachovat flexibilitu </w:t>
      </w:r>
      <w:r w:rsidR="000B1BB0">
        <w:t>a </w:t>
      </w:r>
      <w:r>
        <w:t xml:space="preserve">vyváženou strukturu programu týkající se celoživotního učení, </w:t>
      </w:r>
      <w:r w:rsidR="000B1BB0">
        <w:t>a </w:t>
      </w:r>
      <w:r>
        <w:t xml:space="preserve">také další doplňkové fondy EU; vzhledem </w:t>
      </w:r>
      <w:r w:rsidR="000B1BB0">
        <w:t>k </w:t>
      </w:r>
      <w:r>
        <w:t xml:space="preserve">tomu, že excelence OVP závisí také na učitelích, školitelích, mentorech na pracovišti, prostupnosti mezi vzděláváním </w:t>
      </w:r>
      <w:r w:rsidR="000B1BB0">
        <w:t>a </w:t>
      </w:r>
      <w:r>
        <w:t xml:space="preserve">odbornou přípravou </w:t>
      </w:r>
      <w:r w:rsidR="000B1BB0">
        <w:t>a </w:t>
      </w:r>
      <w:r>
        <w:t>na inkluzivním přístupu;</w:t>
      </w:r>
    </w:p>
    <w:p w:rsidR="000B1BB0" w14:paraId="75EC87E7" w14:textId="0E2CCCB5">
      <w:pPr>
        <w:widowControl/>
      </w:pPr>
      <w:r>
        <w:br w:type="page"/>
      </w:r>
    </w:p>
    <w:p w:rsidR="001E76F5" w:rsidRPr="006025D3" w:rsidP="001E76F5" w14:paraId="0E26B0D7" w14:textId="18AA7DD1">
      <w:pPr>
        <w:pStyle w:val="ListParagraph"/>
        <w:ind w:left="284" w:right="565"/>
        <w:jc w:val="both"/>
      </w:pPr>
      <w:r>
        <w:t xml:space="preserve">K. vzhledem </w:t>
      </w:r>
      <w:r w:rsidR="000B1BB0">
        <w:t>k </w:t>
      </w:r>
      <w:r>
        <w:t xml:space="preserve">tomu, že nedostatek učitelů OVP postihuje všech 27 členských států EU; vzhledem </w:t>
      </w:r>
      <w:r w:rsidR="000B1BB0">
        <w:t>k </w:t>
      </w:r>
      <w:r>
        <w:t xml:space="preserve">tomu, že podle průzkumu střediska Cedefop </w:t>
      </w:r>
      <w:r w:rsidR="000B1BB0">
        <w:t>z </w:t>
      </w:r>
      <w:r>
        <w:t xml:space="preserve">roku 2025 se pouze 18 % učitelů OVP domnívá, že jejich povolání je ceněno, </w:t>
      </w:r>
      <w:r w:rsidR="000B1BB0">
        <w:t>a </w:t>
      </w:r>
      <w:r>
        <w:t xml:space="preserve">pro jednu třetinu učitelů OVP nebylo jejich povolání první volbou </w:t>
      </w:r>
      <w:r w:rsidR="000B1BB0">
        <w:t>a </w:t>
      </w:r>
      <w:r>
        <w:t xml:space="preserve">že učitelé OVP mají </w:t>
      </w:r>
      <w:r w:rsidR="000B1BB0">
        <w:t>v </w:t>
      </w:r>
      <w:r>
        <w:t xml:space="preserve">průměru </w:t>
      </w:r>
      <w:r w:rsidR="000B1BB0">
        <w:t>o </w:t>
      </w:r>
      <w:r>
        <w:t>11 % nižší plat než jiní vysokoškolsky vzdělaní odborníci</w:t>
      </w:r>
      <w:r>
        <w:rPr>
          <w:rStyle w:val="FootnoteReference"/>
          <w:lang w:val="en-US"/>
        </w:rPr>
        <w:footnoteReference w:id="3"/>
      </w:r>
      <w:r>
        <w:t>;</w:t>
      </w:r>
    </w:p>
    <w:p w:rsidR="001E76F5" w:rsidRPr="003D425D" w:rsidP="001E76F5" w14:paraId="7D5AEEC2" w14:textId="77777777">
      <w:pPr>
        <w:ind w:right="565"/>
        <w:jc w:val="both"/>
      </w:pPr>
    </w:p>
    <w:p w:rsidR="001E76F5" w:rsidRPr="006025D3" w:rsidP="001E76F5" w14:paraId="248693B2" w14:textId="1CEA84A0">
      <w:pPr>
        <w:ind w:left="284" w:right="565"/>
        <w:jc w:val="both"/>
      </w:pPr>
      <w:r>
        <w:t>1.</w:t>
      </w:r>
      <w:r>
        <w:tab/>
        <w:t xml:space="preserve">vítá, že </w:t>
      </w:r>
      <w:r w:rsidR="000B1BB0">
        <w:t>v </w:t>
      </w:r>
      <w:r>
        <w:t xml:space="preserve">souvislosti </w:t>
      </w:r>
      <w:r w:rsidR="000B1BB0">
        <w:t>s </w:t>
      </w:r>
      <w:r>
        <w:t xml:space="preserve">unií dovedností, Herningským prohlášením </w:t>
      </w:r>
      <w:r w:rsidR="000B1BB0">
        <w:t>v </w:t>
      </w:r>
      <w:r>
        <w:t xml:space="preserve">rámci kodaňského procesu </w:t>
      </w:r>
      <w:r w:rsidR="000B1BB0">
        <w:t>a </w:t>
      </w:r>
      <w:r>
        <w:t xml:space="preserve">připravovanou evropskou strategií pro odborné vzdělávání </w:t>
      </w:r>
      <w:r w:rsidR="000B1BB0">
        <w:t>a </w:t>
      </w:r>
      <w:r>
        <w:t xml:space="preserve">přípravu je odbornému vzdělávání </w:t>
      </w:r>
      <w:r w:rsidR="000B1BB0">
        <w:t>a </w:t>
      </w:r>
      <w:r>
        <w:t xml:space="preserve">přípravě věnována obnovená politická pozornost, </w:t>
      </w:r>
      <w:r w:rsidR="000B1BB0">
        <w:t>a </w:t>
      </w:r>
      <w:r>
        <w:t xml:space="preserve">připomíná úlohu OVP jakožto pilíře Evropského prostoru vzdělávání, unie dovedností </w:t>
      </w:r>
      <w:r w:rsidR="000B1BB0">
        <w:t>a </w:t>
      </w:r>
      <w:r>
        <w:t xml:space="preserve">evropského ekosystému celoživotního učení </w:t>
      </w:r>
      <w:r w:rsidR="000B1BB0">
        <w:t>v </w:t>
      </w:r>
      <w:r>
        <w:t xml:space="preserve">zájmu zvýšení konkurenceschopnosti </w:t>
      </w:r>
      <w:r w:rsidR="000B1BB0">
        <w:t>a </w:t>
      </w:r>
      <w:r>
        <w:t xml:space="preserve">odolnosti; </w:t>
      </w:r>
    </w:p>
    <w:p w:rsidR="001E76F5" w:rsidRPr="003D425D" w:rsidP="001E76F5" w14:paraId="59DCDA05" w14:textId="77777777">
      <w:pPr>
        <w:ind w:left="284" w:right="565"/>
        <w:jc w:val="both"/>
      </w:pPr>
    </w:p>
    <w:p w:rsidR="001E76F5" w:rsidRPr="006025D3" w:rsidP="001E76F5" w14:paraId="08A4E12A" w14:textId="717C5E26">
      <w:pPr>
        <w:ind w:left="284" w:right="565"/>
        <w:jc w:val="both"/>
      </w:pPr>
      <w:r>
        <w:t>2.</w:t>
      </w:r>
      <w:r>
        <w:tab/>
        <w:t xml:space="preserve">vyzývá Komisi </w:t>
      </w:r>
      <w:r w:rsidR="000B1BB0">
        <w:t>a </w:t>
      </w:r>
      <w:r>
        <w:t xml:space="preserve">členské státy, aby rovnocennost mezi odborným </w:t>
      </w:r>
      <w:r w:rsidR="000B1BB0">
        <w:t>a </w:t>
      </w:r>
      <w:r>
        <w:t xml:space="preserve">akademickým vzděláváním promítly do konkrétních opatření </w:t>
      </w:r>
      <w:r w:rsidR="000B1BB0">
        <w:t>v </w:t>
      </w:r>
      <w:r>
        <w:t xml:space="preserve">oblasti navrhování politik, poradenství pro účastníky vzdělávání, příležitostí </w:t>
      </w:r>
      <w:r w:rsidR="000B1BB0">
        <w:t>k </w:t>
      </w:r>
      <w:r>
        <w:t xml:space="preserve">mobilitě, systémů uznávání, investic do kvality </w:t>
      </w:r>
      <w:r w:rsidR="000B1BB0">
        <w:t>a </w:t>
      </w:r>
      <w:r>
        <w:t xml:space="preserve">komunikace </w:t>
      </w:r>
      <w:r w:rsidR="000B1BB0">
        <w:t>s </w:t>
      </w:r>
      <w:r>
        <w:t xml:space="preserve">veřejností </w:t>
      </w:r>
      <w:r w:rsidR="000B1BB0">
        <w:t>o </w:t>
      </w:r>
      <w:r>
        <w:t xml:space="preserve">excelenci </w:t>
      </w:r>
      <w:r w:rsidR="000B1BB0">
        <w:t>a </w:t>
      </w:r>
      <w:r>
        <w:t xml:space="preserve">inkluzivnosti </w:t>
      </w:r>
      <w:r w:rsidR="000B1BB0">
        <w:t>v </w:t>
      </w:r>
      <w:r>
        <w:t xml:space="preserve">OVP, zejména </w:t>
      </w:r>
      <w:r w:rsidR="000B1BB0">
        <w:t>s </w:t>
      </w:r>
      <w:r>
        <w:t xml:space="preserve">cílem zvýšit jeho atraktivitu; </w:t>
      </w:r>
    </w:p>
    <w:p w:rsidR="001E76F5" w:rsidRPr="003D425D" w:rsidP="001E76F5" w14:paraId="385EB896" w14:textId="77777777">
      <w:pPr>
        <w:pStyle w:val="ListParagraph"/>
        <w:ind w:left="284" w:right="565"/>
        <w:jc w:val="both"/>
      </w:pPr>
    </w:p>
    <w:p w:rsidR="001E76F5" w:rsidRPr="006025D3" w:rsidP="001E76F5" w14:paraId="24DC3267" w14:textId="70E1B642">
      <w:pPr>
        <w:ind w:left="284" w:right="565"/>
        <w:jc w:val="both"/>
      </w:pPr>
      <w:r>
        <w:t>3.</w:t>
      </w:r>
      <w:r>
        <w:tab/>
        <w:t>zdůrazňuje, že rovnocennost by měla znamenat účinné příležitosti pro účastníky vzdělávání, nikoli soutěž „</w:t>
      </w:r>
      <w:r w:rsidR="000B1BB0">
        <w:t>s </w:t>
      </w:r>
      <w:r>
        <w:t xml:space="preserve">nulovým součtem“ mezi odvětvími vzdělávání </w:t>
      </w:r>
      <w:r w:rsidR="000B1BB0">
        <w:t>a </w:t>
      </w:r>
      <w:r>
        <w:t xml:space="preserve">odborné přípravy; </w:t>
      </w:r>
    </w:p>
    <w:p w:rsidR="001E76F5" w:rsidRPr="003D425D" w:rsidP="001E76F5" w14:paraId="2E866014" w14:textId="77777777">
      <w:pPr>
        <w:pStyle w:val="ListParagraph"/>
        <w:ind w:left="284" w:right="565"/>
        <w:jc w:val="both"/>
      </w:pPr>
    </w:p>
    <w:p w:rsidR="001E76F5" w:rsidRPr="006025D3" w:rsidP="001E76F5" w14:paraId="74209DC1" w14:textId="04072ACF">
      <w:pPr>
        <w:ind w:left="284" w:right="565"/>
        <w:jc w:val="both"/>
      </w:pPr>
      <w:r>
        <w:t>4.</w:t>
      </w:r>
      <w:r>
        <w:tab/>
        <w:t xml:space="preserve">zdůrazňuje, že budoucí strategie OVP by měla být </w:t>
      </w:r>
      <w:r w:rsidR="000B1BB0">
        <w:t>i </w:t>
      </w:r>
      <w:r>
        <w:t xml:space="preserve">nadále zaměřena na účastníky vzdělávání </w:t>
      </w:r>
      <w:r w:rsidR="000B1BB0">
        <w:t>a </w:t>
      </w:r>
      <w:r>
        <w:t xml:space="preserve">měla by podporovat jak konkurenceschopnost Evropy, tak osobní rozvoj, sociální začlenění </w:t>
      </w:r>
      <w:r w:rsidR="000B1BB0">
        <w:t>a </w:t>
      </w:r>
      <w:r>
        <w:t xml:space="preserve">demokratickou účast účastníků vzdělávání </w:t>
      </w:r>
      <w:r w:rsidR="000B1BB0">
        <w:t>a </w:t>
      </w:r>
      <w:r>
        <w:t>současně přispívat k</w:t>
      </w:r>
      <w:r w:rsidR="003D425D">
        <w:t> </w:t>
      </w:r>
      <w:r>
        <w:t xml:space="preserve">tomu, aby bylo evropské OVP vysoce kvalitní, inkluzivní, inovativní </w:t>
      </w:r>
      <w:r w:rsidR="000B1BB0">
        <w:t>a </w:t>
      </w:r>
      <w:r>
        <w:t xml:space="preserve">atraktivní </w:t>
      </w:r>
      <w:r w:rsidR="000B1BB0">
        <w:t>a </w:t>
      </w:r>
      <w:r>
        <w:t xml:space="preserve">mělo mezinárodní přesah; </w:t>
      </w:r>
      <w:r w:rsidR="000B1BB0">
        <w:t>v </w:t>
      </w:r>
      <w:r>
        <w:t xml:space="preserve">této souvislosti zdůrazňuje, že je důležité, aby </w:t>
      </w:r>
      <w:r w:rsidR="000B1BB0">
        <w:t>v </w:t>
      </w:r>
      <w:r>
        <w:t xml:space="preserve">rámci OVP existovaly jasné možnosti dalšího postupu, včetně vyššího odborného vzdělávání </w:t>
      </w:r>
      <w:r w:rsidR="000B1BB0">
        <w:t>a </w:t>
      </w:r>
      <w:r>
        <w:t xml:space="preserve">přípravy </w:t>
      </w:r>
      <w:r w:rsidR="000B1BB0">
        <w:t>a </w:t>
      </w:r>
      <w:r>
        <w:t xml:space="preserve">kvalifikací na úrovni 5 evropského rámce kvalifikací </w:t>
      </w:r>
      <w:r w:rsidR="000B1BB0">
        <w:t>a </w:t>
      </w:r>
      <w:r>
        <w:t xml:space="preserve">vyšší; </w:t>
      </w:r>
    </w:p>
    <w:p w:rsidR="001E76F5" w:rsidRPr="003D425D" w:rsidP="001E76F5" w14:paraId="2250E1B0" w14:textId="77777777">
      <w:pPr>
        <w:pStyle w:val="ListParagraph"/>
        <w:ind w:left="284" w:right="565"/>
        <w:jc w:val="both"/>
      </w:pPr>
    </w:p>
    <w:p w:rsidR="001E76F5" w:rsidRPr="006025D3" w:rsidP="001E76F5" w14:paraId="13EED80F" w14:textId="0395261A">
      <w:pPr>
        <w:ind w:left="284" w:right="565"/>
        <w:jc w:val="both"/>
      </w:pPr>
      <w:r>
        <w:t>5.</w:t>
      </w:r>
      <w:r>
        <w:tab/>
        <w:t xml:space="preserve">varuje, že </w:t>
      </w:r>
      <w:r w:rsidR="000B1BB0">
        <w:t>v </w:t>
      </w:r>
      <w:r>
        <w:t xml:space="preserve">důsledku demografických změn </w:t>
      </w:r>
      <w:r w:rsidR="000B1BB0">
        <w:t>a </w:t>
      </w:r>
      <w:r>
        <w:t xml:space="preserve">nedostatku strukturovaných způsobů předávání dovedností hrozí mnoha tradičním řemeslným dovednostem </w:t>
      </w:r>
      <w:r w:rsidR="000B1BB0">
        <w:t>a </w:t>
      </w:r>
      <w:r>
        <w:t xml:space="preserve">dovednostem </w:t>
      </w:r>
      <w:r w:rsidR="000B1BB0">
        <w:t>v </w:t>
      </w:r>
      <w:r>
        <w:t xml:space="preserve">oblasti zachování kulturního dědictví zánik; zdůrazňuje význam mezigeneračního předávání dovedností při řešení demografických změn </w:t>
      </w:r>
      <w:r w:rsidR="000B1BB0">
        <w:t>a </w:t>
      </w:r>
      <w:r>
        <w:t xml:space="preserve">nedostatku pracovních sil; povzbuzuje vznik iniciativ, které budou podporovat zkušené pracovníky při předávání jejich odborných znalostí </w:t>
      </w:r>
      <w:r w:rsidR="000B1BB0">
        <w:t>a </w:t>
      </w:r>
      <w:r>
        <w:t xml:space="preserve">zkušeností prostřednictvím mentorství, odborné přípravy na pracovišti </w:t>
      </w:r>
      <w:r w:rsidR="000B1BB0">
        <w:t>a </w:t>
      </w:r>
      <w:r>
        <w:t>systémů učňovské přípravy;</w:t>
      </w:r>
      <w:r>
        <w:rPr>
          <w:b/>
          <w:i/>
        </w:rPr>
        <w:t xml:space="preserve"> </w:t>
      </w:r>
      <w:r>
        <w:t xml:space="preserve">vyzývá Komisi </w:t>
      </w:r>
      <w:r w:rsidR="000B1BB0">
        <w:t>a </w:t>
      </w:r>
      <w:r>
        <w:t xml:space="preserve">členské státy, aby využívaly odborné vzdělávání </w:t>
      </w:r>
      <w:r w:rsidR="000B1BB0">
        <w:t>a </w:t>
      </w:r>
      <w:r>
        <w:t xml:space="preserve">přípravu jako prostředek </w:t>
      </w:r>
      <w:r w:rsidR="000B1BB0">
        <w:t>k </w:t>
      </w:r>
      <w:r>
        <w:t xml:space="preserve">ochraně </w:t>
      </w:r>
      <w:r w:rsidR="000B1BB0">
        <w:t>a </w:t>
      </w:r>
      <w:r>
        <w:t xml:space="preserve">předávání těchto dovedností; vyzývá </w:t>
      </w:r>
      <w:r w:rsidR="000B1BB0">
        <w:t>k </w:t>
      </w:r>
      <w:r>
        <w:t xml:space="preserve">tomu, aby strategie OVP byly propojeny </w:t>
      </w:r>
      <w:r w:rsidR="000B1BB0">
        <w:t>s </w:t>
      </w:r>
      <w:r>
        <w:t xml:space="preserve">místními kulturními ekosystémy </w:t>
      </w:r>
      <w:r w:rsidR="000B1BB0">
        <w:t>a </w:t>
      </w:r>
      <w:r>
        <w:t xml:space="preserve">dědictvím jako nástroj územní soudržnosti </w:t>
      </w:r>
      <w:r w:rsidR="000B1BB0">
        <w:t>a </w:t>
      </w:r>
      <w:r>
        <w:t xml:space="preserve">boje proti demografickému poklesu; vyzývá </w:t>
      </w:r>
      <w:r w:rsidR="000B1BB0">
        <w:t>k </w:t>
      </w:r>
      <w:r>
        <w:t>tomu, aby byla v</w:t>
      </w:r>
      <w:r w:rsidR="003D425D">
        <w:t> </w:t>
      </w:r>
      <w:r>
        <w:t xml:space="preserve">nadcházející strategii OVP plně zohledněna kulturní </w:t>
      </w:r>
      <w:r w:rsidR="000B1BB0">
        <w:t>a </w:t>
      </w:r>
      <w:r>
        <w:t>kreativní odvětví;</w:t>
      </w:r>
    </w:p>
    <w:p w:rsidR="001E76F5" w:rsidRPr="006025D3" w:rsidP="001E76F5" w14:paraId="4CE376FD" w14:textId="77777777">
      <w:pPr>
        <w:pStyle w:val="ListParagraph"/>
        <w:ind w:left="284" w:right="565"/>
        <w:jc w:val="both"/>
      </w:pPr>
    </w:p>
    <w:p w:rsidR="001E76F5" w:rsidRPr="006025D3" w:rsidP="001E76F5" w14:paraId="4D58A2F3" w14:textId="700CDFFD">
      <w:pPr>
        <w:ind w:left="284" w:right="565"/>
        <w:jc w:val="both"/>
      </w:pPr>
      <w:r>
        <w:t>6.</w:t>
      </w:r>
      <w:r>
        <w:tab/>
        <w:t xml:space="preserve">vyzývá Komisi </w:t>
      </w:r>
      <w:r w:rsidR="000B1BB0">
        <w:t>a </w:t>
      </w:r>
      <w:r>
        <w:t xml:space="preserve">členské státy, aby se přednostně zabývaly právní </w:t>
      </w:r>
      <w:r w:rsidR="000B1BB0">
        <w:t>a </w:t>
      </w:r>
      <w:r>
        <w:t xml:space="preserve">správní nejistotou, se kterou se potýkají mobilní účastníci OVP </w:t>
      </w:r>
      <w:r w:rsidR="000B1BB0">
        <w:t>a </w:t>
      </w:r>
      <w:r>
        <w:t xml:space="preserve">učni, mj. pokud jde </w:t>
      </w:r>
      <w:r w:rsidR="000B1BB0">
        <w:t>o </w:t>
      </w:r>
      <w:r>
        <w:t xml:space="preserve">status účastníka vzdělávání, smluvní ujednání, odměňování, sociální zabezpečení, pojištění </w:t>
      </w:r>
      <w:r w:rsidR="000B1BB0">
        <w:t>a </w:t>
      </w:r>
      <w:r>
        <w:t xml:space="preserve">uznávání období studia </w:t>
      </w:r>
      <w:r w:rsidR="000B1BB0">
        <w:t>v </w:t>
      </w:r>
      <w:r>
        <w:t>zahraničí;</w:t>
      </w:r>
    </w:p>
    <w:p w:rsidR="001E76F5" w:rsidRPr="003D425D" w:rsidP="001E76F5" w14:paraId="5C70125A" w14:textId="77777777">
      <w:pPr>
        <w:pStyle w:val="ListParagraph"/>
        <w:ind w:left="284" w:right="565"/>
        <w:jc w:val="both"/>
      </w:pPr>
    </w:p>
    <w:p w:rsidR="001E76F5" w:rsidRPr="006025D3" w:rsidP="001E76F5" w14:paraId="527CEAE0" w14:textId="3A57E5C9">
      <w:pPr>
        <w:ind w:left="284" w:right="565"/>
        <w:jc w:val="both"/>
      </w:pPr>
      <w:r>
        <w:t>7.</w:t>
      </w:r>
      <w:r>
        <w:tab/>
        <w:t xml:space="preserve">vyzývá Komisi, aby posílila společné evropské zásady </w:t>
      </w:r>
      <w:r w:rsidR="000B1BB0">
        <w:t>a </w:t>
      </w:r>
      <w:r>
        <w:t xml:space="preserve">ustanovení pro mobilní účastníky OVP </w:t>
      </w:r>
      <w:r w:rsidR="000B1BB0">
        <w:t>a </w:t>
      </w:r>
      <w:r>
        <w:t xml:space="preserve">učně, </w:t>
      </w:r>
      <w:r w:rsidR="000B1BB0">
        <w:t>a </w:t>
      </w:r>
      <w:r>
        <w:t xml:space="preserve">to při plném respektování pravomocí členských států </w:t>
      </w:r>
      <w:r w:rsidR="000B1BB0">
        <w:t>a </w:t>
      </w:r>
      <w:r>
        <w:t xml:space="preserve">vnitrostátních systémů OVP, </w:t>
      </w:r>
      <w:r w:rsidR="000B1BB0">
        <w:t>s </w:t>
      </w:r>
      <w:r>
        <w:t xml:space="preserve">cílem poskytnout účastníkům vzdělávání, poskytovatelům OVP, zaměstnavatelům </w:t>
      </w:r>
      <w:r w:rsidR="000B1BB0">
        <w:t>a </w:t>
      </w:r>
      <w:r>
        <w:t xml:space="preserve">příslušným orgánům větší právní jistotu, mj. vytvořením společného evropského rámce pro automatické vzájemné uznávání studijních kvalifikací </w:t>
      </w:r>
      <w:r w:rsidR="000B1BB0">
        <w:t>a </w:t>
      </w:r>
      <w:r>
        <w:t xml:space="preserve">období studia </w:t>
      </w:r>
      <w:r w:rsidR="000B1BB0">
        <w:t>v </w:t>
      </w:r>
      <w:r>
        <w:t xml:space="preserve">zahraničí ve školách, </w:t>
      </w:r>
      <w:r w:rsidR="000B1BB0">
        <w:t>v </w:t>
      </w:r>
      <w:r>
        <w:t xml:space="preserve">OVP </w:t>
      </w:r>
      <w:r w:rsidR="000B1BB0">
        <w:t>a </w:t>
      </w:r>
      <w:r>
        <w:t xml:space="preserve">ve vysokoškolském vzdělávání; vyzývá členské státy, aby zaručily přenositelnost domácích grantů </w:t>
      </w:r>
      <w:r w:rsidR="000B1BB0">
        <w:t>a </w:t>
      </w:r>
      <w:r>
        <w:t xml:space="preserve">půjček pro účastníky OVP, kteří se účastní uznané mobility, aby podpora mohla účastníka vzdělávání následovat </w:t>
      </w:r>
      <w:r w:rsidR="000B1BB0">
        <w:t>i </w:t>
      </w:r>
      <w:r>
        <w:t xml:space="preserve">do zahraničí; zdůrazňuje, že je důležité pravidelně přezkoumávat </w:t>
      </w:r>
      <w:r w:rsidR="000B1BB0">
        <w:t>a </w:t>
      </w:r>
      <w:r>
        <w:t xml:space="preserve">podle inflace provádět indexaci grantů </w:t>
      </w:r>
      <w:r w:rsidR="000B1BB0">
        <w:t>a </w:t>
      </w:r>
      <w:r>
        <w:t xml:space="preserve">finanční podpory pro účastníky OVP, učně, učitele </w:t>
      </w:r>
      <w:r w:rsidR="000B1BB0">
        <w:t>a </w:t>
      </w:r>
      <w:r>
        <w:t xml:space="preserve">zaměstnance účastnící se činností </w:t>
      </w:r>
      <w:r w:rsidR="000B1BB0">
        <w:t>v </w:t>
      </w:r>
      <w:r>
        <w:t xml:space="preserve">rámci mobility; </w:t>
      </w:r>
    </w:p>
    <w:p w:rsidR="001E76F5" w:rsidRPr="003D425D" w:rsidP="001E76F5" w14:paraId="1D4B6799" w14:textId="77777777">
      <w:pPr>
        <w:pStyle w:val="ListParagraph"/>
        <w:ind w:left="284" w:right="565"/>
        <w:jc w:val="both"/>
      </w:pPr>
    </w:p>
    <w:p w:rsidR="001E76F5" w:rsidRPr="006025D3" w:rsidP="001E76F5" w14:paraId="70D21259" w14:textId="0122CC29">
      <w:pPr>
        <w:ind w:left="284" w:right="565"/>
        <w:jc w:val="both"/>
      </w:pPr>
      <w:r>
        <w:t>8.</w:t>
      </w:r>
      <w:r>
        <w:tab/>
        <w:t xml:space="preserve">vyzývá </w:t>
      </w:r>
      <w:r w:rsidR="000B1BB0">
        <w:t>k </w:t>
      </w:r>
      <w:r>
        <w:t>tomu, aby program Erasmus+ financoval systémy podpory mobility v</w:t>
      </w:r>
      <w:r w:rsidR="003D425D">
        <w:t> </w:t>
      </w:r>
      <w:r>
        <w:t xml:space="preserve">rámci institucí OVP, jako jsou koordinátoři mobility </w:t>
      </w:r>
      <w:r w:rsidR="000B1BB0">
        <w:t>v </w:t>
      </w:r>
      <w:r>
        <w:t xml:space="preserve">samotných institucích, </w:t>
      </w:r>
      <w:r w:rsidR="000B1BB0">
        <w:t>a </w:t>
      </w:r>
      <w:r>
        <w:t xml:space="preserve">to na základě úspěšných experimentů, jako je projekt MONA ve Francii, </w:t>
      </w:r>
      <w:r w:rsidR="000B1BB0">
        <w:t>s </w:t>
      </w:r>
      <w:r>
        <w:t xml:space="preserve">cílem zahrnout koordinátory mobility, vést účastníky OVP </w:t>
      </w:r>
      <w:r w:rsidR="000B1BB0">
        <w:t>v </w:t>
      </w:r>
      <w:r>
        <w:t xml:space="preserve">rámci jejich projektů mobility, poskytovat poradenství učitelům OVP při vytváření evropských projektů </w:t>
      </w:r>
      <w:r w:rsidR="000B1BB0">
        <w:t>a </w:t>
      </w:r>
      <w:r>
        <w:t xml:space="preserve">usnadňovat kontakty mezi institucemi OVP, soukromým sektorem </w:t>
      </w:r>
      <w:r w:rsidR="000B1BB0">
        <w:t>a </w:t>
      </w:r>
      <w:r>
        <w:t xml:space="preserve">účastníky vzdělávání; </w:t>
      </w:r>
    </w:p>
    <w:p w:rsidR="001E76F5" w:rsidRPr="003D425D" w:rsidP="001E76F5" w14:paraId="4616E242" w14:textId="77777777">
      <w:pPr>
        <w:pStyle w:val="ListParagraph"/>
      </w:pPr>
    </w:p>
    <w:p w:rsidR="001E76F5" w:rsidRPr="006025D3" w:rsidP="001E76F5" w14:paraId="76F2D69D" w14:textId="043B0E76">
      <w:pPr>
        <w:pStyle w:val="ListParagraph"/>
        <w:ind w:left="284" w:right="565"/>
        <w:jc w:val="both"/>
      </w:pPr>
      <w:r>
        <w:t>9.</w:t>
      </w:r>
      <w:r>
        <w:tab/>
        <w:t xml:space="preserve">vybízí </w:t>
      </w:r>
      <w:r w:rsidR="000B1BB0">
        <w:t>k </w:t>
      </w:r>
      <w:r>
        <w:t xml:space="preserve">rozvoji infrastruktury digitální mobility přizpůsobené OVP, která by se inspirovala zkušenostmi programu Erasmus bez papíru ve vysokoškolském vzdělávání, </w:t>
      </w:r>
      <w:r w:rsidR="000B1BB0">
        <w:t>s </w:t>
      </w:r>
      <w:r>
        <w:t xml:space="preserve">cílem zjednodušit administrativní postupy, studijní smlouvy, postupy uznávání </w:t>
      </w:r>
      <w:r w:rsidR="000B1BB0">
        <w:t>a </w:t>
      </w:r>
      <w:r>
        <w:t xml:space="preserve">spolupráci mezi poskytovateli OVP, zaměstnavateli </w:t>
      </w:r>
      <w:r w:rsidR="000B1BB0">
        <w:t>a </w:t>
      </w:r>
      <w:r>
        <w:t xml:space="preserve">příslušnými orgány; </w:t>
      </w:r>
    </w:p>
    <w:p w:rsidR="001E76F5" w:rsidRPr="003D425D" w:rsidP="001E76F5" w14:paraId="5D2040AA" w14:textId="77777777">
      <w:pPr>
        <w:ind w:left="284" w:right="565"/>
        <w:jc w:val="both"/>
      </w:pPr>
    </w:p>
    <w:p w:rsidR="001E76F5" w:rsidRPr="006025D3" w:rsidP="001E76F5" w14:paraId="395DAEDF" w14:textId="10CDFF04">
      <w:pPr>
        <w:ind w:left="284" w:right="565"/>
        <w:jc w:val="both"/>
      </w:pPr>
      <w:r>
        <w:t>10.</w:t>
      </w:r>
      <w:r>
        <w:tab/>
        <w:t xml:space="preserve">zdůrazňuje transformační úlohu center excelence odborného vzdělávání jako projektů spolupráce </w:t>
      </w:r>
      <w:r w:rsidR="000B1BB0">
        <w:t>a </w:t>
      </w:r>
      <w:r>
        <w:t xml:space="preserve">partnerství, které sdružují poskytovatele OVP, veřejné orgány, akademickou obec </w:t>
      </w:r>
      <w:r w:rsidR="000B1BB0">
        <w:t>a </w:t>
      </w:r>
      <w:r>
        <w:t xml:space="preserve">soukromý sektor </w:t>
      </w:r>
      <w:r w:rsidR="000B1BB0">
        <w:t>s </w:t>
      </w:r>
      <w:r>
        <w:t xml:space="preserve">cílem posílit vazby mezi těmito zúčastněnými stranami, vytvářet inovativní učební osnovy </w:t>
      </w:r>
      <w:r w:rsidR="000B1BB0">
        <w:t>a </w:t>
      </w:r>
      <w:r>
        <w:t xml:space="preserve">pedagogické formáty, které reagují na potřeby Evropy </w:t>
      </w:r>
      <w:r w:rsidR="000B1BB0">
        <w:t>v </w:t>
      </w:r>
      <w:r>
        <w:t xml:space="preserve">oblasti dovedností, podporovat mobilitu účastníků OVP, učitelů, školitelů </w:t>
      </w:r>
      <w:r w:rsidR="000B1BB0">
        <w:t>a </w:t>
      </w:r>
      <w:r>
        <w:t xml:space="preserve">pracovníků </w:t>
      </w:r>
      <w:r w:rsidR="000B1BB0">
        <w:t>a </w:t>
      </w:r>
      <w:r>
        <w:t xml:space="preserve">nalézt řešení administrativních, finančních, právních </w:t>
      </w:r>
      <w:r w:rsidR="000B1BB0">
        <w:t>a </w:t>
      </w:r>
      <w:r>
        <w:t xml:space="preserve">praktických překážek, které brání mobilitě </w:t>
      </w:r>
      <w:r w:rsidR="000B1BB0">
        <w:t>v </w:t>
      </w:r>
      <w:r>
        <w:t xml:space="preserve">rámci OVP; </w:t>
      </w:r>
    </w:p>
    <w:p w:rsidR="001E76F5" w:rsidRPr="003D425D" w:rsidP="001E76F5" w14:paraId="5A0A772E" w14:textId="77777777">
      <w:pPr>
        <w:ind w:left="284" w:right="565"/>
        <w:jc w:val="both"/>
      </w:pPr>
    </w:p>
    <w:p w:rsidR="001E76F5" w:rsidRPr="006025D3" w:rsidP="001E76F5" w14:paraId="5E8AF534" w14:textId="765CA8B5">
      <w:pPr>
        <w:ind w:left="284" w:right="565"/>
        <w:jc w:val="both"/>
      </w:pPr>
      <w:r>
        <w:t>11.</w:t>
      </w:r>
      <w:r>
        <w:tab/>
        <w:t xml:space="preserve">vyzývá </w:t>
      </w:r>
      <w:r w:rsidR="000B1BB0">
        <w:t>k </w:t>
      </w:r>
      <w:r>
        <w:t xml:space="preserve">tomu, aby byl </w:t>
      </w:r>
      <w:r w:rsidR="000B1BB0">
        <w:t>v </w:t>
      </w:r>
      <w:r>
        <w:t xml:space="preserve">příštím programu Erasmus+ zachován rozpočet určený pro centra excelence OVP </w:t>
      </w:r>
      <w:r w:rsidR="000B1BB0">
        <w:t>a </w:t>
      </w:r>
      <w:r>
        <w:t xml:space="preserve">aby se úspěšným OVP dostalo stability </w:t>
      </w:r>
      <w:r w:rsidR="000B1BB0">
        <w:t>a </w:t>
      </w:r>
      <w:r>
        <w:t xml:space="preserve">viditelnosti potřebné </w:t>
      </w:r>
      <w:r w:rsidR="000B1BB0">
        <w:t>k </w:t>
      </w:r>
      <w:r>
        <w:t xml:space="preserve">tomu, aby mohla pokračovat </w:t>
      </w:r>
      <w:r w:rsidR="000B1BB0">
        <w:t>v </w:t>
      </w:r>
      <w:r>
        <w:t xml:space="preserve">inovacích </w:t>
      </w:r>
      <w:r w:rsidR="000B1BB0">
        <w:t>a </w:t>
      </w:r>
      <w:r>
        <w:t xml:space="preserve">transformaci odvětví OVP na evropské, vnitrostátní, regionální </w:t>
      </w:r>
      <w:r w:rsidR="000B1BB0">
        <w:t>a </w:t>
      </w:r>
      <w:r>
        <w:t>místní úrovni;</w:t>
      </w:r>
    </w:p>
    <w:p w:rsidR="001E76F5" w:rsidRPr="003D425D" w:rsidP="001E76F5" w14:paraId="13EDAF66" w14:textId="77777777">
      <w:pPr>
        <w:pStyle w:val="ListParagraph"/>
        <w:ind w:left="284" w:right="565"/>
        <w:jc w:val="both"/>
      </w:pPr>
    </w:p>
    <w:p w:rsidR="000B1BB0" w14:paraId="0BDEDC3C" w14:textId="77777777">
      <w:pPr>
        <w:widowControl/>
      </w:pPr>
      <w:r>
        <w:br w:type="page"/>
      </w:r>
    </w:p>
    <w:p w:rsidR="001E76F5" w:rsidRPr="006025D3" w:rsidP="001E76F5" w14:paraId="206E97ED" w14:textId="4A933180">
      <w:pPr>
        <w:pStyle w:val="ListParagraph"/>
        <w:ind w:left="284" w:right="565"/>
        <w:jc w:val="both"/>
      </w:pPr>
      <w:r>
        <w:t>12.</w:t>
      </w:r>
      <w:r>
        <w:tab/>
        <w:t xml:space="preserve">zdůrazňuje úlohu regionálních, metropolitních </w:t>
      </w:r>
      <w:r w:rsidR="000B1BB0">
        <w:t>a </w:t>
      </w:r>
      <w:r>
        <w:t xml:space="preserve">místních orgánů při budování inkluzivních, spravedlivých </w:t>
      </w:r>
      <w:r w:rsidR="000B1BB0">
        <w:t>a </w:t>
      </w:r>
      <w:r>
        <w:t xml:space="preserve">se zaměstnavateli propojených ekosystémů učňovské přípravy </w:t>
      </w:r>
      <w:r w:rsidR="000B1BB0">
        <w:t>a </w:t>
      </w:r>
      <w:r>
        <w:t xml:space="preserve">OVP </w:t>
      </w:r>
      <w:r w:rsidR="000B1BB0">
        <w:t>a </w:t>
      </w:r>
      <w:r>
        <w:t xml:space="preserve">při přímém řízení veřejných středisek odborné přípravy; </w:t>
      </w:r>
    </w:p>
    <w:p w:rsidR="001E76F5" w:rsidRPr="006025D3" w:rsidP="001E76F5" w14:paraId="4DC71798" w14:textId="77777777">
      <w:pPr>
        <w:ind w:right="565"/>
        <w:jc w:val="both"/>
      </w:pPr>
    </w:p>
    <w:p w:rsidR="001E76F5" w:rsidRPr="006025D3" w:rsidP="001E76F5" w14:paraId="69E0FA68" w14:textId="394A8386">
      <w:pPr>
        <w:pStyle w:val="ListParagraph"/>
        <w:ind w:left="284" w:right="565"/>
        <w:jc w:val="both"/>
      </w:pPr>
      <w:r>
        <w:t>13.</w:t>
      </w:r>
      <w:r>
        <w:tab/>
        <w:t xml:space="preserve">připomíná, že OVP vyžaduje odpovídající, viditelnou </w:t>
      </w:r>
      <w:r w:rsidR="000B1BB0">
        <w:t>a </w:t>
      </w:r>
      <w:r>
        <w:t xml:space="preserve">postupně posílenou podporu </w:t>
      </w:r>
      <w:r w:rsidR="000B1BB0">
        <w:t>v </w:t>
      </w:r>
      <w:r>
        <w:t xml:space="preserve">rámci programu Erasmus+, </w:t>
      </w:r>
      <w:r w:rsidR="000B1BB0">
        <w:t>a </w:t>
      </w:r>
      <w:r>
        <w:t xml:space="preserve">to na základě poptávky účastníků vzdělávání, kvality, začleňování, absorpční kapacity </w:t>
      </w:r>
      <w:r w:rsidR="000B1BB0">
        <w:t>a </w:t>
      </w:r>
      <w:r>
        <w:t xml:space="preserve">cíle programu Evropa </w:t>
      </w:r>
      <w:r w:rsidR="000B1BB0">
        <w:t>v </w:t>
      </w:r>
      <w:r>
        <w:t xml:space="preserve">pohybu pro mobilitu </w:t>
      </w:r>
      <w:r w:rsidR="000B1BB0">
        <w:t>v </w:t>
      </w:r>
      <w:r>
        <w:t xml:space="preserve">oblasti OVP, při současném zachování flexibility </w:t>
      </w:r>
      <w:r w:rsidR="000B1BB0">
        <w:t>a </w:t>
      </w:r>
      <w:r>
        <w:t xml:space="preserve">vyvážené struktury programu, pokud jde </w:t>
      </w:r>
      <w:r w:rsidR="000B1BB0">
        <w:t>o </w:t>
      </w:r>
      <w:r>
        <w:t xml:space="preserve">celoživotní učení; </w:t>
      </w:r>
    </w:p>
    <w:p w:rsidR="001E76F5" w:rsidRPr="003D425D" w:rsidP="001E76F5" w14:paraId="76F35FF7" w14:textId="77777777">
      <w:pPr>
        <w:pStyle w:val="ListParagraph"/>
        <w:ind w:left="284" w:right="565"/>
        <w:jc w:val="both"/>
      </w:pPr>
    </w:p>
    <w:p w:rsidR="001E76F5" w:rsidRPr="006025D3" w:rsidP="001E76F5" w14:paraId="71B56E0E" w14:textId="1B45B7CC">
      <w:pPr>
        <w:ind w:left="284" w:right="565"/>
        <w:jc w:val="both"/>
      </w:pPr>
      <w:r>
        <w:t>14.</w:t>
      </w:r>
      <w:r>
        <w:tab/>
        <w:t xml:space="preserve">vyzývá </w:t>
      </w:r>
      <w:r w:rsidR="000B1BB0">
        <w:t>k </w:t>
      </w:r>
      <w:r>
        <w:t xml:space="preserve">tomu, aby veškerá budoucí stipendia programu Erasmus+ </w:t>
      </w:r>
      <w:r w:rsidR="000B1BB0">
        <w:t>a </w:t>
      </w:r>
      <w:r>
        <w:t>akce zaměřené na talenty nebo excelenci ve strategických oblastech vzdělávání byly v</w:t>
      </w:r>
      <w:r w:rsidR="003D425D">
        <w:t> </w:t>
      </w:r>
      <w:r>
        <w:t xml:space="preserve">příslušných případech otevřeny účastníkům OVP </w:t>
      </w:r>
      <w:r w:rsidR="000B1BB0">
        <w:t>a </w:t>
      </w:r>
      <w:r>
        <w:t xml:space="preserve">cestám vyššího odborného vzdělávání </w:t>
      </w:r>
      <w:r w:rsidR="000B1BB0">
        <w:t>a </w:t>
      </w:r>
      <w:r>
        <w:t xml:space="preserve">přípravy </w:t>
      </w:r>
      <w:r w:rsidR="000B1BB0">
        <w:t>a </w:t>
      </w:r>
      <w:r>
        <w:t xml:space="preserve">aby zároveň doplňovaly základní financování programu Erasmus+ pro vzdělávací mobilitu, začleňování </w:t>
      </w:r>
      <w:r w:rsidR="000B1BB0">
        <w:t>a </w:t>
      </w:r>
      <w:r>
        <w:t xml:space="preserve">spolupráci, nikoli aby ho snižovaly; </w:t>
      </w:r>
    </w:p>
    <w:p w:rsidR="001E76F5" w:rsidRPr="003D425D" w:rsidP="001E76F5" w14:paraId="584BFB82" w14:textId="77777777">
      <w:pPr>
        <w:pStyle w:val="ListParagraph"/>
        <w:ind w:left="284" w:right="565"/>
        <w:jc w:val="both"/>
      </w:pPr>
    </w:p>
    <w:p w:rsidR="001E76F5" w:rsidRPr="006025D3" w:rsidP="001E76F5" w14:paraId="75FC7DC5" w14:textId="3258EAAE">
      <w:pPr>
        <w:ind w:left="284" w:right="565"/>
        <w:jc w:val="both"/>
      </w:pPr>
      <w:r>
        <w:t>15.</w:t>
      </w:r>
      <w:r>
        <w:tab/>
        <w:t xml:space="preserve">vyzývá </w:t>
      </w:r>
      <w:r w:rsidR="000B1BB0">
        <w:t>k </w:t>
      </w:r>
      <w:r>
        <w:t xml:space="preserve">tomu, aby se připravovaná Agenda EU pro učitele </w:t>
      </w:r>
      <w:r w:rsidR="000B1BB0">
        <w:t>a </w:t>
      </w:r>
      <w:r>
        <w:t xml:space="preserve">školitele výslovně zabývala příčinami nedostatku </w:t>
      </w:r>
      <w:r w:rsidR="000B1BB0">
        <w:t>a </w:t>
      </w:r>
      <w:r>
        <w:t xml:space="preserve">potřebami učitelů </w:t>
      </w:r>
      <w:r w:rsidR="000B1BB0">
        <w:t>a </w:t>
      </w:r>
      <w:r>
        <w:t xml:space="preserve">školitelů OVP </w:t>
      </w:r>
      <w:r w:rsidR="000B1BB0">
        <w:t>a </w:t>
      </w:r>
      <w:r>
        <w:t xml:space="preserve">dalších souvisejících pracovníků, včetně přitažlivosti profesní dráhy, počátečního </w:t>
      </w:r>
      <w:r w:rsidR="000B1BB0">
        <w:t>a </w:t>
      </w:r>
      <w:r>
        <w:t xml:space="preserve">dalšího profesního rozvoje, flexibilních profesních drah, pedagogických inovací, digitálních kompetencí, kompetencí </w:t>
      </w:r>
      <w:r w:rsidR="000B1BB0">
        <w:t>v </w:t>
      </w:r>
      <w:r>
        <w:t xml:space="preserve">oblasti umělé inteligence </w:t>
      </w:r>
      <w:r w:rsidR="000B1BB0">
        <w:t>a </w:t>
      </w:r>
      <w:r>
        <w:t xml:space="preserve">zelených kompetencí, dovedností </w:t>
      </w:r>
      <w:r w:rsidR="000B1BB0">
        <w:t>v </w:t>
      </w:r>
      <w:r>
        <w:t xml:space="preserve">oblasti začleňování </w:t>
      </w:r>
      <w:r w:rsidR="000B1BB0">
        <w:t>a </w:t>
      </w:r>
      <w:r>
        <w:t xml:space="preserve">podpory interních mentorů; </w:t>
      </w:r>
    </w:p>
    <w:p w:rsidR="001E76F5" w:rsidRPr="003D425D" w:rsidP="001E76F5" w14:paraId="7271DCB5" w14:textId="77777777">
      <w:pPr>
        <w:pStyle w:val="ListParagraph"/>
        <w:ind w:left="284" w:right="565"/>
        <w:jc w:val="both"/>
      </w:pPr>
    </w:p>
    <w:p w:rsidR="001E76F5" w:rsidRPr="006025D3" w:rsidP="001E76F5" w14:paraId="152D0C8F" w14:textId="02DD8A68">
      <w:pPr>
        <w:ind w:left="284" w:right="565"/>
        <w:jc w:val="both"/>
      </w:pPr>
      <w:r>
        <w:t>16.</w:t>
      </w:r>
      <w:r>
        <w:tab/>
        <w:t xml:space="preserve">zdůrazňuje význam prostupnosti mezi OVP </w:t>
      </w:r>
      <w:r w:rsidR="000B1BB0">
        <w:t>a </w:t>
      </w:r>
      <w:r>
        <w:t xml:space="preserve">dalšími formami vzdělávání </w:t>
      </w:r>
      <w:r w:rsidR="000B1BB0">
        <w:t>a </w:t>
      </w:r>
      <w:r>
        <w:t xml:space="preserve">odborné přípravy, jako je vysokoškolské vzdělávání, vzdělávání dospělých </w:t>
      </w:r>
      <w:r w:rsidR="000B1BB0">
        <w:t>a </w:t>
      </w:r>
      <w:r>
        <w:t xml:space="preserve">zaměstnání, aby účastníci vzdělávání mohli postupovat kupředu různými cestami vzdělávání bez slepých uliček; vyzývá </w:t>
      </w:r>
      <w:r w:rsidR="000B1BB0">
        <w:t>v </w:t>
      </w:r>
      <w:r>
        <w:t xml:space="preserve">této souvislosti </w:t>
      </w:r>
      <w:r w:rsidR="000B1BB0">
        <w:t>k </w:t>
      </w:r>
      <w:r>
        <w:t xml:space="preserve">většímu uznávání kvalifikací </w:t>
      </w:r>
      <w:r w:rsidR="000B1BB0">
        <w:t>a </w:t>
      </w:r>
      <w:r>
        <w:t xml:space="preserve">výsledků OVP, lepšímu celoživotnímu poradenství, využívání mikrocertifikátů se zaručenou kvalitou, validaci neformálního </w:t>
      </w:r>
      <w:r w:rsidR="000B1BB0">
        <w:t>a </w:t>
      </w:r>
      <w:r>
        <w:t xml:space="preserve">informálního učení </w:t>
      </w:r>
      <w:r w:rsidR="000B1BB0">
        <w:t>a </w:t>
      </w:r>
      <w:r>
        <w:t xml:space="preserve">přechodům od počátečního OVP </w:t>
      </w:r>
      <w:r w:rsidR="000B1BB0">
        <w:t>k </w:t>
      </w:r>
      <w:r>
        <w:t xml:space="preserve">vyššímu odbornému vzdělávání </w:t>
      </w:r>
      <w:r w:rsidR="000B1BB0">
        <w:t>a </w:t>
      </w:r>
      <w:r>
        <w:t xml:space="preserve">přípravě, vysokoškolskému vzdělávání </w:t>
      </w:r>
      <w:r w:rsidR="000B1BB0">
        <w:t>a </w:t>
      </w:r>
      <w:r>
        <w:t xml:space="preserve">dalšímu OVP; </w:t>
      </w:r>
    </w:p>
    <w:p w:rsidR="001E76F5" w:rsidRPr="003D425D" w:rsidP="001E76F5" w14:paraId="7C4786B6" w14:textId="77777777">
      <w:pPr>
        <w:pStyle w:val="ListParagraph"/>
      </w:pPr>
    </w:p>
    <w:p w:rsidR="001E76F5" w:rsidRPr="006025D3" w:rsidP="001E76F5" w14:paraId="5F08003B" w14:textId="22A59650">
      <w:pPr>
        <w:pStyle w:val="ListParagraph"/>
        <w:ind w:left="284" w:right="565"/>
        <w:jc w:val="both"/>
      </w:pPr>
      <w:r>
        <w:t>17.</w:t>
      </w:r>
      <w:r>
        <w:tab/>
        <w:t xml:space="preserve">vyzývá </w:t>
      </w:r>
      <w:r w:rsidR="000B1BB0">
        <w:t>k </w:t>
      </w:r>
      <w:r>
        <w:t xml:space="preserve">tomu, aby osnovy OVP vybavily účastníky vzdělávání nejen dovednostmi specifickými pro jednotlivá povolání, ale také základními </w:t>
      </w:r>
      <w:r w:rsidR="000B1BB0">
        <w:t>a </w:t>
      </w:r>
      <w:r>
        <w:t xml:space="preserve">digitálními kompetencemi, kompetencemi </w:t>
      </w:r>
      <w:r w:rsidR="000B1BB0">
        <w:t>v </w:t>
      </w:r>
      <w:r>
        <w:t xml:space="preserve">oblasti umělé inteligence, zelenými </w:t>
      </w:r>
      <w:r w:rsidR="000B1BB0">
        <w:t>a </w:t>
      </w:r>
      <w:r>
        <w:t xml:space="preserve">občanskými kompetencemi, kompetencemi mediální gramotnosti </w:t>
      </w:r>
      <w:r w:rsidR="000B1BB0">
        <w:t>a </w:t>
      </w:r>
      <w:r>
        <w:t xml:space="preserve">podnikatelskými, sociálními </w:t>
      </w:r>
      <w:r w:rsidR="000B1BB0">
        <w:t>a </w:t>
      </w:r>
      <w:r>
        <w:t xml:space="preserve">průřezovými kompetencemi potřebnými pro kvalitní pracovní místa, celoživotní učení, aktivní občanství </w:t>
      </w:r>
      <w:r w:rsidR="000B1BB0">
        <w:t>a </w:t>
      </w:r>
      <w:r>
        <w:t xml:space="preserve">demokratickou odolnost; připomíná, že úsilí </w:t>
      </w:r>
      <w:r w:rsidR="000B1BB0">
        <w:t>o </w:t>
      </w:r>
      <w:r>
        <w:t xml:space="preserve">excelenci </w:t>
      </w:r>
      <w:r w:rsidR="000B1BB0">
        <w:t>a o </w:t>
      </w:r>
      <w:r>
        <w:t xml:space="preserve">začlenění </w:t>
      </w:r>
      <w:r w:rsidR="000B1BB0">
        <w:t>v </w:t>
      </w:r>
      <w:r>
        <w:t xml:space="preserve">rámci OVP musí být společné </w:t>
      </w:r>
      <w:r w:rsidR="000B1BB0">
        <w:t>a </w:t>
      </w:r>
      <w:r>
        <w:t xml:space="preserve">že vysoce kvalitní OVP, mobilita </w:t>
      </w:r>
      <w:r w:rsidR="000B1BB0">
        <w:t>a </w:t>
      </w:r>
      <w:r>
        <w:t xml:space="preserve">inovační příležitosti by měly být přístupné účastníkům vzdělávání </w:t>
      </w:r>
      <w:r w:rsidR="000B1BB0">
        <w:t>s </w:t>
      </w:r>
      <w:r>
        <w:t xml:space="preserve">omezenými příležitostmi, účastníkům vzdělávání se zdravotním postižením </w:t>
      </w:r>
      <w:r w:rsidR="000B1BB0">
        <w:t>a </w:t>
      </w:r>
      <w:r>
        <w:t xml:space="preserve">specifickými poruchami učení, dospělým účastníkům vzdělávání, účastníkům vzdělávání </w:t>
      </w:r>
      <w:r w:rsidR="000B1BB0">
        <w:t>v </w:t>
      </w:r>
      <w:r>
        <w:t xml:space="preserve">nejvzdálenějších regionech, venkovských, odlehlých </w:t>
      </w:r>
      <w:r w:rsidR="000B1BB0">
        <w:t>a </w:t>
      </w:r>
      <w:r>
        <w:t xml:space="preserve">znevýhodněných oblastech </w:t>
      </w:r>
      <w:r w:rsidR="000B1BB0">
        <w:t>a </w:t>
      </w:r>
      <w:r>
        <w:t xml:space="preserve">ženám </w:t>
      </w:r>
      <w:r w:rsidR="000B1BB0">
        <w:t>a </w:t>
      </w:r>
      <w:r>
        <w:t xml:space="preserve">dívkám </w:t>
      </w:r>
      <w:r w:rsidR="000B1BB0">
        <w:t>v </w:t>
      </w:r>
      <w:r>
        <w:t xml:space="preserve">rámci cest OVP souvisejících se STEM, </w:t>
      </w:r>
      <w:r w:rsidR="000B1BB0">
        <w:t>a </w:t>
      </w:r>
      <w:r>
        <w:t xml:space="preserve">to </w:t>
      </w:r>
      <w:r w:rsidR="000B1BB0">
        <w:t>i </w:t>
      </w:r>
      <w:r>
        <w:t xml:space="preserve">prostřednictvím nabídek mobilní odborné přípravy, smíšeného učení, poradenství na dálku </w:t>
      </w:r>
      <w:r w:rsidR="000B1BB0">
        <w:t>a </w:t>
      </w:r>
      <w:r>
        <w:t xml:space="preserve">spolupráce mezi školami, středisky odborné přípravy </w:t>
      </w:r>
      <w:r w:rsidR="000B1BB0">
        <w:t>a </w:t>
      </w:r>
      <w:r>
        <w:t xml:space="preserve">místními komunitami; </w:t>
      </w:r>
    </w:p>
    <w:p w:rsidR="001E76F5" w:rsidRPr="003D425D" w:rsidP="001E76F5" w14:paraId="50FDCB0C" w14:textId="77777777">
      <w:pPr>
        <w:pStyle w:val="ListParagraph"/>
        <w:ind w:left="284" w:right="565"/>
        <w:jc w:val="both"/>
      </w:pPr>
    </w:p>
    <w:p w:rsidR="000B1BB0" w14:paraId="2B825720" w14:textId="77777777">
      <w:pPr>
        <w:widowControl/>
      </w:pPr>
      <w:r>
        <w:br w:type="page"/>
      </w:r>
    </w:p>
    <w:p w:rsidR="001E76F5" w:rsidRPr="006025D3" w:rsidP="001E76F5" w14:paraId="33636F9D" w14:textId="7FB3B060">
      <w:pPr>
        <w:ind w:left="284" w:right="565"/>
        <w:jc w:val="both"/>
      </w:pPr>
      <w:r>
        <w:t>18.</w:t>
      </w:r>
      <w:r>
        <w:tab/>
        <w:t xml:space="preserve">vyzývá členské státy, aby bojovaly proti genderovým stereotypům </w:t>
      </w:r>
      <w:r w:rsidR="000B1BB0">
        <w:t>a </w:t>
      </w:r>
      <w:r>
        <w:t xml:space="preserve">strukturálním překážkám ovlivňujícím volbu vzdělání </w:t>
      </w:r>
      <w:r w:rsidR="000B1BB0">
        <w:t>a </w:t>
      </w:r>
      <w:r>
        <w:t xml:space="preserve">povolání </w:t>
      </w:r>
      <w:r w:rsidR="000B1BB0">
        <w:t>s </w:t>
      </w:r>
      <w:r>
        <w:t xml:space="preserve">cílem podpořit genderovou rovnost </w:t>
      </w:r>
      <w:r w:rsidR="000B1BB0">
        <w:t>a </w:t>
      </w:r>
      <w:r>
        <w:t xml:space="preserve">vyváženější účast žen </w:t>
      </w:r>
      <w:r w:rsidR="000B1BB0">
        <w:t>a </w:t>
      </w:r>
      <w:r>
        <w:t xml:space="preserve">mužů ve všech profesních drahách, odvětvích </w:t>
      </w:r>
      <w:r w:rsidR="000B1BB0">
        <w:t>a </w:t>
      </w:r>
      <w:r>
        <w:t>povoláních;</w:t>
      </w:r>
    </w:p>
    <w:p w:rsidR="001E76F5" w:rsidRPr="003D425D" w:rsidP="001E76F5" w14:paraId="08BDB53A" w14:textId="77777777">
      <w:pPr>
        <w:pStyle w:val="ListParagraph"/>
        <w:ind w:left="284" w:right="565"/>
        <w:jc w:val="both"/>
      </w:pPr>
    </w:p>
    <w:p w:rsidR="001E76F5" w:rsidRPr="006025D3" w:rsidP="001E76F5" w14:paraId="70DE27B7" w14:textId="6CE64FA6">
      <w:pPr>
        <w:pStyle w:val="ListParagraph"/>
        <w:ind w:left="284" w:right="565"/>
        <w:jc w:val="both"/>
      </w:pPr>
      <w:r>
        <w:t>19.</w:t>
      </w:r>
      <w:r>
        <w:tab/>
        <w:t xml:space="preserve">vyzývá </w:t>
      </w:r>
      <w:r w:rsidR="000B1BB0">
        <w:t>k </w:t>
      </w:r>
      <w:r>
        <w:t xml:space="preserve">další podpoře účinných </w:t>
      </w:r>
      <w:r w:rsidR="000B1BB0">
        <w:t>a </w:t>
      </w:r>
      <w:r>
        <w:t xml:space="preserve">účelných veřejných výdajů na OVP, jakož </w:t>
      </w:r>
      <w:r w:rsidR="000B1BB0">
        <w:t>i </w:t>
      </w:r>
      <w:r>
        <w:t xml:space="preserve">doplňkovosti </w:t>
      </w:r>
      <w:r w:rsidR="000B1BB0">
        <w:t>a </w:t>
      </w:r>
      <w:r>
        <w:t xml:space="preserve">součinnosti financování </w:t>
      </w:r>
      <w:r w:rsidR="000B1BB0">
        <w:t>v </w:t>
      </w:r>
      <w:r>
        <w:t xml:space="preserve">rámci příštího víceletého finančního rámce, zejména </w:t>
      </w:r>
      <w:r w:rsidR="000B1BB0">
        <w:t>v </w:t>
      </w:r>
      <w:r>
        <w:t xml:space="preserve">rámci programu Erasmus+, programu AgoraEU, Evropského sociálního fondu </w:t>
      </w:r>
      <w:r w:rsidR="000B1BB0">
        <w:t>a </w:t>
      </w:r>
      <w:r>
        <w:t xml:space="preserve">dalších fondů soudržnosti, vedle Evropského fondu pro konkurenceschopnost; vyzývá ke zlepšení údajů </w:t>
      </w:r>
      <w:r w:rsidR="000B1BB0">
        <w:t>a </w:t>
      </w:r>
      <w:r>
        <w:t xml:space="preserve">monitorování OVP, jakož </w:t>
      </w:r>
      <w:r w:rsidR="000B1BB0">
        <w:t>i k </w:t>
      </w:r>
      <w:r>
        <w:t xml:space="preserve">obnovení úsilí </w:t>
      </w:r>
      <w:r w:rsidR="000B1BB0">
        <w:t>o </w:t>
      </w:r>
      <w:r>
        <w:t xml:space="preserve">účinné provádění unijních referenčních hodnot </w:t>
      </w:r>
      <w:r w:rsidR="000B1BB0">
        <w:t>v </w:t>
      </w:r>
      <w:r>
        <w:t>oblasti OVP ve všech členských státech;</w:t>
      </w:r>
    </w:p>
    <w:p w:rsidR="001E76F5" w:rsidRPr="003D425D" w:rsidP="001E76F5" w14:paraId="15A699C9" w14:textId="77777777">
      <w:pPr>
        <w:pStyle w:val="ListParagraph"/>
        <w:ind w:left="284" w:right="565"/>
        <w:jc w:val="both"/>
      </w:pPr>
    </w:p>
    <w:p w:rsidR="001E76F5" w:rsidRPr="006025D3" w:rsidP="001E76F5" w14:paraId="336662B3" w14:textId="767F0374">
      <w:pPr>
        <w:pStyle w:val="ListParagraph"/>
        <w:ind w:left="284" w:right="565"/>
        <w:jc w:val="both"/>
      </w:pPr>
      <w:r>
        <w:t>20.</w:t>
      </w:r>
      <w:r>
        <w:tab/>
        <w:t xml:space="preserve">vyzývá </w:t>
      </w:r>
      <w:r w:rsidR="000B1BB0">
        <w:t>k </w:t>
      </w:r>
      <w:r>
        <w:t xml:space="preserve">tomu, aby budoucí evropská strategie pro odborné vzdělávání </w:t>
      </w:r>
      <w:r w:rsidR="000B1BB0">
        <w:t>a </w:t>
      </w:r>
      <w:r>
        <w:t xml:space="preserve">přípravu vycházela </w:t>
      </w:r>
      <w:r w:rsidR="000B1BB0">
        <w:t>z </w:t>
      </w:r>
      <w:r>
        <w:t xml:space="preserve">kodaňského procesu </w:t>
      </w:r>
      <w:r w:rsidR="000B1BB0">
        <w:t>a </w:t>
      </w:r>
      <w:r>
        <w:t xml:space="preserve">jeho posledního milníku, kterým je Herningské prohlášení, </w:t>
      </w:r>
      <w:r w:rsidR="000B1BB0">
        <w:t>a </w:t>
      </w:r>
      <w:r>
        <w:t xml:space="preserve">zároveň aby zabránila vytváření vzájemně nesouvisejících nových iniciativ </w:t>
      </w:r>
      <w:r w:rsidR="000B1BB0">
        <w:t>a </w:t>
      </w:r>
      <w:r>
        <w:t xml:space="preserve">posílila soudržnost </w:t>
      </w:r>
      <w:r w:rsidR="000B1BB0">
        <w:t>a </w:t>
      </w:r>
      <w:r>
        <w:t xml:space="preserve">praktické využívání stávajících evropských nástrojů, včetně evropského rámce kvalifikací, evropského referenčního rámce pro zajišťování kvality </w:t>
      </w:r>
      <w:r w:rsidR="000B1BB0">
        <w:t>v </w:t>
      </w:r>
      <w:r>
        <w:t xml:space="preserve">oblasti odborného vzdělávání </w:t>
      </w:r>
      <w:r w:rsidR="000B1BB0">
        <w:t>a </w:t>
      </w:r>
      <w:r>
        <w:t xml:space="preserve">přípravy, Europassu, mikrocertifikátů, digitálních certifikátů </w:t>
      </w:r>
      <w:r w:rsidR="000B1BB0">
        <w:t>a </w:t>
      </w:r>
      <w:r>
        <w:t xml:space="preserve">validace neformálního </w:t>
      </w:r>
      <w:r w:rsidR="000B1BB0">
        <w:t>a </w:t>
      </w:r>
      <w:r>
        <w:t xml:space="preserve">informálního učení. </w:t>
      </w:r>
    </w:p>
    <w:bookmarkEnd w:id="0"/>
    <w:p w:rsidR="001E76F5" w14:paraId="2ED89C72" w14:textId="61E86619">
      <w:pPr>
        <w:widowControl/>
      </w:pPr>
      <w:r>
        <w:br w:type="page"/>
      </w:r>
    </w:p>
    <w:p w:rsidR="001E76F5" w:rsidP="001E76F5" w14:paraId="6E9D84D2" w14:textId="77777777">
      <w:pPr>
        <w:pStyle w:val="PageHeading"/>
      </w:pPr>
      <w:bookmarkStart w:id="1" w:name="_Toc256000005"/>
      <w:r>
        <w:t>PŘÍLOHA: ZVEŘEJŇOVÁNÍ PODNĚTŮ</w:t>
      </w:r>
      <w:bookmarkEnd w:id="1"/>
    </w:p>
    <w:p w:rsidR="001E76F5" w:rsidP="001E76F5" w14:paraId="2BFD4EF9" w14:textId="77777777">
      <w:pPr>
        <w:pStyle w:val="Normal12a"/>
      </w:pPr>
      <w:r>
        <w:rPr>
          <w:rStyle w:val="HideTWBExt"/>
        </w:rPr>
        <w:t>&lt;FootprintIntro&gt;&lt;/FootprintIntro&gt;</w:t>
      </w:r>
    </w:p>
    <w:p w:rsidR="001E76F5" w:rsidP="001E76F5" w14:paraId="2FCB627A" w14:textId="2B30CAEC">
      <w:pPr>
        <w:pStyle w:val="Normal12a"/>
      </w:pPr>
      <w:r>
        <w:t>Zpravodajka v souladu s článkem 8 přílohy </w:t>
      </w:r>
      <w:r w:rsidR="000B1BB0">
        <w:t>I </w:t>
      </w:r>
      <w:r>
        <w:t>jednacího řádu prohlašuje, že do své zprávy zahrnula podněty k záležitostem týkajícím se předmětu spisu, které při vypracovávání návrhu zprávy obdržela od zástupců zájmových skupin spadajících do oblasti působnosti interinstitucionální dohody o povinném rejstříku transparentnosti</w:t>
      </w:r>
      <w:r>
        <w:rPr>
          <w:rStyle w:val="FootnoteReference"/>
        </w:rPr>
        <w:footnoteReference w:customMarkFollows="1" w:id="4"/>
        <w:t xml:space="preserve">1</w:t>
      </w:r>
      <w:r>
        <w:t xml:space="preserve"> nebo představitelů orgánů třetích zemí, včetně jejich diplomatických misí a velvyslanectví: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  <w:tblLook w:val="04A0"/>
      </w:tblPr>
      <w:tblGrid>
        <w:gridCol w:w="9080"/>
      </w:tblGrid>
      <w:tr w14:paraId="5D8FC40F" w14:textId="77777777" w:rsidTr="00B8210A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  <w:tblLook w:val="04A0"/>
        </w:tblPrEx>
        <w:tc>
          <w:tcPr>
            <w:tcW w:w="9080" w:type="dxa"/>
          </w:tcPr>
          <w:p w:rsidR="001E76F5" w:rsidP="00B8210A" w14:paraId="288DA8C1" w14:textId="77777777">
            <w:pPr>
              <w:jc w:val="center"/>
            </w:pPr>
            <w:r>
              <w:rPr>
                <w:b/>
              </w:rPr>
              <w:t>1. Zástupci zájmových skupin spadající do oblasti působnosti interinstitucionální dohody o povinném rejstříku transparentnosti</w:t>
            </w:r>
          </w:p>
        </w:tc>
      </w:tr>
      <w:tr w14:paraId="0787CBE3" w14:textId="77777777" w:rsidTr="00B8210A">
        <w:tblPrEx>
          <w:tblW w:w="0" w:type="auto"/>
          <w:tblLayout w:type="fixed"/>
          <w:tblCellMar>
            <w:left w:w="140" w:type="dxa"/>
            <w:right w:w="140" w:type="dxa"/>
          </w:tblCellMar>
          <w:tblLook w:val="04A0"/>
        </w:tblPrEx>
        <w:tc>
          <w:tcPr>
            <w:tcW w:w="9080" w:type="dxa"/>
          </w:tcPr>
          <w:p w:rsidR="001E76F5" w:rsidP="00B8210A" w14:paraId="6F616C62" w14:textId="77777777">
            <w:pPr>
              <w:jc w:val="center"/>
            </w:pPr>
            <w:r>
              <w:rPr>
                <w:b/>
              </w:rPr>
              <w:t>2. Představitelé orgánů třetích zemí, včetně jejich diplomatických misí a velvyslanectví</w:t>
            </w:r>
          </w:p>
        </w:tc>
      </w:tr>
    </w:tbl>
    <w:p w:rsidR="001E76F5" w:rsidP="001E76F5" w14:paraId="7FA586AC" w14:textId="77777777"/>
    <w:p w:rsidR="001E76F5" w:rsidP="001E76F5" w14:paraId="0C2C7211" w14:textId="77777777">
      <w:pPr>
        <w:pStyle w:val="Normal12a"/>
      </w:pPr>
      <w:r>
        <w:t>Výše uvedený seznam je sestaven na výhradní odpovědnost zpravodajky.</w:t>
      </w:r>
    </w:p>
    <w:p w:rsidR="001E76F5" w:rsidRPr="001E76F5" w:rsidP="001E76F5" w14:paraId="2020BA23" w14:textId="5946C18B">
      <w:pPr>
        <w:pStyle w:val="Normal12a"/>
      </w:pPr>
      <w:r>
        <w:t>Pokud jsou na seznamu uvedena jména, funkce, případně jména i funkce fyzických osob, zpravodajka prohlašuje, že příslušné fyzické osoby byly seznámeny s prohlášením Evropského parlamentu o ochraně osobních údajů č. 484 (</w:t>
      </w:r>
      <w:hyperlink r:id="rId6" w:tgtFrame="https://www.europarl.europa.eu/data-protect/index.do" w:history="1">
        <w:r>
          <w:rPr>
            <w:rStyle w:val="Hyperlink"/>
          </w:rPr>
          <w:t>https://www.europarl.europa.eu/data-protect/index.do</w:t>
        </w:r>
      </w:hyperlink>
      <w:r>
        <w:t>), které stanoví podmínky platné pro zpracování jejich osobních údajů a práva související s tímto zpracováním.</w:t>
      </w:r>
    </w:p>
    <w:p w:rsidR="001E76F5" w:rsidP="00085831" w14:paraId="193A4D26" w14:textId="77777777">
      <w:pPr>
        <w:pStyle w:val="LetterSignature66b"/>
        <w:sectPr w:rsidSect="001E76F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1E76F5" w:rsidRPr="0099178F" w:rsidP="00C36610" w14:paraId="0D4AED3D" w14:textId="5536FD30">
      <w:pPr>
        <w:pStyle w:val="PageHeadingNotTOC"/>
      </w:pPr>
      <w:bookmarkStart w:id="2" w:name="RollCallPageAL"/>
      <w:r>
        <w:t>JMENOVITÉ KONEČNÉ HLASOVÁNÍ VE VÝBORU POSKYTUJÍCÍM STANOVISKO</w:t>
      </w:r>
    </w:p>
    <w:tbl>
      <w:tblPr>
        <w:tblW w:w="9072" w:type="dxa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603FCBA8" w14:textId="77777777" w:rsidTr="001E76F5">
        <w:tblPrEx>
          <w:tblW w:w="9072" w:type="dxa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1E76F5" w:rsidRPr="00F079B8" w:rsidP="003858C5" w14:paraId="0E7BFFDA" w14:textId="4B1E0B7D">
            <w:pPr>
              <w:pStyle w:val="RollCallVotes"/>
            </w:pPr>
            <w:r>
              <w:t>21</w:t>
            </w:r>
          </w:p>
        </w:tc>
        <w:tc>
          <w:tcPr>
            <w:tcW w:w="7371" w:type="dxa"/>
            <w:shd w:val="pct10" w:color="000000" w:fill="FFFFFF"/>
          </w:tcPr>
          <w:p w:rsidR="001E76F5" w:rsidRPr="00AB7DBA" w:rsidP="003858C5" w14:paraId="4612F4A2" w14:textId="77777777">
            <w:pPr>
              <w:pStyle w:val="RollCallSymbols14pt"/>
            </w:pPr>
            <w:r>
              <w:t>+</w:t>
            </w:r>
          </w:p>
        </w:tc>
      </w:tr>
      <w:tr w14:paraId="25B27DEB" w14:textId="77777777" w:rsidTr="001E76F5">
        <w:tblPrEx>
          <w:tblW w:w="9072" w:type="dxa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E76F5" w:rsidRPr="00F079B8" w:rsidP="003858C5" w14:paraId="0A74DFF3" w14:textId="7DAC56A9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1E76F5" w:rsidRPr="00F079B8" w:rsidP="003858C5" w14:paraId="40C020AE" w14:textId="3C461446">
            <w:pPr>
              <w:pStyle w:val="RollCallTable"/>
            </w:pPr>
            <w:r>
              <w:t>Lara Magoni, Ivaylo Valchev</w:t>
            </w:r>
          </w:p>
        </w:tc>
      </w:tr>
      <w:tr w14:paraId="4EEB2685" w14:textId="77777777" w:rsidTr="001E76F5">
        <w:tblPrEx>
          <w:tblW w:w="9072" w:type="dxa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E76F5" w:rsidP="001E76F5" w14:paraId="0AA1C3BC" w14:textId="62DD1841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:rsidR="001E76F5" w:rsidRPr="006025D3" w:rsidP="001E76F5" w14:paraId="7ADEC2FC" w14:textId="56F854B2">
            <w:pPr>
              <w:pStyle w:val="RollCallTable"/>
            </w:pPr>
            <w:r>
              <w:t>Niels Geuking, Sunčana Glavak, Eleonora Meleti, Giusi Princi, Hélder Sousa Silva, Viktor Weisz, Bogdan Andrzej Zdrojewski, Milan Zver</w:t>
            </w:r>
          </w:p>
        </w:tc>
      </w:tr>
      <w:tr w14:paraId="41C8F247" w14:textId="77777777" w:rsidTr="001E76F5">
        <w:tblPrEx>
          <w:tblW w:w="9072" w:type="dxa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E76F5" w:rsidP="001E76F5" w14:paraId="7E20BB61" w14:textId="0FD61DC3">
            <w:pPr>
              <w:pStyle w:val="RollCallTable"/>
            </w:pPr>
            <w:r>
              <w:t>PfE</w:t>
            </w:r>
          </w:p>
        </w:tc>
        <w:tc>
          <w:tcPr>
            <w:tcW w:w="7371" w:type="dxa"/>
            <w:shd w:val="clear" w:color="auto" w:fill="FFFFFF"/>
          </w:tcPr>
          <w:p w:rsidR="001E76F5" w:rsidRPr="006025D3" w:rsidP="001E76F5" w14:paraId="48C17C43" w14:textId="2440874D">
            <w:pPr>
              <w:pStyle w:val="RollCallTable"/>
            </w:pPr>
            <w:r>
              <w:t>Catherine Griset</w:t>
            </w:r>
          </w:p>
        </w:tc>
      </w:tr>
      <w:tr w14:paraId="2D3768F9" w14:textId="77777777" w:rsidTr="001E76F5">
        <w:tblPrEx>
          <w:tblW w:w="9072" w:type="dxa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E76F5" w:rsidP="001E76F5" w14:paraId="1500A22E" w14:textId="5A93570F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:rsidR="001E76F5" w:rsidRPr="006025D3" w:rsidP="001E76F5" w14:paraId="545A7495" w14:textId="617FBC3B">
            <w:pPr>
              <w:pStyle w:val="RollCallTable"/>
            </w:pPr>
            <w:r>
              <w:t>Hristo Petrov, Marjan Šarec</w:t>
            </w:r>
          </w:p>
        </w:tc>
      </w:tr>
      <w:tr w14:paraId="5AFA13BF" w14:textId="77777777" w:rsidTr="001E76F5">
        <w:tblPrEx>
          <w:tblW w:w="9072" w:type="dxa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E76F5" w:rsidP="001E76F5" w14:paraId="1437C3B2" w14:textId="7C64FED8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:rsidR="001E76F5" w:rsidRPr="006025D3" w:rsidP="001E76F5" w14:paraId="3A5B4886" w14:textId="49919563">
            <w:pPr>
              <w:pStyle w:val="RollCallTable"/>
            </w:pPr>
            <w:r>
              <w:t>Isilda Gomes, Hannes Heide, Emma Rafowicz, Sabrina Repp, Sandro Ruotolo, Joanna Scheuring-Wielgus</w:t>
            </w:r>
          </w:p>
        </w:tc>
      </w:tr>
      <w:tr w14:paraId="5C0ACE98" w14:textId="77777777" w:rsidTr="001E76F5">
        <w:tblPrEx>
          <w:tblW w:w="9072" w:type="dxa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E76F5" w:rsidP="001E76F5" w14:paraId="503EFCB2" w14:textId="711CC69C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1E76F5" w:rsidRPr="006025D3" w:rsidP="001E76F5" w14:paraId="1B7113A1" w14:textId="682DC703">
            <w:pPr>
              <w:pStyle w:val="RollCallTable"/>
            </w:pPr>
            <w:r>
              <w:t xml:space="preserve">Diana Riba </w:t>
            </w:r>
            <w:r w:rsidR="000B1BB0">
              <w:t>i </w:t>
            </w:r>
            <w:r>
              <w:t>Giner, Nela Riehl</w:t>
            </w:r>
          </w:p>
        </w:tc>
      </w:tr>
    </w:tbl>
    <w:p w:rsidR="001E76F5" w:rsidP="00147FBF" w14:paraId="4B955785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630FC0C6" w14:textId="77777777" w:rsidTr="008920AC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1E76F5" w:rsidRPr="00BF54D6" w:rsidP="003858C5" w14:paraId="3B4B572B" w14:textId="102363DE">
            <w:pPr>
              <w:pStyle w:val="RollCallVotes"/>
            </w:pPr>
            <w:r>
              <w:t>0</w:t>
            </w:r>
          </w:p>
        </w:tc>
        <w:tc>
          <w:tcPr>
            <w:tcW w:w="7371" w:type="dxa"/>
            <w:shd w:val="pct10" w:color="000000" w:fill="FFFFFF"/>
          </w:tcPr>
          <w:p w:rsidR="001E76F5" w:rsidRPr="00AB7DBA" w:rsidP="003858C5" w14:paraId="545BDBE5" w14:textId="77777777">
            <w:pPr>
              <w:pStyle w:val="RollCallSymbols14pt"/>
            </w:pPr>
            <w:r>
              <w:t>-</w:t>
            </w:r>
          </w:p>
        </w:tc>
      </w:tr>
      <w:tr w14:paraId="6C3E5014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E76F5" w:rsidRPr="00F079B8" w:rsidP="003858C5" w14:paraId="6E634AF0" w14:textId="38BAF259">
            <w:pPr>
              <w:pStyle w:val="RollCallTable"/>
            </w:pPr>
          </w:p>
        </w:tc>
        <w:tc>
          <w:tcPr>
            <w:tcW w:w="7371" w:type="dxa"/>
            <w:shd w:val="clear" w:color="auto" w:fill="FFFFFF"/>
          </w:tcPr>
          <w:p w:rsidR="001E76F5" w:rsidRPr="00F079B8" w:rsidP="003858C5" w14:paraId="723EBF50" w14:textId="76F00ABC">
            <w:pPr>
              <w:pStyle w:val="RollCallTable"/>
            </w:pPr>
          </w:p>
        </w:tc>
      </w:tr>
    </w:tbl>
    <w:p w:rsidR="001E76F5" w:rsidP="00147FBF" w14:paraId="2D92FE63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7C5944C0" w14:textId="77777777" w:rsidTr="008920AC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1E76F5" w:rsidRPr="00BF54D6" w:rsidP="003858C5" w14:paraId="7B35DDD3" w14:textId="21D65FF2">
            <w:pPr>
              <w:pStyle w:val="RollCallVotes"/>
            </w:pPr>
            <w:r>
              <w:t>1</w:t>
            </w:r>
          </w:p>
        </w:tc>
        <w:tc>
          <w:tcPr>
            <w:tcW w:w="7371" w:type="dxa"/>
            <w:shd w:val="pct10" w:color="000000" w:fill="FFFFFF"/>
          </w:tcPr>
          <w:p w:rsidR="001E76F5" w:rsidRPr="00AB7DBA" w:rsidP="003858C5" w14:paraId="5C8BDAE4" w14:textId="77777777">
            <w:pPr>
              <w:pStyle w:val="RollCallSymbols14pt"/>
            </w:pPr>
            <w:r>
              <w:t>0</w:t>
            </w:r>
          </w:p>
        </w:tc>
      </w:tr>
      <w:tr w14:paraId="75A28ACC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1E76F5" w:rsidRPr="00F079B8" w:rsidP="003858C5" w14:paraId="07AF777C" w14:textId="7FFF0700">
            <w:pPr>
              <w:pStyle w:val="RollCallTable"/>
            </w:pPr>
            <w:r>
              <w:t>ESN</w:t>
            </w:r>
          </w:p>
        </w:tc>
        <w:tc>
          <w:tcPr>
            <w:tcW w:w="7371" w:type="dxa"/>
            <w:shd w:val="clear" w:color="auto" w:fill="FFFFFF"/>
          </w:tcPr>
          <w:p w:rsidR="001E76F5" w:rsidRPr="001E76F5" w:rsidP="003858C5" w14:paraId="71877BBA" w14:textId="5A5AFC7C">
            <w:pPr>
              <w:pStyle w:val="RollCallTable"/>
            </w:pPr>
            <w:r>
              <w:t>Zsuzsanna Borvendég</w:t>
            </w:r>
          </w:p>
        </w:tc>
      </w:tr>
    </w:tbl>
    <w:p w:rsidR="001E76F5" w:rsidP="00147FBF" w14:paraId="77B3BA9A" w14:textId="77777777">
      <w:pPr>
        <w:pStyle w:val="Normal12a"/>
      </w:pPr>
    </w:p>
    <w:p w:rsidR="001E76F5" w:rsidP="00B735E3" w14:paraId="450AA7F2" w14:textId="26C2A4DB">
      <w:r>
        <w:t>Význam zkratek:</w:t>
      </w:r>
    </w:p>
    <w:p w:rsidR="001E76F5" w:rsidP="003858C5" w14:paraId="44D9CE73" w14:textId="3DD6F66E">
      <w:pPr>
        <w:pStyle w:val="RollCallTabs"/>
      </w:pPr>
      <w:r>
        <w:t>+</w:t>
      </w:r>
      <w:r>
        <w:tab/>
        <w:t>:</w:t>
      </w:r>
      <w:r>
        <w:tab/>
        <w:t>pro</w:t>
      </w:r>
    </w:p>
    <w:p w:rsidR="001E76F5" w:rsidP="003858C5" w14:paraId="72D1DBF4" w14:textId="17FF51DE">
      <w:pPr>
        <w:pStyle w:val="RollCallTabs"/>
      </w:pPr>
      <w:r>
        <w:t>-</w:t>
      </w:r>
      <w:r>
        <w:tab/>
        <w:t>:</w:t>
      </w:r>
      <w:r>
        <w:tab/>
        <w:t>proti</w:t>
      </w:r>
    </w:p>
    <w:p w:rsidR="001E76F5" w:rsidP="003858C5" w14:paraId="77F01919" w14:textId="13CF832E">
      <w:pPr>
        <w:pStyle w:val="RollCallTabs"/>
      </w:pPr>
      <w:r>
        <w:t>0</w:t>
      </w:r>
      <w:r>
        <w:tab/>
        <w:t>:</w:t>
      </w:r>
      <w:r>
        <w:tab/>
        <w:t>zdrželi se</w:t>
      </w:r>
    </w:p>
    <w:p w:rsidR="001E76F5" w:rsidP="00207509" w14:paraId="50FFBEDB" w14:textId="77777777"/>
    <w:bookmarkEnd w:id="2"/>
    <w:p w:rsidR="00085831" w:rsidRPr="001E76F5" w:rsidP="00085831" w14:paraId="2BA1A9C5" w14:textId="77777777">
      <w:pPr>
        <w:pStyle w:val="LetterSignature66b"/>
      </w:pPr>
    </w:p>
    <w:sectPr w:rsidSect="001E76F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0CCA" w:rsidRPr="00BF7843" w:rsidP="00820CCA" w14:paraId="4C3C2456" w14:textId="511AF606">
    <w:pPr>
      <w:pStyle w:val="EPFooter"/>
    </w:pPr>
    <w:r w:rsidRPr="00BF7843">
      <w:t>PE</w:t>
    </w:r>
    <w:r w:rsidRPr="00BF7843">
      <w:rPr>
        <w:rStyle w:val="HideTWBExt"/>
      </w:rPr>
      <w:t>&lt;NoPE&gt;</w:t>
    </w:r>
    <w:r w:rsidRPr="00104150" w:rsidR="00104150">
      <w:t>790.021</w:t>
    </w:r>
    <w:r w:rsidRPr="00BF7843">
      <w:rPr>
        <w:rStyle w:val="HideTWBExt"/>
      </w:rPr>
      <w:t>&lt;/NoPE&gt;&lt;Version&gt;</w:t>
    </w:r>
    <w:r w:rsidRPr="00BF7843" w:rsidR="00BF7843">
      <w:t>v</w:t>
    </w:r>
    <w:r w:rsidRPr="00104150" w:rsidR="00104150">
      <w:t>01-00</w:t>
    </w:r>
    <w:r w:rsidRPr="00BF7843">
      <w:rPr>
        <w:rStyle w:val="HideTWBExt"/>
      </w:rPr>
      <w:t>&lt;/Version&gt;</w:t>
    </w:r>
    <w:r w:rsidRPr="00BF7843">
      <w:tab/>
    </w:r>
    <w:r w:rsidRPr="00BF7843">
      <w:fldChar w:fldCharType="begin"/>
    </w:r>
    <w:r w:rsidRPr="00BF7843">
      <w:instrText xml:space="preserve"> PAGE </w:instrText>
    </w:r>
    <w:r w:rsidRPr="00BF7843">
      <w:fldChar w:fldCharType="separate"/>
    </w:r>
    <w:r w:rsidRPr="00BF7843" w:rsidR="00085831">
      <w:rPr>
        <w:noProof/>
      </w:rPr>
      <w:t>2</w:t>
    </w:r>
    <w:r w:rsidRPr="00BF7843">
      <w:fldChar w:fldCharType="end"/>
    </w:r>
    <w:r w:rsidRPr="00BF7843">
      <w:t>/</w:t>
    </w:r>
    <w:r w:rsidRPr="00BF7843">
      <w:fldChar w:fldCharType="begin"/>
    </w:r>
    <w:r w:rsidRPr="00BF7843">
      <w:instrText xml:space="preserve"> NUMPAGES </w:instrText>
    </w:r>
    <w:r w:rsidRPr="00BF7843">
      <w:fldChar w:fldCharType="separate"/>
    </w:r>
    <w:r w:rsidRPr="00BF7843" w:rsidR="00085831">
      <w:rPr>
        <w:noProof/>
      </w:rPr>
      <w:t>2</w:t>
    </w:r>
    <w:r w:rsidRPr="00BF7843">
      <w:rPr>
        <w:noProof/>
      </w:rPr>
      <w:fldChar w:fldCharType="end"/>
    </w:r>
    <w:r w:rsidRPr="00BF7843">
      <w:tab/>
    </w:r>
    <w:r w:rsidRPr="00BF7843">
      <w:rPr>
        <w:rStyle w:val="HideTWBExt"/>
      </w:rPr>
      <w:t>&lt;PathFdR&gt;</w:t>
    </w:r>
    <w:r w:rsidRPr="00104150" w:rsidR="00104150">
      <w:t>AL\1346064CS.docx</w:t>
    </w:r>
    <w:r w:rsidRPr="00BF7843">
      <w:rPr>
        <w:rStyle w:val="HideTWBExt"/>
      </w:rPr>
      <w:t>&lt;/PathFdR&gt;</w:t>
    </w:r>
  </w:p>
  <w:p w:rsidR="00820CCA" w:rsidRPr="00BF7843" w:rsidP="00820CCA" w14:paraId="3A4AE71C" w14:textId="05E58AC5">
    <w:pPr>
      <w:pStyle w:val="EPFooter2"/>
    </w:pPr>
    <w:r w:rsidRPr="00BF7843">
      <w:fldChar w:fldCharType="begin"/>
    </w:r>
    <w:r w:rsidRPr="00BF7843">
      <w:instrText xml:space="preserve"> DOCPROPERTY "&lt;Extension&gt;" </w:instrText>
    </w:r>
    <w:r w:rsidRPr="00BF7843">
      <w:fldChar w:fldCharType="separate"/>
    </w:r>
    <w:r w:rsidR="000B1BB0">
      <w:t>CS</w:t>
    </w:r>
    <w:r w:rsidRPr="00BF7843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F32" w:rsidRPr="00BF7843" w:rsidP="00254F32" w14:paraId="6377D337" w14:textId="2A627418">
    <w:pPr>
      <w:pStyle w:val="EPFooter"/>
    </w:pPr>
    <w:r w:rsidRPr="00BF7843">
      <w:rPr>
        <w:rStyle w:val="HideTWBExt"/>
      </w:rPr>
      <w:t>&lt;PathFdR&gt;</w:t>
    </w:r>
    <w:r w:rsidRPr="00104150" w:rsidR="00104150">
      <w:t>AL\1346064CS.docx</w:t>
    </w:r>
    <w:r w:rsidRPr="00BF7843">
      <w:rPr>
        <w:rStyle w:val="HideTWBExt"/>
      </w:rPr>
      <w:t>&lt;/PathFdR&gt;</w:t>
    </w:r>
    <w:r w:rsidRPr="00BF7843">
      <w:tab/>
    </w:r>
    <w:r w:rsidRPr="00BF7843">
      <w:fldChar w:fldCharType="begin"/>
    </w:r>
    <w:r w:rsidRPr="00BF7843">
      <w:instrText xml:space="preserve"> PAGE </w:instrText>
    </w:r>
    <w:r w:rsidRPr="00BF7843">
      <w:fldChar w:fldCharType="separate"/>
    </w:r>
    <w:r w:rsidRPr="00BF7843" w:rsidR="00085831">
      <w:rPr>
        <w:noProof/>
      </w:rPr>
      <w:t>3</w:t>
    </w:r>
    <w:r w:rsidRPr="00BF7843">
      <w:fldChar w:fldCharType="end"/>
    </w:r>
    <w:r w:rsidRPr="00BF7843">
      <w:t>/</w:t>
    </w:r>
    <w:r w:rsidRPr="00BF7843">
      <w:fldChar w:fldCharType="begin"/>
    </w:r>
    <w:r w:rsidRPr="00BF7843">
      <w:instrText xml:space="preserve"> NUMPAGES </w:instrText>
    </w:r>
    <w:r w:rsidRPr="00BF7843">
      <w:fldChar w:fldCharType="separate"/>
    </w:r>
    <w:r w:rsidRPr="00BF7843" w:rsidR="00085831">
      <w:rPr>
        <w:noProof/>
      </w:rPr>
      <w:t>3</w:t>
    </w:r>
    <w:r w:rsidRPr="00BF7843">
      <w:rPr>
        <w:noProof/>
      </w:rPr>
      <w:fldChar w:fldCharType="end"/>
    </w:r>
    <w:r w:rsidRPr="00BF7843">
      <w:tab/>
      <w:t>PE</w:t>
    </w:r>
    <w:r w:rsidRPr="00BF7843">
      <w:rPr>
        <w:rStyle w:val="HideTWBExt"/>
      </w:rPr>
      <w:t>&lt;NoPE&gt;</w:t>
    </w:r>
    <w:r w:rsidRPr="00104150" w:rsidR="00104150">
      <w:t>790.021</w:t>
    </w:r>
    <w:r w:rsidRPr="00BF7843">
      <w:rPr>
        <w:rStyle w:val="HideTWBExt"/>
      </w:rPr>
      <w:t>&lt;/NoPE&gt;&lt;Version&gt;</w:t>
    </w:r>
    <w:r w:rsidRPr="00BF7843" w:rsidR="00BF7843">
      <w:t>v</w:t>
    </w:r>
    <w:r w:rsidRPr="00104150" w:rsidR="00104150">
      <w:t>01-00</w:t>
    </w:r>
    <w:r w:rsidRPr="00BF7843">
      <w:rPr>
        <w:rStyle w:val="HideTWBExt"/>
      </w:rPr>
      <w:t>&lt;/Version&gt;</w:t>
    </w:r>
  </w:p>
  <w:p w:rsidR="00254F32" w:rsidRPr="00BF7843" w:rsidP="00254F32" w14:paraId="06EED4A1" w14:textId="4A18425A">
    <w:pPr>
      <w:pStyle w:val="EPFooter2"/>
    </w:pPr>
    <w:r w:rsidRPr="00BF7843">
      <w:tab/>
    </w:r>
    <w:r w:rsidRPr="00BF7843">
      <w:tab/>
    </w:r>
    <w:r w:rsidRPr="00BF7843">
      <w:fldChar w:fldCharType="begin"/>
    </w:r>
    <w:r w:rsidRPr="00BF7843">
      <w:instrText xml:space="preserve"> DOCPROPERTY "&lt;Extension&gt;" </w:instrText>
    </w:r>
    <w:r w:rsidRPr="00BF7843">
      <w:fldChar w:fldCharType="separate"/>
    </w:r>
    <w:r w:rsidR="000B1BB0">
      <w:t>CS</w:t>
    </w:r>
    <w:r w:rsidRPr="00BF7843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2C56" w:rsidRPr="00BF7843" w:rsidP="00A32C56" w14:paraId="5CE1C7F0" w14:textId="0BDCA9C8">
    <w:pPr>
      <w:pStyle w:val="EPFooter"/>
    </w:pPr>
    <w:r w:rsidRPr="00BF7843">
      <w:rPr>
        <w:rStyle w:val="HideTWBExt"/>
      </w:rPr>
      <w:t>&lt;PathFdR&gt;</w:t>
    </w:r>
    <w:r w:rsidRPr="00104150" w:rsidR="00104150">
      <w:t>AL\1346064CS.docx</w:t>
    </w:r>
    <w:r w:rsidRPr="00BF7843">
      <w:rPr>
        <w:rStyle w:val="HideTWBExt"/>
      </w:rPr>
      <w:t>&lt;/PathFdR&gt;</w:t>
    </w:r>
    <w:r w:rsidRPr="00BF7843">
      <w:tab/>
    </w:r>
    <w:r w:rsidRPr="00BF7843">
      <w:tab/>
      <w:t>PE</w:t>
    </w:r>
    <w:r w:rsidRPr="00BF7843">
      <w:rPr>
        <w:rStyle w:val="HideTWBExt"/>
      </w:rPr>
      <w:t>&lt;NoPE&gt;</w:t>
    </w:r>
    <w:r w:rsidRPr="00104150" w:rsidR="00104150">
      <w:t>790.021</w:t>
    </w:r>
    <w:r w:rsidRPr="00BF7843">
      <w:rPr>
        <w:rStyle w:val="HideTWBExt"/>
      </w:rPr>
      <w:t>&lt;/NoPE&gt;&lt;Version&gt;</w:t>
    </w:r>
    <w:r w:rsidRPr="00BF7843" w:rsidR="00BF7843">
      <w:t>v</w:t>
    </w:r>
    <w:r w:rsidRPr="00104150" w:rsidR="00104150">
      <w:t>01-00</w:t>
    </w:r>
    <w:r w:rsidRPr="00BF7843">
      <w:rPr>
        <w:rStyle w:val="HideTWBExt"/>
      </w:rPr>
      <w:t>&lt;/Version&gt;</w:t>
    </w:r>
  </w:p>
  <w:p w:rsidR="00A32C56" w:rsidRPr="00BF7843" w:rsidP="00A32C56" w14:paraId="5CC030B5" w14:textId="51C1FE88">
    <w:pPr>
      <w:pStyle w:val="EPFooter2"/>
    </w:pPr>
    <w:r w:rsidRPr="00BF7843">
      <w:fldChar w:fldCharType="begin"/>
    </w:r>
    <w:r w:rsidRPr="00BF7843">
      <w:instrText xml:space="preserve"> DOCPROPERTY "&lt;Extension&gt;" </w:instrText>
    </w:r>
    <w:r w:rsidRPr="00BF7843">
      <w:fldChar w:fldCharType="separate"/>
    </w:r>
    <w:r w:rsidR="000B1BB0">
      <w:t>CS</w:t>
    </w:r>
    <w:r w:rsidRPr="00BF7843">
      <w:fldChar w:fldCharType="end"/>
    </w:r>
    <w:r w:rsidRPr="00BF7843">
      <w:tab/>
    </w:r>
    <w:r w:rsidR="00104150">
      <w:rPr>
        <w:b w:val="0"/>
        <w:i/>
        <w:color w:val="C0C0C0"/>
        <w:sz w:val="22"/>
        <w:szCs w:val="22"/>
      </w:rPr>
      <w:t>Jednotná v rozmanitosti</w:t>
    </w:r>
    <w:r w:rsidRPr="00BF7843">
      <w:tab/>
    </w:r>
    <w:r w:rsidRPr="00BF7843">
      <w:fldChar w:fldCharType="begin"/>
    </w:r>
    <w:r w:rsidRPr="00BF7843">
      <w:instrText xml:space="preserve"> DOCPROPERTY "&lt;Extension&gt;" </w:instrText>
    </w:r>
    <w:r w:rsidRPr="00BF7843">
      <w:fldChar w:fldCharType="separate"/>
    </w:r>
    <w:r w:rsidR="000B1BB0">
      <w:t>CS</w:t>
    </w:r>
    <w:r w:rsidRPr="00BF784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BF7843" w:rsidRPr="00BF7843" w14:paraId="35908F81" w14:textId="77777777">
      <w:r w:rsidRPr="00BF7843">
        <w:separator/>
      </w:r>
    </w:p>
  </w:footnote>
  <w:footnote w:type="continuationSeparator" w:id="1">
    <w:p w:rsidR="00BF7843" w:rsidRPr="00BF7843" w14:paraId="3727235D" w14:textId="77777777">
      <w:r w:rsidRPr="00BF7843">
        <w:continuationSeparator/>
      </w:r>
    </w:p>
  </w:footnote>
  <w:footnote w:id="2">
    <w:p w:rsidR="001E76F5" w:rsidP="001E76F5" w14:paraId="79E54D1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Style w:val="cf01"/>
          <w:color w:val="0000FF"/>
          <w:u w:val="single"/>
        </w:rPr>
        <w:t>https://www.europarl.europa.eu/RegData/etudes/STUD/2026/783536/CASP_STU(2026)783536_EN.pdf</w:t>
      </w:r>
    </w:p>
    <w:p w:rsidR="001E76F5" w:rsidP="001E76F5" w14:paraId="6CCB1995" w14:textId="77777777"/>
    <w:p w:rsidR="001E76F5" w:rsidP="001E76F5" w14:paraId="46A16C2E" w14:textId="77777777"/>
    <w:p w:rsidR="001E76F5" w:rsidP="001E76F5" w14:paraId="39BFEEB6" w14:textId="77777777"/>
    <w:p w:rsidR="001E76F5" w:rsidP="001E76F5" w14:paraId="13359955" w14:textId="77777777"/>
    <w:p w:rsidR="001E76F5" w:rsidP="001E76F5" w14:paraId="0A4803DC" w14:textId="77777777"/>
  </w:footnote>
  <w:footnote w:id="3">
    <w:p w:rsidR="001E76F5" w:rsidP="001E76F5" w14:paraId="07C8C852" w14:textId="6ADF39A2">
      <w:pPr>
        <w:pStyle w:val="pf0"/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rStyle w:val="cf01"/>
            <w:color w:val="0000FF"/>
            <w:u w:val="single"/>
          </w:rPr>
          <w:t>https://www.cedefop.europa.eu/en/press-releases/cedefop-launches-first-european-vocational-teacher-survey-tackle-critical-vet-teacher-shortages</w:t>
        </w:r>
      </w:hyperlink>
    </w:p>
    <w:p w:rsidR="001E76F5" w:rsidP="001E76F5" w14:paraId="3CB9AA83" w14:textId="77777777"/>
    <w:p w:rsidR="001E76F5" w:rsidP="001E76F5" w14:paraId="39CF2A53" w14:textId="77777777"/>
    <w:p w:rsidR="001E76F5" w:rsidP="001E76F5" w14:paraId="5B97779C" w14:textId="77777777"/>
    <w:p w:rsidR="001E76F5" w:rsidP="001E76F5" w14:paraId="5CD4841F" w14:textId="77777777"/>
    <w:p w:rsidR="001E76F5" w:rsidP="001E76F5" w14:paraId="5FDD7B0B" w14:textId="77777777"/>
    <w:p w:rsidR="001E76F5" w:rsidP="001E76F5" w14:paraId="4EC63068" w14:textId="77777777"/>
  </w:footnote>
  <w:footnote w:id="4">
    <w:p w:rsidR="001E76F5" w:rsidP="001E76F5" w14:paraId="2291A0E4" w14:textId="3B041349">
      <w:pPr>
        <w:pStyle w:val="FootnoteText"/>
      </w:pPr>
      <w:r>
        <w:rPr>
          <w:rStyle w:val="FootnoteReference"/>
        </w:rPr>
        <w:t>1</w:t>
      </w:r>
      <w:r>
        <w:t xml:space="preserve">  Interinstitucionální dohoda z května 2021 mezi Evropským parlamentem, Radou Evropské unie a Evropskou komisí o povinném rejstříku transparentnosti (Úř. věst. L 207, 11.6.2021, s. 1, ELI:</w:t>
      </w:r>
      <w:hyperlink r:id="rId2" w:tgtFrame="http://data.europa.eu/eli/agree_interinstit/2021/611/oj" w:history="1">
        <w:r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76F5" w14:paraId="6368DF0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76F5" w14:paraId="62BD84C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76F5" w14:paraId="2550936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640A28"/>
    <w:multiLevelType w:val="singleLevel"/>
    <w:tmpl w:val="A01CE988"/>
    <w:lvl w:ilvl="0">
      <w:start w:val="35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A866D9D"/>
    <w:multiLevelType w:val="singleLevel"/>
    <w:tmpl w:val="88A23CC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C092F15"/>
    <w:multiLevelType w:val="singleLevel"/>
    <w:tmpl w:val="08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2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843"/>
    <w:rsid w:val="00000C7D"/>
    <w:rsid w:val="00035402"/>
    <w:rsid w:val="00066C9F"/>
    <w:rsid w:val="00085831"/>
    <w:rsid w:val="000923BD"/>
    <w:rsid w:val="000B1BB0"/>
    <w:rsid w:val="00104150"/>
    <w:rsid w:val="00140049"/>
    <w:rsid w:val="00147FBF"/>
    <w:rsid w:val="001924F0"/>
    <w:rsid w:val="001B3937"/>
    <w:rsid w:val="001D1646"/>
    <w:rsid w:val="001E1ECB"/>
    <w:rsid w:val="001E76F5"/>
    <w:rsid w:val="00207509"/>
    <w:rsid w:val="00223C41"/>
    <w:rsid w:val="00224E6A"/>
    <w:rsid w:val="00254F32"/>
    <w:rsid w:val="002F3C5F"/>
    <w:rsid w:val="00310DF8"/>
    <w:rsid w:val="003740E8"/>
    <w:rsid w:val="003763A3"/>
    <w:rsid w:val="003858C5"/>
    <w:rsid w:val="003C6D88"/>
    <w:rsid w:val="003D425D"/>
    <w:rsid w:val="00482DA5"/>
    <w:rsid w:val="00493031"/>
    <w:rsid w:val="004C4615"/>
    <w:rsid w:val="004D0D33"/>
    <w:rsid w:val="004F676F"/>
    <w:rsid w:val="00501E47"/>
    <w:rsid w:val="0054547F"/>
    <w:rsid w:val="00561B9F"/>
    <w:rsid w:val="006025D3"/>
    <w:rsid w:val="00604B0E"/>
    <w:rsid w:val="0068533E"/>
    <w:rsid w:val="007179A7"/>
    <w:rsid w:val="00722A49"/>
    <w:rsid w:val="007732C5"/>
    <w:rsid w:val="007829F6"/>
    <w:rsid w:val="007948AE"/>
    <w:rsid w:val="007B162F"/>
    <w:rsid w:val="007B5A4E"/>
    <w:rsid w:val="007C3F41"/>
    <w:rsid w:val="0080636E"/>
    <w:rsid w:val="00820CCA"/>
    <w:rsid w:val="008249C6"/>
    <w:rsid w:val="00853AFA"/>
    <w:rsid w:val="00862D62"/>
    <w:rsid w:val="0099178F"/>
    <w:rsid w:val="009D564F"/>
    <w:rsid w:val="009F796C"/>
    <w:rsid w:val="00A02156"/>
    <w:rsid w:val="00A10666"/>
    <w:rsid w:val="00A31FC7"/>
    <w:rsid w:val="00A32C56"/>
    <w:rsid w:val="00A61B6A"/>
    <w:rsid w:val="00AB7DBA"/>
    <w:rsid w:val="00AC0580"/>
    <w:rsid w:val="00B454AC"/>
    <w:rsid w:val="00B61A16"/>
    <w:rsid w:val="00B735E3"/>
    <w:rsid w:val="00B8210A"/>
    <w:rsid w:val="00BB7240"/>
    <w:rsid w:val="00BF54D6"/>
    <w:rsid w:val="00BF7843"/>
    <w:rsid w:val="00C127ED"/>
    <w:rsid w:val="00C233BB"/>
    <w:rsid w:val="00C36610"/>
    <w:rsid w:val="00C85D0F"/>
    <w:rsid w:val="00CE1655"/>
    <w:rsid w:val="00D77EF1"/>
    <w:rsid w:val="00D92A83"/>
    <w:rsid w:val="00DB0EE7"/>
    <w:rsid w:val="00E10F51"/>
    <w:rsid w:val="00E148FC"/>
    <w:rsid w:val="00E56898"/>
    <w:rsid w:val="00E71F4C"/>
    <w:rsid w:val="00E771D1"/>
    <w:rsid w:val="00F079B8"/>
    <w:rsid w:val="00F22C57"/>
    <w:rsid w:val="00F70D50"/>
    <w:rsid w:val="00F96EAB"/>
    <w:rsid w:val="00FC705F"/>
    <w:rsid w:val="00FC778B"/>
  </w:rsids>
  <w:docVars>
    <w:docVar w:name="ADDRESSMNU" w:val=" 2"/>
    <w:docVar w:name="CJMNU" w:val=" 1"/>
    <w:docVar w:name="COM2KEY" w:val="EMPL"/>
    <w:docVar w:name="COMKEY" w:val="CULT"/>
    <w:docVar w:name="DOCDT" w:val="14/07/2026"/>
    <w:docVar w:name="LastEditedSection" w:val=" 1"/>
    <w:docVar w:name="MEETMNU" w:val=" 1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34\fbidi \froman\fcharset0\fprq2{\*\panose 02040503050406030204}Cambria Math;}&#13;_x000a_{\flomajor\f31500\fbidi \froman\fcharset0\fprq2{\*\panose 02020603050405020304}Times New Roman;}{\fdbmajor\f31501\fbidi \froman\fcharset0\fprq2{\*\panose 02020603050405020304}Times New Roman;}&#13;_x000a_{\fhimajor\f31502\fbidi \fswiss\fcharset0\fprq2{\*\panose 020f0302020204030204}Calibri Light;}{\fbimajor\f31503\fbidi \froman\fcharset0\fprq2{\*\panose 02020603050405020304}Times New Roman;}&#13;_x000a_{\flominor\f31504\fbidi \froman\fcharset0\fprq2{\*\panose 02020603050405020304}Times New Roman;}{\fdbminor\f31505\fbidi \froman\fcharset0\fprq2{\*\panose 02020603050405020304}Times New Roman;}&#13;_x000a_{\fhiminor\f31506\fbidi \fswiss\fcharset0\fprq2{\*\panose 020f0502020204030204}Calibri;}{\fbiminor\f31507\fbidi \froman\fcharset0\fprq2{\*\panose 02020603050405020304}Times New Roman;}{\f276\fbidi \froman\fcharset238\fprq2 Times New Roman CE;}&#13;_x000a_{\f277\fbidi \froman\fcharset204\fprq2 Times New Roman Cyr;}{\f279\fbidi \froman\fcharset161\fprq2 Times New Roman Greek;}{\f280\fbidi \froman\fcharset162\fprq2 Times New Roman Tur;}{\f281\fbidi \froman\fcharset177\fprq2 Times New Roman (Hebrew);}&#13;_x000a_{\f282\fbidi \froman\fcharset178\fprq2 Times New Roman (Arabic);}{\f283\fbidi \froman\fcharset186\fprq2 Times New Roman Baltic;}{\f284\fbidi \froman\fcharset163\fprq2 Times New Roman (Vietnamese);}{\f616\fbidi \froman\fcharset238\fprq2 Cambria Math CE;}&#13;_x000a_{\f617\fbidi \froman\fcharset204\fprq2 Cambria Math Cyr;}{\f619\fbidi \froman\fcharset161\fprq2 Cambria Math Greek;}{\f620\fbidi \froman\fcharset162\fprq2 Cambria Math Tur;}{\f623\fbidi \froman\fcharset186\fprq2 Cambria Math Baltic;}&#13;_x000a_{\f624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38\fbidi \froman\fcharset238\fprq2 Times New Roman CE;}{\fbimajor\f31539\fbidi \froman\fcharset204\fprq2 Times New Roman Cyr;}&#13;_x000a_{\fbimajor\f31541\fbidi \froman\fcharset161\fprq2 Times New Roman Greek;}{\fbimajor\f31542\fbidi \froman\fcharset162\fprq2 Times New Roman Tur;}{\fbimajor\f31543\fbidi \froman\fcharset177\fprq2 Times New Roman (Hebrew);}&#13;_x000a_{\fbimajor\f31544\fbidi \froman\fcharset178\fprq2 Times New Roman (Arabic);}{\fbimajor\f31545\fbidi \froman\fcharset186\fprq2 Times New Roman Baltic;}{\fbimajor\f31546\fbidi \froman\fcharset163\fprq2 Times New Roman (Vietnamese);}&#13;_x000a_{\flominor\f31548\fbidi \froman\fcharset238\fprq2 Times New Roman CE;}{\flominor\f31549\fbidi \froman\fcharset204\fprq2 Times New Roman Cyr;}{\flominor\f31551\fbidi \froman\fcharset161\fprq2 Times New Roman Greek;}&#13;_x000a_{\flominor\f31552\fbidi \froman\fcharset162\fprq2 Times New Roman Tur;}{\flominor\f31553\fbidi \froman\fcharset177\fprq2 Times New Roman (Hebrew);}{\flominor\f31554\fbidi \froman\fcharset178\fprq2 Times New Roman (Arabic);}&#13;_x000a_{\flominor\f31555\fbidi \froman\fcharset186\fprq2 Times New Roman Baltic;}{\flominor\f31556\fbidi \froman\fcharset163\fprq2 Times New Roman (Vietnamese);}{\fdbminor\f31558\fbidi \froman\fcharset238\fprq2 Times New Roman CE;}&#13;_x000a_{\fdbminor\f31559\fbidi \froman\fcharset204\fprq2 Times New Roman Cyr;}{\fdbminor\f31561\fbidi \froman\fcharset161\fprq2 Times New Roman Greek;}{\fdbminor\f31562\fbidi \froman\fcharset162\fprq2 Times New Roman Tur;}&#13;_x000a_{\fdbminor\f31563\fbidi \froman\fcharset177\fprq2 Times New Roman (Hebrew);}{\fdbminor\f31564\fbidi \froman\fcharset178\fprq2 Times New Roman (Arabic);}{\fdbminor\f31565\fbidi \froman\fcharset186\fprq2 Times New Roman Baltic;}&#13;_x000a_{\fdbminor\f31566\fbidi \froman\fcharset163\fprq2 Times New Roman (Vietnamese);}{\fhiminor\f31568\fbidi \fswiss\fcharset238\fprq2 Calibri CE;}{\fhiminor\f31569\fbidi \fswiss\fcharset204\fprq2 Calibri Cyr;}&#13;_x000a_{\fhiminor\f31571\fbidi \fswiss\fcharset161\fprq2 Calibri Greek;}{\fhiminor\f31572\fbidi \fswiss\fcharset162\fprq2 Calibri Tur;}{\fhiminor\f31573\fbidi \fswiss\fcharset177\fprq2 Calibri (Hebrew);}&#13;_x000a_{\fhiminor\f31574\fbidi \fswiss\fcharset178\fprq2 Calibri (Arabic);}{\fhiminor\f31575\fbidi \fswiss\fcharset186\fprq2 Calibri Baltic;}{\fhiminor\f31576\fbidi \fswiss\fcharset163\fprq2 Calibri (Vietnamese);}&#13;_x000a_{\fbiminor\f31578\fbidi \froman\fcharset238\fprq2 Times New Roman CE;}{\fbiminor\f31579\fbidi \froman\fcharset204\fprq2 Times New Roman Cyr;}{\fbiminor\f31581\fbidi \froman\fcharset161\fprq2 Times New Roman Greek;}&#13;_x000a_{\fbiminor\f31582\fbidi \froman\fcharset162\fprq2 Times New Roman Tur;}{\fbiminor\f31583\fbidi \froman\fcharset177\fprq2 Times New Roman (Hebrew);}{\fbiminor\f31584\fbidi \froman\fcharset178\fprq2 Times New Roman (Arabic);}&#13;_x000a_{\fbiminor\f31585\fbidi \froman\fcharset186\fprq2 Times New Roman Baltic;}{\fbiminor\f31586\fbidi \froman\fcharset163\fprq2 Times New Roman (Vietnamese)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}{\*\defchp }{\*\defpap \ql \li0\ri0\widctlpar\wrapdefault\aspalpha\aspnum\faauto\adjustright\rin0\lin0\itap0 }\noqfpromote {\stylesheet{\ql \li0\ri0\widctlpar\wrapdefault\aspalpha\aspnum\faauto\adjustright\rin0\lin0\itap0 &#13;_x000a_\rtlch\fcs1 \af0\afs20\alang1025 \ltrch\fcs0 \fs24\lang2057\langfe2057\cgrid\langnp2057\langfenp2057 \snext0 \sqformat \spriority0 Normal;}{\*\cs10 \additive \ssemihidden \spriority0 Default Paragraph Font;}{\*&#13;_x000a_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&#13;_x000a_\s15\ql \fi-567\li567\ri0\sa240\nowidctlpar\wrapdefault\aspalpha\aspnum\faauto\adjustright\rin0\lin567\itap0 \rtlch\fcs1 \af0\afs20\alang1025 \ltrch\fcs0 \fs24\lang2057\langfe2057\cgrid\langnp2057\langfenp2057 &#13;_x000a_\sbasedon0 \snext15 \spriority0 \styrsid3030495 NormalHanging12a;}}{\*\rsidtbl \rsid24658\rsid358857\rsid735077\rsid787282\rsid2892074\rsid3030495\rsid3622648\rsid3633181\rsid4666813\rsid5708216\rsid6641733\rsid7553164\rsid8465581\rsid8681905\rsid8724649&#13;_x000a_\rsid9636012\rsid9862312\rsid11215221\rsid11370291\rsid11434737\rsid11607138\rsid11824949\rsid12154954\rsid14424199\rsid15204470\rsid15285974\rsid15535219\rsid15950462\rsid16324206\rsid16662270}{\mmathPr\mmathFont34\mbrkBin0\mbrkBinSub0\msmallFrac0&#13;_x000a_\mdispDef1\mlMargin0\mrMargin0\mdefJc1\mwrapIndent1440\mintLim0\mnaryLim1}{\info{\author FELIX Karina}{\operator FELIX Karina}{\creatim\yr2019\mo7\dy5\hr16\min48}{\revtim\yr2019\mo7\dy5\hr16\min48}{\version1}{\edmins0}{\nofpages1}{\nofwords5}{\nofchars30}&#13;_x000a_{\*\company European Parliament}{\nofcharsws34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3030495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633181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63318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63318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633181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15\ql \fi-567\li567\ri0\sa240\nowidctlpar\wrapdefault\aspalpha\aspnum\faauto\adjustright\rin0\lin567\itap0\pararsid3030495 \rtlch\fcs1 \af0\afs20\alang1025 \ltrch\fcs0 \fs24\lang2057\langfe2057\cgrid\langnp2057\langfenp2057 {\rtlch\fcs1 \af0 &#13;_x000a_\ltrch\fcs0 \insrsid3030495\charrsid1525456 {\*\bkmkstart restart}[ZSUGGESTIONNR]\tab [ZSUGGESTIONTEXT]&#13;_x000a_\par }\pard\plain \ltrpar\ql \li0\ri0\widctlpar\wrapdefault\aspalpha\aspnum\faauto\adjustright\rin0\lin0\itap0\pararsid16324206 \rtlch\fcs1 \af0\afs20\alang1025 \ltrch\fcs0 \fs24\lang2057\langfe2057\cgrid\langnp2057\langfenp2057 {\rtlch\fcs1 \af0 \ltrch\fcs0 &#13;_x000a_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29&#13;_x000a_53c64033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strDocTypeID" w:val="AL_Com_NonLeg"/>
    <w:docVar w:name="strSubDir" w:val="1346"/>
    <w:docVar w:name="TITLEMNU" w:val=" 1"/>
    <w:docVar w:name="TXTAUTHOR" w:val="Nela Riehl"/>
    <w:docVar w:name="TXTCHAIR" w:val="Li Andersson"/>
    <w:docVar w:name="TXTLANGUE" w:val="CS"/>
    <w:docVar w:name="TXTLANGUEMIN" w:val="cs"/>
    <w:docVar w:name="TXTNRPE" w:val="790.021"/>
    <w:docVar w:name="TXTPEorAP" w:val="PE"/>
    <w:docVar w:name="TXTROUTE" w:val="AL\1346064CS.docx"/>
    <w:docVar w:name="TXTVERSION" w:val="01-00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EAD1E98A-D0D5-4A54-8ACB-51059554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666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B61A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LetterDate">
    <w:name w:val="LetterDate"/>
    <w:basedOn w:val="Normal"/>
    <w:rsid w:val="007C3F41"/>
    <w:pPr>
      <w:spacing w:before="720" w:after="240"/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Name">
    <w:name w:val="EPName"/>
    <w:basedOn w:val="Normal"/>
    <w:rsid w:val="00CE165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E165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E1655"/>
    <w:pPr>
      <w:jc w:val="right"/>
    </w:pPr>
  </w:style>
  <w:style w:type="paragraph" w:customStyle="1" w:styleId="LetterSalutation">
    <w:name w:val="LetterSalutation"/>
    <w:basedOn w:val="Normal"/>
    <w:rsid w:val="003740E8"/>
    <w:pPr>
      <w:spacing w:before="600" w:after="360"/>
    </w:pPr>
  </w:style>
  <w:style w:type="paragraph" w:customStyle="1" w:styleId="LetterSubject">
    <w:name w:val="LetterSubject"/>
    <w:basedOn w:val="Normal"/>
    <w:rsid w:val="00BB7240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066C9F"/>
    <w:pPr>
      <w:spacing w:before="1320"/>
    </w:pPr>
  </w:style>
  <w:style w:type="table" w:styleId="TableGrid">
    <w:name w:val="Table Grid"/>
    <w:basedOn w:val="TableNormal"/>
    <w:rsid w:val="0000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7C3F4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00C7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771D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PageHeadingNotTOC">
    <w:name w:val="PageHeadingNotTOC"/>
    <w:basedOn w:val="Normal"/>
    <w:rsid w:val="007C3F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7C3F41"/>
    <w:pPr>
      <w:spacing w:after="240"/>
      <w:ind w:left="567" w:hanging="567"/>
    </w:pPr>
  </w:style>
  <w:style w:type="paragraph" w:customStyle="1" w:styleId="EPFooter">
    <w:name w:val="EPFooter"/>
    <w:basedOn w:val="Normal"/>
    <w:rsid w:val="00E56898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E568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E148FC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02156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semiHidden/>
    <w:rsid w:val="00A32C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A32C56"/>
    <w:rPr>
      <w:sz w:val="24"/>
    </w:rPr>
  </w:style>
  <w:style w:type="character" w:styleId="FootnoteReference">
    <w:name w:val="footnote reference"/>
    <w:basedOn w:val="DefaultParagraphFont"/>
    <w:unhideWhenUsed/>
    <w:rsid w:val="001E76F5"/>
    <w:rPr>
      <w:vertAlign w:val="superscript"/>
    </w:rPr>
  </w:style>
  <w:style w:type="paragraph" w:styleId="FootnoteText">
    <w:name w:val="footnote text"/>
    <w:basedOn w:val="Normal"/>
    <w:link w:val="FootnoteTextChar"/>
    <w:rsid w:val="001E76F5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1E76F5"/>
  </w:style>
  <w:style w:type="paragraph" w:styleId="ListParagraph">
    <w:name w:val="List Paragraph"/>
    <w:basedOn w:val="Normal"/>
    <w:qFormat/>
    <w:rsid w:val="001E76F5"/>
    <w:pPr>
      <w:suppressAutoHyphens/>
      <w:autoSpaceDN w:val="0"/>
      <w:ind w:left="720"/>
      <w:textAlignment w:val="baseline"/>
    </w:pPr>
  </w:style>
  <w:style w:type="paragraph" w:customStyle="1" w:styleId="pf0">
    <w:name w:val="pf0"/>
    <w:basedOn w:val="Normal"/>
    <w:rsid w:val="001E76F5"/>
    <w:pPr>
      <w:widowControl/>
      <w:suppressAutoHyphens/>
      <w:autoSpaceDN w:val="0"/>
      <w:spacing w:before="100" w:after="100"/>
      <w:textAlignment w:val="baseline"/>
    </w:pPr>
    <w:rPr>
      <w:szCs w:val="24"/>
    </w:rPr>
  </w:style>
  <w:style w:type="character" w:customStyle="1" w:styleId="cf01">
    <w:name w:val="cf01"/>
    <w:basedOn w:val="DefaultParagraphFont"/>
    <w:rsid w:val="001E76F5"/>
    <w:rPr>
      <w:rFonts w:ascii="Segoe UI" w:hAnsi="Segoe UI" w:cs="Segoe UI"/>
      <w:sz w:val="18"/>
      <w:szCs w:val="18"/>
    </w:rPr>
  </w:style>
  <w:style w:type="paragraph" w:customStyle="1" w:styleId="PageHeading">
    <w:name w:val="PageHeading"/>
    <w:basedOn w:val="Normal"/>
    <w:rsid w:val="001E76F5"/>
    <w:pPr>
      <w:keepNext/>
      <w:widowControl/>
      <w:spacing w:after="480"/>
      <w:jc w:val="center"/>
    </w:pPr>
    <w:rPr>
      <w:rFonts w:ascii="Arial" w:eastAsia="Arial" w:hAnsi="Arial" w:cs="Arial"/>
      <w:b/>
      <w:szCs w:val="24"/>
      <w:lang w:eastAsia="en-US"/>
    </w:rPr>
  </w:style>
  <w:style w:type="character" w:styleId="Hyperlink">
    <w:name w:val="Hyperlink"/>
    <w:basedOn w:val="DefaultParagraphFont"/>
    <w:rsid w:val="001E76F5"/>
    <w:rPr>
      <w:color w:val="0000FF"/>
      <w:u w:val="single"/>
    </w:rPr>
  </w:style>
  <w:style w:type="paragraph" w:customStyle="1" w:styleId="RollCallSymbols14pt">
    <w:name w:val="RollCallSymbols14pt"/>
    <w:basedOn w:val="Normal"/>
    <w:rsid w:val="001E76F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E76F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E76F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E76F5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hyperlink" Target="https://www.europarl.europa.eu/data-protect/index.do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s://www.cedefop.europa.eu/en/press-releases/cedefop-launches-first-european-vocational-teacher-survey-tackle-critical-vet-teacher-shortages" TargetMode="External" /><Relationship Id="rId2" Type="http://schemas.openxmlformats.org/officeDocument/2006/relationships/hyperlink" Target="http://data.europa.eu/eli/agree_interinstit/2021/61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2450</Words>
  <Characters>15536</Characters>
  <Application>Microsoft Office Word</Application>
  <DocSecurity>0</DocSecurity>
  <Lines>323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AL_Com_NonLeg</vt:lpstr>
    </vt:vector>
  </TitlesOfParts>
  <Company/>
  <LinksUpToDate>false</LinksUpToDate>
  <CharactersWithSpaces>17894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AL_Com_NonLeg</dc:title>
  <dc:creator>European Parliament</dc:creator>
  <cp:lastModifiedBy>European Parliament</cp:lastModifiedBy>
  <cp:revision>2</cp:revision>
  <cp:lastPrinted>2004-06-24T10:04:00Z</cp:lastPrinted>
  <dcterms:created xsi:type="dcterms:W3CDTF">2026-07-30T09:39:00Z</dcterms:created>
  <dcterms:modified xsi:type="dcterms:W3CDTF">2026-07-30T09:39:00Z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1346064</vt:lpwstr>
  </property>
  <property fmtid="{D5CDD505-2E9C-101B-9397-08002B2CF9AE}" pid="4" name="&lt;Model&gt;">
    <vt:lpwstr>AL_Com_NonLeg</vt:lpwstr>
  </property>
  <property fmtid="{D5CDD505-2E9C-101B-9397-08002B2CF9AE}" pid="5" name="&lt;ModelCod&gt;">
    <vt:lpwstr>\\eiciLUXpr1\pdocep$\DocEP\DOCS\General\AL\AL_Com_NonLeg.dotx(08/07/2025 12:45:22)</vt:lpwstr>
  </property>
  <property fmtid="{D5CDD505-2E9C-101B-9397-08002B2CF9AE}" pid="6" name="&lt;ModelTra&gt;">
    <vt:lpwstr>\\eiciLUXpr1\pdocep$\DocEP\TRANSFIL\CS\AL_Com_NonLeg.CS(30/04/2026 11:26:01)</vt:lpwstr>
  </property>
  <property fmtid="{D5CDD505-2E9C-101B-9397-08002B2CF9AE}" pid="7" name="&lt;Type&gt;">
    <vt:lpwstr>AL</vt:lpwstr>
  </property>
  <property fmtid="{D5CDD505-2E9C-101B-9397-08002B2CF9AE}" pid="8" name="Bookout">
    <vt:lpwstr>OK - 2026/07/30 11:39</vt:lpwstr>
  </property>
  <property fmtid="{D5CDD505-2E9C-101B-9397-08002B2CF9AE}" pid="9" name="Created with">
    <vt:lpwstr>10.3.1 Build [20260701]</vt:lpwstr>
  </property>
  <property fmtid="{D5CDD505-2E9C-101B-9397-08002B2CF9AE}" pid="10" name="FooterPath">
    <vt:lpwstr>AL\1346064CS.docx</vt:lpwstr>
  </property>
  <property fmtid="{D5CDD505-2E9C-101B-9397-08002B2CF9AE}" pid="11" name="LastEdited with">
    <vt:lpwstr>10.3.1 Build [20260701]</vt:lpwstr>
  </property>
  <property fmtid="{D5CDD505-2E9C-101B-9397-08002B2CF9AE}" pid="12" name="PE number">
    <vt:lpwstr>790.021</vt:lpwstr>
  </property>
  <property fmtid="{D5CDD505-2E9C-101B-9397-08002B2CF9AE}" pid="13" name="RegistreCheck">
    <vt:lpwstr>OK</vt:lpwstr>
  </property>
  <property fmtid="{D5CDD505-2E9C-101B-9397-08002B2CF9AE}" pid="14" name="SDLStudio">
    <vt:lpwstr/>
  </property>
</Properties>
</file>