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9.12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669DD628" w14:textId="77777777" w:rsidTr="00C85D0F">
        <w:tblPrEx>
          <w:tblW w:w="9072" w:type="dxa"/>
          <w:tblCellMar>
            <w:left w:w="0" w:type="dxa"/>
            <w:right w:w="0" w:type="dxa"/>
          </w:tblCellMar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310DF8" w:rsidRPr="001C2717" w:rsidP="00C85D0F" w14:paraId="7E046FF0" w14:textId="77777777">
            <w:pPr>
              <w:pStyle w:val="EPName"/>
            </w:pPr>
            <w:r>
              <w:t>Parlament Ewropew</w:t>
            </w:r>
          </w:p>
          <w:p w:rsidR="00310DF8" w:rsidRPr="001C2717" w:rsidP="00C85D0F" w14:paraId="0B475376" w14:textId="40BD0320">
            <w:pPr>
              <w:pStyle w:val="EPTerm"/>
            </w:pPr>
            <w:r>
              <w:t>2024-2029</w:t>
            </w:r>
          </w:p>
        </w:tc>
        <w:tc>
          <w:tcPr>
            <w:tcW w:w="2268" w:type="dxa"/>
            <w:shd w:val="clear" w:color="auto" w:fill="auto"/>
          </w:tcPr>
          <w:p w:rsidR="00310DF8" w:rsidRPr="001C2717" w:rsidP="00C85D0F" w14:paraId="4A59805A" w14:textId="77777777">
            <w:pPr>
              <w:pStyle w:val="EPLogo"/>
            </w:pPr>
            <w:r w:rsidRPr="001C2717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047392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00C7D" w:rsidRPr="001C2717" w:rsidP="00000C7D" w14:paraId="502DB816" w14:textId="77777777">
      <w:pPr>
        <w:pStyle w:val="LineTop"/>
      </w:pPr>
    </w:p>
    <w:p w:rsidR="00000C7D" w:rsidRPr="001C2717" w:rsidP="00000C7D" w14:paraId="04FC11FE" w14:textId="2AB27DC4">
      <w:pPr>
        <w:pStyle w:val="EPBody"/>
      </w:pPr>
      <w:r>
        <w:rPr>
          <w:rStyle w:val="HideTWBExt"/>
        </w:rPr>
        <w:t>&lt;</w:t>
      </w:r>
      <w:r>
        <w:rPr>
          <w:rStyle w:val="HideTWBExt"/>
          <w:i w:val="0"/>
        </w:rPr>
        <w:t>Commission</w:t>
      </w:r>
      <w:r>
        <w:rPr>
          <w:rStyle w:val="HideTWBExt"/>
        </w:rPr>
        <w:t>&gt;</w:t>
      </w:r>
      <w:r>
        <w:rPr>
          <w:rStyle w:val="HideTWBInt"/>
        </w:rPr>
        <w:t>{CULT}</w:t>
      </w:r>
      <w:r>
        <w:t>Kumitat għall-Kultura u l-Edukazzjoni</w:t>
      </w:r>
      <w:r>
        <w:rPr>
          <w:rStyle w:val="HideTWBExt"/>
        </w:rPr>
        <w:t>&lt;/</w:t>
      </w:r>
      <w:r>
        <w:rPr>
          <w:rStyle w:val="HideTWBExt"/>
          <w:i w:val="0"/>
        </w:rPr>
        <w:t>Commission</w:t>
      </w:r>
      <w:r>
        <w:rPr>
          <w:rStyle w:val="HideTWBExt"/>
        </w:rPr>
        <w:t>&gt;</w:t>
      </w:r>
    </w:p>
    <w:p w:rsidR="00000C7D" w:rsidRPr="001C2717" w:rsidP="00000C7D" w14:paraId="554AE343" w14:textId="77777777">
      <w:pPr>
        <w:pStyle w:val="EPBody"/>
      </w:pPr>
      <w:r>
        <w:t>Il-President</w:t>
      </w:r>
    </w:p>
    <w:p w:rsidR="00000C7D" w:rsidRPr="001C2717" w:rsidP="00000C7D" w14:paraId="34FD5EB4" w14:textId="77777777">
      <w:pPr>
        <w:pStyle w:val="LineBottom"/>
      </w:pPr>
    </w:p>
    <w:p w:rsidR="00E71F4C" w:rsidRPr="001C2717" w:rsidP="007C3F41" w14:paraId="7726DF4D" w14:textId="426EDF08">
      <w:pPr>
        <w:pStyle w:val="LetterDate"/>
      </w:pPr>
      <w:r>
        <w:rPr>
          <w:rStyle w:val="HideTWBExt"/>
        </w:rPr>
        <w:t>&lt;Date&gt;</w:t>
      </w:r>
      <w:r>
        <w:rPr>
          <w:rStyle w:val="HideTWBInt"/>
        </w:rPr>
        <w:t>{14/07/2026}</w:t>
      </w:r>
      <w:r>
        <w:t>14.7.2026</w:t>
      </w:r>
      <w:r>
        <w:rPr>
          <w:rStyle w:val="HideTWBExt"/>
        </w:rPr>
        <w:t>&lt;/Date&gt;</w:t>
      </w:r>
    </w:p>
    <w:p w:rsidR="007179A7" w:rsidRPr="001C2717" w14:paraId="29518ADB" w14:textId="67AFFB0F">
      <w:r>
        <w:t>Is-Sinjura Li Andersson</w:t>
      </w:r>
    </w:p>
    <w:p w:rsidR="007179A7" w:rsidRPr="001C2717" w14:paraId="3848AD08" w14:textId="77777777">
      <w:r>
        <w:t>Il-President</w:t>
      </w:r>
    </w:p>
    <w:p w:rsidR="007179A7" w:rsidRPr="001C2717" w14:paraId="5722CB98" w14:textId="492C6064">
      <w:r>
        <w:t>Kumitat għall-Impjiegi u l-Affarijiet Soċjali</w:t>
      </w:r>
    </w:p>
    <w:p w:rsidR="007179A7" w:rsidRPr="001C2717" w14:paraId="6CE96F31" w14:textId="77777777">
      <w:r>
        <w:t>BRUSSELL</w:t>
      </w:r>
    </w:p>
    <w:p w:rsidR="009F796C" w:rsidRPr="001C2717" w:rsidP="009F796C" w14:paraId="525B96FF" w14:textId="19510AC8">
      <w:pPr>
        <w:pStyle w:val="LetterSubject"/>
      </w:pPr>
      <w:r>
        <w:t>Suġġett:</w:t>
      </w:r>
      <w:r>
        <w:tab/>
      </w:r>
      <w:r>
        <w:rPr>
          <w:rStyle w:val="HideTWBExt"/>
        </w:rPr>
        <w:t>&lt;Titre&gt;</w:t>
      </w:r>
      <w:r>
        <w:t>Opinjoni tal-Kumitat CULT dwar it-tisħiħ tal-ħiliet fl-Unjoni – opportunitajiet ta’ edukazzjoni u taħriġ vokazzjonali fi żminijiet ta’ tranżizzjoni</w:t>
      </w:r>
      <w:r>
        <w:rPr>
          <w:rStyle w:val="HideTWBExt"/>
        </w:rPr>
        <w:t>&lt;/Titre&gt;</w:t>
      </w:r>
      <w:r>
        <w:t xml:space="preserve"> </w:t>
      </w:r>
      <w:r>
        <w:rPr>
          <w:rStyle w:val="HideTWBExt"/>
        </w:rPr>
        <w:t>&lt;DocRef&gt;</w:t>
      </w:r>
      <w:r>
        <w:t>(2026/2070(INI))</w:t>
      </w:r>
      <w:r>
        <w:rPr>
          <w:rStyle w:val="HideTWBExt"/>
        </w:rPr>
        <w:t>&lt;/DocRef&gt;</w:t>
      </w:r>
    </w:p>
    <w:p w:rsidR="007179A7" w:rsidRPr="001C2717" w:rsidP="007C3F41" w14:paraId="1EBC9991" w14:textId="5115D8C2">
      <w:pPr>
        <w:pStyle w:val="LetterSalutation"/>
      </w:pPr>
      <w:r>
        <w:t>Is-Sinjura President,</w:t>
      </w:r>
    </w:p>
    <w:p w:rsidR="001A63A7" w:rsidRPr="001C2717" w:rsidP="001A63A7" w14:paraId="325F6F6F" w14:textId="77777777">
      <w:pPr>
        <w:pStyle w:val="Normal12a"/>
        <w:rPr>
          <w:szCs w:val="24"/>
        </w:rPr>
      </w:pPr>
      <w:r>
        <w:t>Skont il-proċedura inkwistjoni, il-Kumitat għall-Kultura u l-Edukazzjoni (CULT) ngħata l-istruzzjoni li jippreżenta opinjoni lill-Kumitat tiegħek u ddeċieda li jibgħat din l-opinjoni fil-forma ta’ ittra.</w:t>
      </w:r>
    </w:p>
    <w:p w:rsidR="007179A7" w:rsidRPr="001C2717" w:rsidP="001A63A7" w14:paraId="445C1CDA" w14:textId="1242B671">
      <w:pPr>
        <w:pStyle w:val="Normal12a"/>
      </w:pPr>
      <w:r>
        <w:t>Il-Kumitat għall-Kultura u l-Edukazzjoni eżamina l-kwistjoni msemmija hawn fuq waqt il-laqgħa tiegħu tal-14 ta’ Lulju 2026. Matul din il-laqgħa, iddeċieda li jippreżenta lill-Kumitat għall-Impjiegi u l-Affarijiet Soċjali, bħala l-kumitat responsabbli, l-opinjoni li tidher hawn taħt.</w:t>
      </w:r>
    </w:p>
    <w:p w:rsidR="007179A7" w:rsidRPr="001C2717" w:rsidP="007C3F41" w14:paraId="4DD7B1FE" w14:textId="77777777">
      <w:pPr>
        <w:pStyle w:val="Normal12a"/>
      </w:pPr>
      <w:r>
        <w:t>Dejjem tiegħek,</w:t>
      </w:r>
    </w:p>
    <w:p w:rsidR="001A63A7" w:rsidRPr="001C2717" w:rsidP="00085831" w14:paraId="66D438E9" w14:textId="4F2FF0A1">
      <w:pPr>
        <w:pStyle w:val="LetterSignature66b"/>
      </w:pPr>
      <w:r>
        <w:t>Nela Riehl</w:t>
      </w:r>
    </w:p>
    <w:p w:rsidR="001A63A7" w:rsidRPr="001C2717" w:rsidP="001A63A7" w14:paraId="71764189" w14:textId="77777777">
      <w:pPr>
        <w:jc w:val="center"/>
        <w:rPr>
          <w:b/>
          <w:bCs/>
        </w:rPr>
      </w:pPr>
      <w:r>
        <w:br w:type="page"/>
      </w:r>
      <w:bookmarkStart w:id="0" w:name="_Hlk234339819"/>
      <w:r>
        <w:rPr>
          <w:b/>
        </w:rPr>
        <w:t>SUĠĠERIMENTI</w:t>
      </w:r>
    </w:p>
    <w:p w:rsidR="001A63A7" w:rsidRPr="001C2717" w:rsidP="001A63A7" w14:paraId="60BD27D1" w14:textId="77777777">
      <w:pPr>
        <w:jc w:val="center"/>
        <w:rPr>
          <w:b/>
          <w:bCs/>
        </w:rPr>
      </w:pPr>
    </w:p>
    <w:p w:rsidR="001A63A7" w:rsidRPr="001C2717" w:rsidP="001A63A7" w14:paraId="53AD714A" w14:textId="77777777">
      <w:pPr>
        <w:ind w:left="426"/>
      </w:pPr>
    </w:p>
    <w:p w:rsidR="001A63A7" w:rsidRPr="001C2717" w:rsidP="001A63A7" w14:paraId="3FE00118" w14:textId="77777777">
      <w:pPr>
        <w:ind w:left="644" w:right="565" w:hanging="360"/>
        <w:jc w:val="both"/>
      </w:pPr>
      <w:r>
        <w:rPr>
          <w:rFonts w:ascii="Symbol" w:hAnsi="Symbol"/>
        </w:rPr>
        <w:sym w:font="Symbol" w:char="F02D"/>
      </w:r>
      <w:r>
        <w:rPr>
          <w:rFonts w:ascii="Symbol" w:hAnsi="Symbol"/>
        </w:rPr>
        <w:tab/>
      </w:r>
      <w:r>
        <w:t>Wara li kkunsidra t-Trattat dwar il-Funzjonament tal-Unjoni Ewropea, u b’mod partikolari l-Artikolu 165 u l-Artikolu 166 tiegħu,</w:t>
      </w:r>
    </w:p>
    <w:p w:rsidR="001A63A7" w:rsidRPr="001C2717" w:rsidP="001A63A7" w14:paraId="0F96CE10" w14:textId="77777777">
      <w:pPr>
        <w:ind w:right="565"/>
        <w:jc w:val="both"/>
      </w:pPr>
    </w:p>
    <w:p w:rsidR="001A63A7" w:rsidRPr="001C2717" w:rsidP="001A63A7" w14:paraId="276BF536" w14:textId="77777777">
      <w:pPr>
        <w:pStyle w:val="ListParagraph"/>
        <w:ind w:left="284" w:right="565"/>
        <w:jc w:val="both"/>
      </w:pPr>
      <w:r>
        <w:t>A. billi l-VET huma pilastru ewlieni taż-Żona Ewropea tal-Edukazzjoni, l-Unjoni tal-Ħiliet u l-ekosistema Ewropea tat-tagħlim tul il-ħajja, li jikkontribwixxu għall-iżvilupp personali, l-impjiegi ta’ kwalità, il-koeżjoni soċjali, il-kompetittività u r-reżiljenza tal-UE, inkluża l-awtonomija strateġika, fi żminijiet ta’ tranżizzjonijiet ekoloġiċi, diġitali, demografiċi u industrijali; billi l-edukazzjoni u t-taħriġ vokazzjonali għandhom rwol kruċjali fit-tisħiħ tal-bażi industrijali tal-Ewropa, fil-preservazzjoni u fit-titjib tal-għarfien espert tekniku speċjalizzat, u fl-indirizzar tan-nuqqas ta’ ħaddiema f’setturi essenzjali għall-kompetittività u r-reżiljenza tal-Unjoni; Billi l-Proċess ta’ Copenhagen imniedi f’Novembru 2002 biex tissaħħaħ il-kooperazzjoni Ewropea fil-VET kien qed jipprovdi qafas konsistenti għall-politika Ewropea tal-VET;</w:t>
      </w:r>
    </w:p>
    <w:p w:rsidR="001A63A7" w:rsidRPr="001C2717" w:rsidP="001A63A7" w14:paraId="73AAD156" w14:textId="77777777">
      <w:pPr>
        <w:pStyle w:val="ListParagraph"/>
        <w:ind w:left="284" w:right="565"/>
        <w:jc w:val="both"/>
      </w:pPr>
    </w:p>
    <w:p w:rsidR="001A63A7" w:rsidRPr="001C2717" w:rsidP="001A63A7" w14:paraId="7B2DBD56" w14:textId="77777777">
      <w:pPr>
        <w:pStyle w:val="ListParagraph"/>
        <w:ind w:left="284" w:right="565"/>
        <w:jc w:val="both"/>
      </w:pPr>
      <w:r>
        <w:t>B. billi l-VET għandhom jiġu vvalutati bħala perkors ta’ tagħlim ta’ kwalità għolja fih innifsu, u billi l-Istati Membri għandhom iħeġġu u jappoġġjaw il-parità tal-istima bejn il-perkorsi vokazzjonali u akkademiċi f’konformità mas-sistemi nazzjonali tagħhom tal-edukazzjoni u t-taħriġ fit-tfassil tal-politika, il-gwida għall-istudenti, l-opportunitajiet ta’ mobbiltà, is-sistemi ta’ rikonoxximent, l-investiment fil-kwalità u l-komunikazzjoni pubblika dwar il-VET; billi valur ugwali għandu jfisser aċċess u opportunitajiet effettivi għall-istudenti ta’ kull età u sfond, mingħajr ma jinħoloq distakk kompetittiv bejn is-setturi tal-edukazzjoni u tat-taħriġ;</w:t>
      </w:r>
    </w:p>
    <w:p w:rsidR="001A63A7" w:rsidRPr="001C2717" w:rsidP="001A63A7" w14:paraId="24C57811" w14:textId="77777777">
      <w:pPr>
        <w:pStyle w:val="ListParagraph"/>
        <w:ind w:left="284" w:right="565"/>
        <w:jc w:val="both"/>
      </w:pPr>
    </w:p>
    <w:p w:rsidR="001A63A7" w:rsidRPr="001C2717" w:rsidP="001A63A7" w14:paraId="469BE656" w14:textId="77777777">
      <w:pPr>
        <w:pStyle w:val="ListParagraph"/>
        <w:ind w:left="284" w:right="565"/>
        <w:jc w:val="both"/>
      </w:pPr>
      <w:r>
        <w:t xml:space="preserve">C. billi l-attraenza u l-kwalità tal-VET jiddependu mhux biss fuq ir-rilevanza għas-suq tax-xogħol, iżda wkoll fuq it-tagħlim u t-taħriġ, is-sistemi ta’ gwida, l-aċċess inklużiv, il-permeabbiltà bejn il-perkorsi tal-edukazzjoni u t-taħriġ, ir-rikonoxximent tal-ħiliet u l-kwalifiki u l-iżvilupp ta’ kompetenzi bażiċi, diġitali, ekoloġiċi, ċiviċi, soċjali u trasversali;  </w:t>
      </w:r>
    </w:p>
    <w:p w:rsidR="001A63A7" w:rsidRPr="001C2717" w:rsidP="001A63A7" w14:paraId="65E059FD" w14:textId="77777777">
      <w:pPr>
        <w:pStyle w:val="ListParagraph"/>
        <w:ind w:left="284" w:right="565"/>
        <w:jc w:val="both"/>
      </w:pPr>
    </w:p>
    <w:p w:rsidR="001A63A7" w:rsidRPr="001C2717" w:rsidP="001A63A7" w14:paraId="6AE93C90" w14:textId="77777777">
      <w:pPr>
        <w:pStyle w:val="ListParagraph"/>
        <w:ind w:left="284" w:right="565"/>
        <w:jc w:val="both"/>
      </w:pPr>
      <w:r>
        <w:t>D. billi l-investiment pubbliku għal kull student u l-għajnuna finanzjarja diretta huma sistematikament aktar baxxi għall-edukazzjoni sekondarja għolja u postsekondarja mhux terzjarja – il-livelli fejn il-VET huma kkonċentrati – milli għall-edukazzjoni terzjarja fil-biċċa l-kbira tal-Istati Membri</w:t>
      </w:r>
      <w:r>
        <w:rPr>
          <w:rStyle w:val="FootnoteReference"/>
        </w:rPr>
        <w:footnoteReference w:id="2"/>
      </w:r>
      <w:r>
        <w:t>;</w:t>
      </w:r>
    </w:p>
    <w:p w:rsidR="001A63A7" w:rsidRPr="001C2717" w:rsidP="001A63A7" w14:paraId="10C5519B" w14:textId="77777777">
      <w:pPr>
        <w:pStyle w:val="ListParagraph"/>
        <w:ind w:left="284" w:right="565"/>
        <w:jc w:val="both"/>
      </w:pPr>
    </w:p>
    <w:p w:rsidR="001A63A7" w:rsidRPr="001C2717" w:rsidP="001A63A7" w14:paraId="7CD8735C" w14:textId="77777777">
      <w:pPr>
        <w:pStyle w:val="ListParagraph"/>
        <w:ind w:left="284" w:right="565"/>
        <w:jc w:val="both"/>
      </w:pPr>
      <w:r>
        <w:t xml:space="preserve">E. billi l-mobbiltà tal-istudenti u tal-apprendisti tal-VET tibqa’ waħda mill-aktar oqsma ċari fejn din l-ambizzjoni għad trid tiġi tradotta fil-prattika; billi hemm wisq studenti u apprendisti tal-VET li għadhom qed jiffaċċjaw inċertezza legali, ostakli amministrattivi, kapaċità limitata tal-fornituri, responsabbiltajiet mhux ċari, u </w:t>
      </w:r>
      <w:r>
        <w:t>kwistjonijiet mhux solvuti relatati mal-assigurazzjoni, ir-remunerazzjoni, is-sigurtà soċjali u r-rikonoxximent; billi l-istudenti spiss ma jkunux konxji tad-drittijiet tagħhom u tal-proċeduri disponibbli biex jirrapportaw abbużi; billi ostakli addizzjonali, bħaż-żieda fil-kostijiet tal-għajxien u tal-akkomodazzjoni, jistgħu jirriskjaw li jeskludu lill-istudenti minn sfondi soċjoekonomiċi żvantaġġati mill-opportunitajiet ta’ mobbiltà fl-edukazzjoni u t-taħriġ vokazzjonali;</w:t>
      </w:r>
    </w:p>
    <w:p w:rsidR="001A63A7" w:rsidRPr="001C2717" w:rsidP="001A63A7" w14:paraId="16CE7846" w14:textId="77777777">
      <w:pPr>
        <w:pStyle w:val="ListParagraph"/>
        <w:ind w:left="284" w:right="565"/>
        <w:jc w:val="both"/>
      </w:pPr>
    </w:p>
    <w:p w:rsidR="001A63A7" w:rsidRPr="001C2717" w:rsidP="001A63A7" w14:paraId="09E8E5FB" w14:textId="77777777">
      <w:pPr>
        <w:pStyle w:val="ListParagraph"/>
        <w:ind w:left="284" w:right="565"/>
        <w:jc w:val="both"/>
      </w:pPr>
      <w:r>
        <w:t>F. billi l-ispariġġi persistenti fil-ħiliet ikomplu jfixklu l-produttività, it-tkabbir ekonomiku u l-innovazzjoni madwar l-Unjoni, filwaqt li jenfasizzaw il-ħtieġa ta’ kooperazzjoni aktar mill-qrib bejn il-fornituri tat-taħriġ, l-impjegaturi, l-SMEs u l-ekosistemi produttivi lokali; billi s-sistemi doppji tal-edukazzjoni u t-taħriġ vokazzjonali bbażati fuq l-apprendistat, li jikkombinaw it-tagħlim ibbażat fl-iskejjel ma’ taħriġ sostanzjali ta’ kwalità bbażat fuq ix-xogħol fl-intrapriżi, urew li huma effettivi biex jappoġġjaw it-tranżizzjoni mill-edukazzjoni għall-impjieg;</w:t>
      </w:r>
    </w:p>
    <w:p w:rsidR="001A63A7" w:rsidRPr="001C2717" w:rsidP="001A63A7" w14:paraId="46CB8BC6" w14:textId="77777777">
      <w:pPr>
        <w:pStyle w:val="ListParagraph"/>
        <w:ind w:left="284" w:right="565"/>
        <w:jc w:val="both"/>
      </w:pPr>
    </w:p>
    <w:p w:rsidR="001A63A7" w:rsidRPr="001C2717" w:rsidP="001A63A7" w14:paraId="09BE109C" w14:textId="77777777">
      <w:pPr>
        <w:pStyle w:val="ListParagraph"/>
        <w:ind w:left="284" w:right="565"/>
        <w:jc w:val="both"/>
      </w:pPr>
      <w:r>
        <w:t>G. billi t-tisħiħ tal-prinċipji u d-dispożizzjonijiet Ewropej komuni għall-istudenti u l-apprendisti mobbli tal-VET jista’ jgħin biex jipprovdi ċertezza legali akbar għall-istudenti, il-fornituri tal-VET, l-impjegaturi u l-awtoritajiet kompetenti, b’rispett sħiħ tal-kompetenzi tal-Istati Membri u s-sistemi nazzjonali tal-VET;</w:t>
      </w:r>
    </w:p>
    <w:p w:rsidR="001A63A7" w:rsidRPr="001C2717" w:rsidP="001A63A7" w14:paraId="5B8FF6CE" w14:textId="77777777">
      <w:pPr>
        <w:pStyle w:val="ListParagraph"/>
        <w:ind w:left="284" w:right="565"/>
        <w:jc w:val="both"/>
      </w:pPr>
    </w:p>
    <w:p w:rsidR="001A63A7" w:rsidRPr="001C2717" w:rsidP="001A63A7" w14:paraId="3CFC1746" w14:textId="77777777">
      <w:pPr>
        <w:pStyle w:val="ListParagraph"/>
        <w:ind w:left="284" w:right="565"/>
        <w:jc w:val="both"/>
      </w:pPr>
      <w:r>
        <w:t xml:space="preserve">H. billi l-mobbiltà tal-VET tirrikjedi kapaċità ta’ appoġġ aktar b’saħħitha fl-istituzzjonijiet tal-VET, inkluż persunal iddedikat, gwida, sħubijiet bejn l-impjegaturi, proċeduri simplifikati u għodod diġitali; </w:t>
      </w:r>
    </w:p>
    <w:p w:rsidR="001A63A7" w:rsidRPr="001C2717" w:rsidP="001A63A7" w14:paraId="2E15BB7C" w14:textId="77777777">
      <w:pPr>
        <w:pStyle w:val="ListParagraph"/>
        <w:ind w:left="284" w:right="565"/>
        <w:jc w:val="both"/>
      </w:pPr>
    </w:p>
    <w:p w:rsidR="001A63A7" w:rsidRPr="001C2717" w:rsidP="001A63A7" w14:paraId="12C662D6" w14:textId="77777777">
      <w:pPr>
        <w:pStyle w:val="ListParagraph"/>
        <w:ind w:left="284" w:right="565"/>
        <w:jc w:val="both"/>
      </w:pPr>
      <w:r>
        <w:t>I. billi ċ-Ċentri ta’ Eċċellenza Vokazzjonali (CoVEs), introdotti bħala tali fil-programm Erasmus+ attwali huma proġetti ta’ kooperazzjoni u sħubijiet trasformattivi li jgħaqqdu lill-fornituri tal-VET, lill-awtoritajiet pubbliċi, lill-akkademja u lis-settur privat, bi rwol fl-ekosistemi tal-ħiliet, id-dinja tax-xogħol, l-innovazzjoni u t-tranżizzjonijiet ekoloġiċi u diġitali, appoġġjati minn pedagoġiji innovattivi, l-iżvilupp professjonali tal-għalliema u tal-ħarrieġa, il-mobbiltà tal-istudenti u tal-persunal u l-istrateġiji ta’ internazzjonalizzazzjoni tal-VET;</w:t>
      </w:r>
    </w:p>
    <w:p w:rsidR="001A63A7" w:rsidRPr="001C2717" w:rsidP="001A63A7" w14:paraId="5FCA5699" w14:textId="77777777">
      <w:pPr>
        <w:pStyle w:val="ListParagraph"/>
        <w:ind w:left="284" w:right="565"/>
        <w:jc w:val="both"/>
      </w:pPr>
    </w:p>
    <w:p w:rsidR="001A63A7" w:rsidRPr="001C2717" w:rsidP="001A63A7" w14:paraId="706927E3" w14:textId="77777777">
      <w:pPr>
        <w:pStyle w:val="ListParagraph"/>
        <w:ind w:left="284" w:right="565"/>
        <w:jc w:val="both"/>
      </w:pPr>
      <w:r>
        <w:t>J. billi l-VET jeħtieġu appoġġ adegwat, viżibbli u msaħħaħ progressivament taħt il-QFP li jmiss, b’mod partikolari fi ħdan Erasmus+, filwaqt li jinżammu l-flessibbiltà u l-arkitettura bbilanċjata tat-tagħlim tul il-ħajja tal-programm kif ukoll fondi komplementari oħra tal-UE; billi l-eċċellenza tal-VET tiddependi wkoll fuq l-għalliema, il-ħarrieġa, il-mentors fuq il-post tax-xogħol, il-permeabbiltà bejn il-perkorsi tal-edukazzjoni u t-taħriġ u l-aċċess inklużiv;</w:t>
      </w:r>
    </w:p>
    <w:p w:rsidR="001A63A7" w:rsidRPr="001C2717" w:rsidP="001A63A7" w14:paraId="0D2C166B" w14:textId="77777777">
      <w:pPr>
        <w:pStyle w:val="ListParagraph"/>
        <w:ind w:left="284" w:right="565"/>
        <w:jc w:val="both"/>
      </w:pPr>
    </w:p>
    <w:p w:rsidR="001A63A7" w:rsidRPr="001C2717" w:rsidP="001A63A7" w14:paraId="6F64D086" w14:textId="77777777">
      <w:pPr>
        <w:pStyle w:val="ListParagraph"/>
        <w:ind w:left="284" w:right="565"/>
        <w:jc w:val="both"/>
      </w:pPr>
      <w:r>
        <w:t>K. billi n-nuqqas ta’ għalliema tal-VET qed jaffettwa s-27 Stat Membru kollha tal-UE; Billi skont stħarriġ tas-Cedefop fit-2025.18 % biss tal-għalliema tal-VET jemmnu li l-professjoni tagħhom hija apprezzata, u għal terz tal-għalliema tal-VET il-professjoni tagħhom ma kinitx l-ewwel għażla, u bħala medja l-għalliema tal-VET jirċievu 11 % anqas salarju minn professjonisti oħra b’edukazzjoni terzjarja</w:t>
      </w:r>
      <w:r>
        <w:rPr>
          <w:rStyle w:val="FootnoteReference"/>
        </w:rPr>
        <w:footnoteReference w:id="3"/>
      </w:r>
      <w:r>
        <w:t>.</w:t>
      </w:r>
    </w:p>
    <w:p w:rsidR="001A63A7" w:rsidRPr="001C2717" w:rsidP="001A63A7" w14:paraId="09A093BA" w14:textId="77777777">
      <w:pPr>
        <w:ind w:right="565"/>
        <w:jc w:val="both"/>
      </w:pPr>
    </w:p>
    <w:p w:rsidR="001A63A7" w:rsidRPr="001C2717" w:rsidP="001A63A7" w14:paraId="70500189" w14:textId="77777777">
      <w:pPr>
        <w:ind w:left="284" w:right="565"/>
        <w:jc w:val="both"/>
      </w:pPr>
      <w:r>
        <w:t>1.</w:t>
      </w:r>
      <w:r>
        <w:tab/>
        <w:t xml:space="preserve">Jilqa’ l-attenzjoni politika mġedda mogħtija lill-VET fil-kuntest tal-Unjoni tal-Ħiliet, id-Dikjarazzjoni ta’ Herning fil-Proċess ta’ Copenhagen, u l-Istrateġija Ewropea għall-Edukazzjoni u t-Taħriġ Vokazzjonali li jmiss, u jfakkar fir-rwol tiegħu bħala pilastru taż-Żona Ewropea tal-Edukazzjoni, l-Unjoni tal-Ħiliet u l-ekosistema Ewropea tat-tagħlim tul il-ħajja biex tingħata spinta lill-kompetittività u r-reżiljenza; </w:t>
      </w:r>
    </w:p>
    <w:p w:rsidR="001A63A7" w:rsidRPr="001C2717" w:rsidP="001A63A7" w14:paraId="4857E319" w14:textId="77777777">
      <w:pPr>
        <w:ind w:left="284" w:right="565"/>
        <w:jc w:val="both"/>
      </w:pPr>
    </w:p>
    <w:p w:rsidR="001A63A7" w:rsidRPr="001C2717" w:rsidP="001A63A7" w14:paraId="6EB01982" w14:textId="77777777">
      <w:pPr>
        <w:ind w:left="284" w:right="565"/>
        <w:jc w:val="both"/>
      </w:pPr>
      <w:r>
        <w:t>2.</w:t>
      </w:r>
      <w:r>
        <w:tab/>
        <w:t xml:space="preserve">Jistieden lill-Kummissjoni u lill-Istati Membri jsarrfu l-parità tal-istima bejn il-perkorsi vokazzjonali u akkademiċi f’miżuri konkreti fit-tfassil tal-politika, il-gwida għall-istudenti, l-opportunitajiet ta’ mobbiltà, is-sistemi ta’ rikonoxximent, l-investiment fil-kwalità u l-komunikazzjoni pubblika dwar l-eċċellenza u l-inklużività fil-VET, b’mod partikolari biex tiżdied l-attraenza tagħhom; </w:t>
      </w:r>
    </w:p>
    <w:p w:rsidR="001A63A7" w:rsidRPr="001C2717" w:rsidP="001A63A7" w14:paraId="74CF91DA" w14:textId="77777777">
      <w:pPr>
        <w:pStyle w:val="ListParagraph"/>
        <w:ind w:left="284" w:right="565"/>
        <w:jc w:val="both"/>
      </w:pPr>
    </w:p>
    <w:p w:rsidR="001A63A7" w:rsidRPr="001C2717" w:rsidP="001A63A7" w14:paraId="5A1B3B53" w14:textId="77777777">
      <w:pPr>
        <w:ind w:left="284" w:right="565"/>
        <w:jc w:val="both"/>
      </w:pPr>
      <w:r>
        <w:t>3.</w:t>
      </w:r>
      <w:r>
        <w:tab/>
        <w:t xml:space="preserve">Jisħaq li valur ugwali għandu jfisser opportunitajiet effettivi għall-istudenti, u mhux distakk kompetittiv bejn is-setturi tal-edukazzjoni u tat-taħriġ; </w:t>
      </w:r>
    </w:p>
    <w:p w:rsidR="001A63A7" w:rsidRPr="001C2717" w:rsidP="001A63A7" w14:paraId="61BFC4FA" w14:textId="77777777">
      <w:pPr>
        <w:pStyle w:val="ListParagraph"/>
        <w:ind w:left="284" w:right="565"/>
        <w:jc w:val="both"/>
      </w:pPr>
    </w:p>
    <w:p w:rsidR="001A63A7" w:rsidRPr="001C2717" w:rsidP="001A63A7" w14:paraId="14F4A542" w14:textId="77777777">
      <w:pPr>
        <w:ind w:left="284" w:right="565"/>
        <w:jc w:val="both"/>
      </w:pPr>
      <w:r>
        <w:t>4.</w:t>
      </w:r>
      <w:r>
        <w:tab/>
        <w:t xml:space="preserve">Jenfasizza li l-Istrateġija futura tal-VET għandha tibqa’ ċċentrata fuq l-istudent u għandha tappoġġja kemm il-kompetittività tal-Ewropa kif ukoll l-iżvilupp personali, l-inklużjoni soċjali u l-parteċipazzjoni demokratika tal-istudenti, filwaqt li trawwem VET Ewropej ta’ kwalità għolja, inklużivi, innovattivi u attraenti b’perspettiva internazzjonali; jenfasizza f’dan ir-rigward l-importanza ta’ perkorsi ċari ta’ progressjoni fi ħdan il-VET, inklużi l-edukazzjoni u t-taħriġ vokazzjonali ogħla u l-kwalifiki fil-livell 5 u ogħla tal-EQF; </w:t>
      </w:r>
    </w:p>
    <w:p w:rsidR="001A63A7" w:rsidRPr="001C2717" w:rsidP="001A63A7" w14:paraId="087480D0" w14:textId="77777777">
      <w:pPr>
        <w:pStyle w:val="ListParagraph"/>
        <w:ind w:left="284" w:right="565"/>
        <w:jc w:val="both"/>
      </w:pPr>
    </w:p>
    <w:p w:rsidR="001A63A7" w:rsidRPr="001C2717" w:rsidP="001A63A7" w14:paraId="787E6900" w14:textId="77777777">
      <w:pPr>
        <w:ind w:left="284" w:right="565"/>
        <w:jc w:val="both"/>
      </w:pPr>
      <w:r>
        <w:t>5.</w:t>
      </w:r>
      <w:r>
        <w:tab/>
        <w:t>Iwissi li ħafna ħiliet artiġjanali tradizzjonali, u ta’ konservazzjoni tal-wirt kulturali huma f’riskju li jisparixxu bħala riżultat tat-tibdil demografiku u n-nuqqas ta’ perkorsi ta’ trażmissjoni strutturati; Jenfasizza l-importanza tat-trasferiment tal-ħiliet interġenerazzjonali fl-indirizzar tat-tibdil demografiku u n-nuqqas ta’ ħaddiema; iħeġġeġ inizjattivi li jappoġġjaw lill-ħaddiema b’esperjenza biex jgħaddu l-għarfien u l-għarfien espert tagħhom permezz ta’ mentoraġġ, taħriġ fuq il-post tax-xogħol u skemi ta’ apprendistat;</w:t>
      </w:r>
      <w:r>
        <w:rPr>
          <w:b/>
          <w:i/>
        </w:rPr>
        <w:t xml:space="preserve"> </w:t>
      </w:r>
      <w:r>
        <w:t>jistieden lill-Kummissjoni u lill-Istati Membri jużaw l-edukazzjoni u t-taħriġ vokazzjonali, bħala mezz ta’ salvagwardja u trażmissjoni ta’ dawk il-ħiliet; jitlob li l-istrateġiji tal-VET ikunu marbuta mal-ekosistemi u l-wirt kulturali lokali, bħala għodda għall-koeżjoni territorjali u biex jiġi miġġieled it-tnaqqis demografiku; jitlob li s-setturi kulturali u kreattivi jiġu riflessi bis-sħiħ fl-istrateġija tal-VET li jmiss;</w:t>
      </w:r>
    </w:p>
    <w:p w:rsidR="001A63A7" w:rsidRPr="001C2717" w:rsidP="001A63A7" w14:paraId="248F231B" w14:textId="77777777">
      <w:pPr>
        <w:pStyle w:val="ListParagraph"/>
        <w:ind w:left="284" w:right="565"/>
        <w:jc w:val="both"/>
      </w:pPr>
    </w:p>
    <w:p w:rsidR="001A63A7" w:rsidRPr="001C2717" w:rsidP="001A63A7" w14:paraId="22429143" w14:textId="77777777">
      <w:pPr>
        <w:ind w:left="284" w:right="565"/>
        <w:jc w:val="both"/>
      </w:pPr>
      <w:r>
        <w:t>6.</w:t>
      </w:r>
      <w:r>
        <w:tab/>
        <w:t>Jistieden lill-Kummissjoni u lill-Istati Membri jindirizzaw, bħala prijorità, l-inċertezza legali u amministrattiva li taffettwa lill-istudenti u lill-apprendisti mobbli tal-VET, inkluż fir-rigward tal-istatus tal-istudenti, l-arranġamenti kuntrattwali, ir-remunerazzjoni, is-sigurtà soċjali, l-assigurazzjoni u r-rikonoxximent tal-perjodi ta’ apprendiment barra mill-pajjiż;</w:t>
      </w:r>
    </w:p>
    <w:p w:rsidR="001A63A7" w:rsidRPr="001C2717" w:rsidP="001A63A7" w14:paraId="6ECB71A2" w14:textId="77777777">
      <w:pPr>
        <w:pStyle w:val="ListParagraph"/>
        <w:ind w:left="284" w:right="565"/>
        <w:jc w:val="both"/>
      </w:pPr>
    </w:p>
    <w:p w:rsidR="001A63A7" w:rsidRPr="001C2717" w:rsidP="001A63A7" w14:paraId="0DD339D5" w14:textId="77777777">
      <w:pPr>
        <w:ind w:left="284" w:right="565"/>
        <w:jc w:val="both"/>
      </w:pPr>
      <w:r>
        <w:t>7.</w:t>
      </w:r>
      <w:r>
        <w:tab/>
        <w:t xml:space="preserve">Jistieden lill-Kummissjoni ssaħħaħ il-prinċipji u d-dispożizzjonijiet Ewropej komuni għall-istudenti u l-apprendisti mobbli tal-VET, b’rispett sħiħ tal-kompetenzi tal-Istati Membri u s-sistemi nazzjonali tal-VET, sabiex tipprovdi ċertezza legali akbar għall-istudenti, il-fornituri tal-VET, l-impjegaturi u l-awtoritajiet kompetenti, inkluż billi tiżviluppa qafas Ewropew komuni għar-rikonoxximent reċiproku awtomatiku tal-kwalifiki ta’ studju u l-perjodi ta’ apprendiment barra mill-pajjiż fi skola, fil-VET u fl-edukazzjoni għolja; Jistieden lill-Istati Membri jiggarantixxu l-portabbiltà ta’ għotjiet u self domestiċi għall-istudenti tal-VET li jieħdu sehem f’mobbiltà rikonoxxuta, sabiex l-appoġġ jimxi mal-istudent barra mill-pajjiż; Jisħaq fuq l-importanza li jiġu rieżaminati u indiċizzati regolarment l-għotjiet għall-inflazzjoni u l-appoġġ finanzjarju għall-istudenti, l-apprendisti, l-għalliema u l-persunal tal-VET li jipparteċipaw f’attivitajiet ta’ mobbiltà; </w:t>
      </w:r>
    </w:p>
    <w:p w:rsidR="001A63A7" w:rsidRPr="001C2717" w:rsidP="001A63A7" w14:paraId="7B5E5C18" w14:textId="77777777">
      <w:pPr>
        <w:pStyle w:val="ListParagraph"/>
        <w:ind w:left="284" w:right="565"/>
        <w:jc w:val="both"/>
      </w:pPr>
    </w:p>
    <w:p w:rsidR="001A63A7" w:rsidRPr="001C2717" w:rsidP="001A63A7" w14:paraId="6DFFFC01" w14:textId="77777777">
      <w:pPr>
        <w:ind w:left="284" w:right="565"/>
        <w:jc w:val="both"/>
      </w:pPr>
      <w:r>
        <w:t>8.</w:t>
      </w:r>
      <w:r>
        <w:tab/>
        <w:t xml:space="preserve">Jitlob li l-programm Erasmus+ jiffinanzja sistemi ta’ appoġġ għall-mobbiltà fl-istituzzjonijiet tal-VET, bħall-koordinaturi tal-mobbiltà fl-istituzzjonijiet infushom, filwaqt li jibni fuq esperimentazzjonijiet ta’ suċċess bħall-proġett MONA fi Franza, sabiex jinkludi koordinaturi tal-mobbiltà, jiggwida lill-istudenti tal-VET fil-proġetti ta’ mobbiltà tagħhom, jagħti pariri lill-għalliema tal-VET fit-twaqqif ta’ proġetti Ewropej u jiffaċilita l-kuntatti bejn l-istituzzjonijiet tal-VET, is-settur privat u l-istudenti; </w:t>
      </w:r>
    </w:p>
    <w:p w:rsidR="001A63A7" w:rsidRPr="001C2717" w:rsidP="001A63A7" w14:paraId="107392CD" w14:textId="77777777">
      <w:pPr>
        <w:pStyle w:val="ListParagraph"/>
      </w:pPr>
    </w:p>
    <w:p w:rsidR="001A63A7" w:rsidRPr="001C2717" w:rsidP="001A63A7" w14:paraId="3CD36D42" w14:textId="77777777">
      <w:pPr>
        <w:pStyle w:val="ListParagraph"/>
        <w:ind w:left="284" w:right="565"/>
        <w:jc w:val="both"/>
      </w:pPr>
      <w:r>
        <w:t>9.</w:t>
      </w:r>
      <w:r>
        <w:tab/>
        <w:t xml:space="preserve">Iħeġġeġ l-iżvilupp ta’ infrastruttura tal-mobbiltà diġitali adattata għall-VET, ispirata mill-esperjenza tal-Erasmus Mingħajr Karti fl-edukazzjoni għolja, biex jiġu ssimplifikati l-proċessi amministrattivi, il-ftehimiet ta’ tagħlim, il-proċeduri ta’ rikonoxximent u l-kooperazzjoni bejn il-fornituri tal-VET, l-impjegaturi u l-awtoritajiet kompetenti; </w:t>
      </w:r>
    </w:p>
    <w:p w:rsidR="001A63A7" w:rsidRPr="001C2717" w:rsidP="001A63A7" w14:paraId="16134BF4" w14:textId="77777777">
      <w:pPr>
        <w:ind w:left="284" w:right="565"/>
        <w:jc w:val="both"/>
      </w:pPr>
    </w:p>
    <w:p w:rsidR="001A63A7" w:rsidRPr="001C2717" w:rsidP="001A63A7" w14:paraId="7D559459" w14:textId="77777777">
      <w:pPr>
        <w:ind w:left="284" w:right="565"/>
        <w:jc w:val="both"/>
      </w:pPr>
      <w:r>
        <w:t>10.</w:t>
      </w:r>
      <w:r>
        <w:tab/>
        <w:t xml:space="preserve">Jenfasizza r-rwol trasformattiv taċ-Ċentri ta’ Eċċellenza Vokazzjonali (CoVEs) bħala proġetti ta’ kooperazzjoni u sħubijiet li jlaqqgħu flimkien lill-fornituri tal-VET, lill-awtoritajiet pubbliċi, lill-akkademja u lis-settur privat, bl-għan li jissaħħu r-rabtiet bejn dawn il-partijiet ikkonċernati, jinbnew kurrikuli u formati pedagoġiċi innovattivi li jirrispondu għall-ħtiġijiet tal-ħiliet tal-Ewropa, titrawwem il-mobbiltà tal-istudenti, l-għalliema, il-ħarrieġa u l-persunal tal-VET, u jinstabu soluzzjonijiet għall-ostakli amministrattivi, finanzjarji, legali u prattiċi li jfixklu l-mobbiltà fi ħdan il-VET; </w:t>
      </w:r>
    </w:p>
    <w:p w:rsidR="001A63A7" w:rsidRPr="001C2717" w:rsidP="001A63A7" w14:paraId="572909D3" w14:textId="77777777">
      <w:pPr>
        <w:ind w:left="284" w:right="565"/>
        <w:jc w:val="both"/>
      </w:pPr>
    </w:p>
    <w:p w:rsidR="001A63A7" w:rsidRPr="001C2717" w:rsidP="001A63A7" w14:paraId="5C6AC848" w14:textId="77777777">
      <w:pPr>
        <w:ind w:left="284" w:right="565"/>
        <w:jc w:val="both"/>
      </w:pPr>
      <w:r>
        <w:t>11.</w:t>
      </w:r>
      <w:r>
        <w:tab/>
        <w:t>Jitlob li l-baġit iddedikat għas-CoVEs jiġi ssalvagwardjat fil-programm Erasmus+ li jmiss, u li s-CoVEs ta’ suċċess jirċievu l-istabbiltà u l-viżibbiltà meħtieġa biex ikomplu jinnovaw u jittrasformaw is-settur tal-VET fil-livelli Ewropej, nazzjonali, reġjonali u lokali;</w:t>
      </w:r>
    </w:p>
    <w:p w:rsidR="001A63A7" w:rsidRPr="001C2717" w:rsidP="001A63A7" w14:paraId="079249D3" w14:textId="77777777">
      <w:pPr>
        <w:pStyle w:val="ListParagraph"/>
        <w:ind w:left="284" w:right="565"/>
        <w:jc w:val="both"/>
      </w:pPr>
    </w:p>
    <w:p w:rsidR="001A63A7" w:rsidRPr="001C2717" w:rsidP="001A63A7" w14:paraId="1226EB10" w14:textId="77777777">
      <w:pPr>
        <w:pStyle w:val="ListParagraph"/>
        <w:ind w:left="284" w:right="565"/>
        <w:jc w:val="both"/>
      </w:pPr>
      <w:r>
        <w:t>12.</w:t>
      </w:r>
      <w:r>
        <w:tab/>
        <w:t xml:space="preserve">Jenfasizza r-rwol tal-awtoritajiet reġjonali, metropolitani u lokali fil-bini ta’ ekosistemi tal-apprendistati u tal-VET inklużivi, ġusti u konnessi mal-impjegaturi u fil-ġestjoni diretta taċ-ċentri pubbliċi tat-taħriġ; </w:t>
      </w:r>
    </w:p>
    <w:p w:rsidR="001A63A7" w:rsidRPr="001C2717" w:rsidP="001A63A7" w14:paraId="7A147C42" w14:textId="77777777">
      <w:pPr>
        <w:ind w:right="565"/>
        <w:jc w:val="both"/>
      </w:pPr>
    </w:p>
    <w:p w:rsidR="001A63A7" w:rsidRPr="001C2717" w:rsidP="001A63A7" w14:paraId="7EEFD9B2" w14:textId="77777777">
      <w:pPr>
        <w:pStyle w:val="ListParagraph"/>
        <w:ind w:left="284" w:right="565"/>
        <w:jc w:val="both"/>
      </w:pPr>
      <w:r>
        <w:t>13.</w:t>
      </w:r>
      <w:r>
        <w:tab/>
        <w:t xml:space="preserve">Ifakkar li l-VET jeħtieġu appoġġ adegwat, viżibbli u msaħħaħ progressivament fi ħdan Erasmus+, ibbażat fuq id-domanda tal-istudenti, il-kwalità, l-inklużjoni, il-kapaċità ta’ assorbiment u l-mira tal-Ewropa Attiva għall-mobbiltà tal-VET, filwaqt li jiġu ppreservati l-flessibbiltà u l-arkitettura bbilanċjata tat-tagħlim tul il-ħajja tal-programm; </w:t>
      </w:r>
    </w:p>
    <w:p w:rsidR="001A63A7" w:rsidRPr="001C2717" w:rsidP="001A63A7" w14:paraId="527F8D41" w14:textId="77777777">
      <w:pPr>
        <w:pStyle w:val="ListParagraph"/>
        <w:ind w:left="284" w:right="565"/>
        <w:jc w:val="both"/>
      </w:pPr>
    </w:p>
    <w:p w:rsidR="001A63A7" w:rsidRPr="001C2717" w:rsidP="001A63A7" w14:paraId="025ADFBE" w14:textId="77777777">
      <w:pPr>
        <w:ind w:left="284" w:right="565"/>
        <w:jc w:val="both"/>
      </w:pPr>
      <w:r>
        <w:t>14.</w:t>
      </w:r>
      <w:r>
        <w:tab/>
        <w:t xml:space="preserve">Jitlob li kwalunkwe borża ta’ studju, talent jew azzjoni ta’ eċċellenza futura tal-Erasmus+ f’oqsma edukattivi strateġiċi tkun miftuħa, fejn rilevanti, għall-istudenti tal-VET u l-perkorsi tal-VET ogħla, filwaqt li tikkomplementa, aktar milli tnaqqas, il-finanzjament ewlieni tal-Erasmus+ għall-mobbiltà, l-inklużjoni u l-kooperazzjoni fl-apprendiment; </w:t>
      </w:r>
    </w:p>
    <w:p w:rsidR="001A63A7" w:rsidRPr="001C2717" w:rsidP="001A63A7" w14:paraId="7346296D" w14:textId="77777777">
      <w:pPr>
        <w:pStyle w:val="ListParagraph"/>
        <w:ind w:left="284" w:right="565"/>
        <w:jc w:val="both"/>
      </w:pPr>
    </w:p>
    <w:p w:rsidR="001A63A7" w:rsidRPr="001C2717" w:rsidP="001A63A7" w14:paraId="65B03DA6" w14:textId="77777777">
      <w:pPr>
        <w:ind w:left="284" w:right="565"/>
        <w:jc w:val="both"/>
      </w:pPr>
      <w:r>
        <w:t>15.</w:t>
      </w:r>
      <w:r>
        <w:tab/>
        <w:t xml:space="preserve">Jitlob li l-Aġenda tal-UE għall-Għalliema u l-Ħarrieġa li jmiss tindirizza b’mod espliċitu l-kawżi tan-nuqqasijiet u l-ħtiġijiet tal-għalliema u l-ħarrieġa tal-VET u persunal relatat ieħor, inklużi l-attraenza tal-karrieri, l-iżvilupp professjonali inizjali u kontinwu, il-perkorsi professjonali flessibbli, l-innovazzjoni pedagoġika, il-kompetenzi diġitali, tal-IA u ekoloġiċi, il-ħiliet ta’ inklużjoni u l-appoġġ għall-mentors fil-kumpanija; </w:t>
      </w:r>
    </w:p>
    <w:p w:rsidR="001A63A7" w:rsidRPr="001C2717" w:rsidP="001A63A7" w14:paraId="3539EE3C" w14:textId="77777777">
      <w:pPr>
        <w:pStyle w:val="ListParagraph"/>
        <w:ind w:left="284" w:right="565"/>
        <w:jc w:val="both"/>
      </w:pPr>
    </w:p>
    <w:p w:rsidR="001A63A7" w:rsidRPr="001C2717" w:rsidP="001A63A7" w14:paraId="0A7540FA" w14:textId="77777777">
      <w:pPr>
        <w:ind w:left="284" w:right="565"/>
        <w:jc w:val="both"/>
      </w:pPr>
      <w:r>
        <w:t>16.</w:t>
      </w:r>
      <w:r>
        <w:tab/>
        <w:t xml:space="preserve">Jisħaq fuq l-importanza tal-permeabbiltà bejn il-VET u perkorsi oħra ta’ edukazzjoni u taħriġ, bħall-edukazzjoni għolja, it-tagħlim għall-adulti, u l-impjiegi, sabiex l-istudenti jkunu jistgħu jagħmlu progress bejn il-perkorsi mingħajr ostakli; jappella, f’dan ir-rigward, għal rikonoxximent aktar b’saħħtu tal-eżiti tal-apprendiment u tal-kwalifiki tal-VET, gwida aħjar tul il-ħajja, mikrokredenzjali b’assigurazzjoni tal-kwalità, validazzjoni tal-apprendiment mhux formali u informali, u perkorsi mill-VET inizjali għall-VET għolja, l-edukazzjoni għolja u l-VET kontinwi; </w:t>
      </w:r>
    </w:p>
    <w:p w:rsidR="001A63A7" w:rsidRPr="001C2717" w:rsidP="001A63A7" w14:paraId="4F4A6DBE" w14:textId="77777777">
      <w:pPr>
        <w:pStyle w:val="ListParagraph"/>
      </w:pPr>
    </w:p>
    <w:p w:rsidR="001A63A7" w:rsidRPr="001C2717" w:rsidP="001A63A7" w14:paraId="7560F154" w14:textId="77777777">
      <w:pPr>
        <w:pStyle w:val="ListParagraph"/>
        <w:ind w:left="284" w:right="565"/>
        <w:jc w:val="both"/>
      </w:pPr>
      <w:r>
        <w:t>17.</w:t>
      </w:r>
      <w:r>
        <w:tab/>
        <w:t xml:space="preserve">Jitlob li l-kurrikuli tal-VET jagħtu lill-istudenti mhux biss ħiliet speċifiċi għall-impjieg, iżda wkoll kompetenzi bażiċi, diġitali, tal-IA, ekoloġiċi, ċiviċi, tal-litteriżmu medjatiku, intraprenditorjali, soċjali u trasversali meħtieġa għal impjiegi ta’ kwalità, tagħlim tul il-ħajja, ċittadinanza attiva u reżiljenza demokratika; ifakkar li l-eċċellenza u l-inklużjoni fil-VET iridu jiġu segwiti flimkien, u li l-opportunitajiet ta’ VET, mobbiltà u innovazzjoni ta’ kwalità għolja għandhom ikunu aċċessibbli għal studenti b’anqas opportunitajiet, għal studenti b’diżabbiltà u b’diffikultajiet fit-tagħlim, għal studenti adulti, għal studenti fir-reġjuni ultraperiferiċi, fiż-żoni rurali, remoti u żvantaġġati, u għal nisa u bniet f’perkorsi tal-VET relatati ma’ STEM inkluż permezz ta’ offerti ta’ taħriġ mobbli, apprendiment imħallat, gwida mill-bogħod u kooperazzjoni bejn l-iskejjel, iċ-ċentri ta’ taħriġ u l-komunitajiet lokali; </w:t>
      </w:r>
    </w:p>
    <w:p w:rsidR="001A63A7" w:rsidRPr="001C2717" w:rsidP="001A63A7" w14:paraId="23172585" w14:textId="77777777">
      <w:pPr>
        <w:pStyle w:val="ListParagraph"/>
        <w:ind w:left="284" w:right="565"/>
        <w:jc w:val="both"/>
      </w:pPr>
    </w:p>
    <w:p w:rsidR="001A63A7" w:rsidRPr="001C2717" w:rsidP="001A63A7" w14:paraId="4A07187D" w14:textId="77777777">
      <w:pPr>
        <w:ind w:left="284" w:right="565"/>
        <w:jc w:val="both"/>
      </w:pPr>
      <w:r>
        <w:t>18.</w:t>
      </w:r>
      <w:r>
        <w:tab/>
        <w:t>Jistieden lill-Istati Membri jisfidaw l-istereotipi marbuta mal-ġeneru u l-ostakli strutturali li jaffettwaw l-għażliet edukattivi u tal-karriera, bil-ħsieb li jippromwovu l-ugwaljanza bejn il-ġeneri u parteċipazzjoni aktar ibbilanċjata tan-nisa u l-irġiel fil-perkorsi, is-setturi u l-okkupazzjonijiet vokazzjonali kollha;</w:t>
      </w:r>
    </w:p>
    <w:p w:rsidR="001A63A7" w:rsidRPr="001C2717" w:rsidP="001A63A7" w14:paraId="0D433D98" w14:textId="77777777">
      <w:pPr>
        <w:pStyle w:val="ListParagraph"/>
        <w:ind w:left="284" w:right="565"/>
        <w:jc w:val="both"/>
      </w:pPr>
    </w:p>
    <w:p w:rsidR="001A63A7" w:rsidRPr="001C2717" w:rsidP="001A63A7" w14:paraId="679E9CF3" w14:textId="77777777">
      <w:pPr>
        <w:pStyle w:val="ListParagraph"/>
        <w:ind w:left="284" w:right="565"/>
        <w:jc w:val="both"/>
      </w:pPr>
      <w:r>
        <w:t>19.</w:t>
      </w:r>
      <w:r>
        <w:tab/>
        <w:t>Jitlob li jiġi promoss aktar l-infiq pubbliku effettiv u effiċjenti fuq il-VET, kif ukoll il-komplementarjetà u s-sinerġiji tal-finanzjament fl-ambitu tal-Qafas Finanzjarju Pluriennali li jmiss, b’mod partikolari fl-ambitu ta’ Erasmus+, AgoraEU, il-Fond Soċjali Ewropew u fondi oħra ta’ koeżjoni, flimkien mal-Fond Ewropew għall-Kompetittività; Jappella għal data u monitoraġġ imtejba tal-VET, kif ukoll sforzi mġedda għall-implimentazzjoni tal-parametri referenzjarji fil-livell tal-UE għall-VET b’mod effettiv fl-Istati Membri kollha;</w:t>
      </w:r>
    </w:p>
    <w:p w:rsidR="001A63A7" w:rsidRPr="001C2717" w:rsidP="001A63A7" w14:paraId="4AF800FA" w14:textId="77777777">
      <w:pPr>
        <w:pStyle w:val="ListParagraph"/>
        <w:ind w:left="284" w:right="565"/>
        <w:jc w:val="both"/>
      </w:pPr>
    </w:p>
    <w:p w:rsidR="001A63A7" w:rsidRPr="001C2717" w:rsidP="001A63A7" w14:paraId="274A4379" w14:textId="77777777">
      <w:pPr>
        <w:pStyle w:val="ListParagraph"/>
        <w:ind w:left="284" w:right="565"/>
        <w:jc w:val="both"/>
      </w:pPr>
      <w:r>
        <w:t>20.</w:t>
      </w:r>
      <w:r>
        <w:tab/>
        <w:t xml:space="preserve">Jitlob li l-Istrateġija Ewropea futura għall-Edukazzjoni u t-Taħriġ Vokazzjonali tibni fuq il-Proċess ta’ Copenhagen u l-aħħar stadju importanti tiegħu d-Dikjarazzjoni ta’ Herning, filwaqt li tevita l-ħolqien ta’ inizjattivi ġodda mhux konnessi, u ssaħħaħ il-koerenza u l-użu prattiku tal-għodod Ewropej eżistenti, inklużi l-Qafas Ewropew tal-Kwalifiki, l-EQAVET, l-Europass, il-mikrokredenzjali, il-kredenzjali diġitali u l-validazzjoni tat-tagħlim mhux formali u informali; </w:t>
      </w:r>
    </w:p>
    <w:bookmarkEnd w:id="0"/>
    <w:p w:rsidR="001A63A7" w:rsidRPr="001C2717" w14:paraId="7D2F1E8F" w14:textId="670B4BD3">
      <w:pPr>
        <w:widowControl/>
      </w:pPr>
    </w:p>
    <w:p w:rsidR="004103C9" w:rsidRPr="001C2717" w14:paraId="27201A36" w14:textId="77777777">
      <w:pPr>
        <w:widowControl/>
        <w:sectPr w:rsidSect="00086B47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titlePg/>
        </w:sectPr>
      </w:pPr>
    </w:p>
    <w:p w:rsidR="004103C9" w:rsidRPr="001C2717" w14:paraId="1DEE0484" w14:textId="159A5CCA">
      <w:pPr>
        <w:widowControl/>
      </w:pPr>
    </w:p>
    <w:p w:rsidR="004103C9" w:rsidRPr="001C2717" w:rsidP="002B2C72" w14:paraId="4A25F568" w14:textId="268F9949">
      <w:pPr>
        <w:pStyle w:val="PageHeadingNotTOC"/>
        <w:rPr>
          <w:noProof/>
        </w:rPr>
      </w:pPr>
      <w:bookmarkStart w:id="1" w:name="FootprintPageAL"/>
      <w:r>
        <w:t>ANNESS: DIKJARAZZJONI TAL-KONTRIBUT</w:t>
      </w:r>
    </w:p>
    <w:p w:rsidR="004103C9" w:rsidRPr="001C2717" w:rsidP="00037518" w14:paraId="2D447232" w14:textId="24DD2527">
      <w:pPr>
        <w:pStyle w:val="Normal24a"/>
      </w:pPr>
      <w:r>
        <w:rPr>
          <w:rStyle w:val="HideTWBExt"/>
        </w:rPr>
        <w:t>&lt;FootprintIntro&gt;</w:t>
      </w:r>
      <w:r>
        <w:t>F’konformità mal-Artikolu 8 tal-Anness I tar-Regoli ta’ Proċedura, ir-rapporteur għal opinjoni tiddikjara li fl-opinjoni tagħha inkludiet kontribut dwar kwistjonijiet li għandhom x’jaqsmu mas-suġġett tal-fajl li rċeviet, għat-tħejjija tal-opinjoni, sal-adozzjoni tagħha fil-kumitat, mingħand ir-rappreżentanti ta’ gruppi ta’ interess li jaqgħu fil-kamp ta’ applikazzjoni tal-Ftehim Interistituzzjonali dwar Reġistru Obbligatorju ta’ Trasparenza</w:t>
      </w:r>
      <w:r>
        <w:rPr>
          <w:rStyle w:val="FootnoteReference"/>
        </w:rPr>
        <w:footnoteReference w:id="4"/>
      </w:r>
      <w:r>
        <w:t xml:space="preserve"> li ġejjin, jew mingħand ir-rappreżentanti ta’ awtoritajiet pubbliċi ta’ pajjiżi terzi, inklużi l-missjonijiet diplomatiċi u l-ambaxxati tagħhom, li ġejjin:</w:t>
      </w:r>
      <w:r>
        <w:rPr>
          <w:rStyle w:val="HideTWBExt"/>
        </w:rPr>
        <w:t>&lt;/FootprintIntro&gt;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060"/>
      </w:tblGrid>
      <w:tr w14:paraId="151E0C6C" w14:textId="77777777" w:rsidTr="009A766F">
        <w:tblPrEx>
          <w:tblW w:w="0" w:type="auto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c>
          <w:tcPr>
            <w:tcW w:w="9060" w:type="dxa"/>
            <w:shd w:val="clear" w:color="auto" w:fill="auto"/>
          </w:tcPr>
          <w:p w:rsidR="004103C9" w:rsidRPr="001C2717" w:rsidP="00491863" w14:paraId="35DDB2B8" w14:textId="59337210">
            <w:pPr>
              <w:pStyle w:val="NormalBoldCenter"/>
            </w:pPr>
            <w:r>
              <w:t>1. Rappreżentanti ta’ gruppi ta’ interess li jaqgħu fil-kamp ta’ applikazzjoni tal-Ftehim Interistituzzjonali dwar Reġistru Obbligatorju ta’ Trasparenza</w:t>
            </w:r>
          </w:p>
        </w:tc>
      </w:tr>
      <w:tr w14:paraId="790F24CA" w14:textId="77777777" w:rsidTr="007A6A23">
        <w:tblPrEx>
          <w:tblW w:w="0" w:type="auto"/>
          <w:tblLook w:val="04A0"/>
        </w:tblPrEx>
        <w:tc>
          <w:tcPr>
            <w:tcW w:w="9060" w:type="dxa"/>
            <w:shd w:val="clear" w:color="auto" w:fill="auto"/>
          </w:tcPr>
          <w:p w:rsidR="004103C9" w:rsidRPr="001C2717" w:rsidP="007A6A23" w14:paraId="50416D69" w14:textId="77777777">
            <w:pPr>
              <w:pStyle w:val="NormalBoldCenter"/>
              <w:jc w:val="left"/>
              <w:rPr>
                <w:b w:val="0"/>
                <w:bCs/>
              </w:rPr>
            </w:pPr>
            <w:r>
              <w:rPr>
                <w:b w:val="0"/>
              </w:rPr>
              <w:t>French Education Ministry</w:t>
            </w:r>
          </w:p>
        </w:tc>
      </w:tr>
      <w:tr w14:paraId="0251FB18" w14:textId="77777777" w:rsidTr="009A766F">
        <w:tblPrEx>
          <w:tblW w:w="0" w:type="auto"/>
          <w:tblLook w:val="04A0"/>
        </w:tblPrEx>
        <w:tc>
          <w:tcPr>
            <w:tcW w:w="9060" w:type="dxa"/>
            <w:shd w:val="clear" w:color="auto" w:fill="auto"/>
          </w:tcPr>
          <w:p w:rsidR="004103C9" w:rsidRPr="001C2717" w:rsidP="002601C6" w14:paraId="63E2793D" w14:textId="47DCE337">
            <w:pPr>
              <w:pStyle w:val="NormalBoldCenter"/>
            </w:pPr>
            <w:r>
              <w:t>2. Rappreżentanti ta’ awtoritajiet pubbliċi ta’ pajjiżi terzi, inklużi l-missjonijiet diplomatiċi u l-ambaxxati tagħhom</w:t>
            </w:r>
          </w:p>
        </w:tc>
      </w:tr>
      <w:tr w14:paraId="7B480411" w14:textId="77777777" w:rsidTr="009A766F">
        <w:tblPrEx>
          <w:tblW w:w="0" w:type="auto"/>
          <w:tblLook w:val="04A0"/>
        </w:tblPrEx>
        <w:tc>
          <w:tcPr>
            <w:tcW w:w="9060" w:type="dxa"/>
            <w:shd w:val="clear" w:color="auto" w:fill="auto"/>
          </w:tcPr>
          <w:p w:rsidR="004103C9" w:rsidRPr="001C2717" w:rsidP="002601C6" w14:paraId="1E1A8AB5" w14:textId="71EE4CD1">
            <w:pPr>
              <w:pStyle w:val="NormalSingle"/>
            </w:pPr>
            <w:r>
              <w:t>Xejn</w:t>
            </w:r>
          </w:p>
        </w:tc>
      </w:tr>
    </w:tbl>
    <w:p w:rsidR="004103C9" w:rsidRPr="001C2717" w:rsidP="00425BBA" w14:paraId="14D0E781" w14:textId="7C142B87">
      <w:pPr>
        <w:pStyle w:val="Footprint12b"/>
      </w:pPr>
      <w:r>
        <w:t>Il-lista ta’ hawn fuq hija mfassla taħt ir-responsabbiltà esklużiva tar-rapporteur għal opinjoni.</w:t>
      </w:r>
    </w:p>
    <w:p w:rsidR="004103C9" w:rsidRPr="001C2717" w:rsidP="00780CB3" w14:paraId="2D4E05EC" w14:textId="2798A6B2">
      <w:pPr>
        <w:spacing w:before="240"/>
      </w:pPr>
      <w:r>
        <w:t>Meta persuni fiżiċi jkunu identifikati fil-lista b’isimhom, bil-funzjoni tagħhom jew bit-tnejn li huma, ir-rapporteur għal opinjoni tiddikjara li ppreżentat lill-persuni fiżiċi kkonċernati l-Avviż tal-Parlament Ewropew Nru 484 dwar il-Protezzjoni tad-Data (</w:t>
      </w:r>
      <w:hyperlink r:id="rId12" w:tooltip="https://www.europarl.europa.eu/data-protect/index.do" w:history="1">
        <w:r>
          <w:rPr>
            <w:rStyle w:val="Hyperlink"/>
          </w:rPr>
          <w:t>https://www.europarl.europa.eu/data-protect/index.do</w:t>
        </w:r>
      </w:hyperlink>
      <w:r>
        <w:t>), li jistabbilixxi l-kundizzjonijiet applikabbli għall-ipproċessar tad-data personali tagħhom u d-drittijiet marbuta ma’ dak l-ipproċessar.</w:t>
      </w:r>
    </w:p>
    <w:bookmarkEnd w:id="1"/>
    <w:p w:rsidR="004103C9" w:rsidRPr="001C2717" w:rsidP="004103C9" w14:paraId="4D99F35E" w14:textId="77777777">
      <w:pPr>
        <w:sectPr w:rsidSect="004103C9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4103C9" w:rsidRPr="001C2717" w:rsidP="004103C9" w14:paraId="753ADD02" w14:textId="261A49B9"/>
    <w:p w:rsidR="004103C9" w:rsidRPr="001C2717" w:rsidP="00C36610" w14:paraId="693477D5" w14:textId="386EB6FF">
      <w:pPr>
        <w:pStyle w:val="PageHeadingNotTOC"/>
      </w:pPr>
      <w:bookmarkStart w:id="2" w:name="RollCallPageAL"/>
      <w:r>
        <w:t>VOTAZZJONI FINALI B’SEJĦA TAL-ISMIJIET MILL-KUMITAT LI JINTALAB JAGĦTI OPINJONI</w:t>
      </w:r>
    </w:p>
    <w:tbl>
      <w:tblPr>
        <w:tblW w:w="0" w:type="auto"/>
        <w:tblInd w:w="14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45" w:type="dxa"/>
          <w:right w:w="145" w:type="dxa"/>
        </w:tblCellMar>
        <w:tblLook w:val="0000"/>
      </w:tblPr>
      <w:tblGrid>
        <w:gridCol w:w="1701"/>
        <w:gridCol w:w="7371"/>
      </w:tblGrid>
      <w:tr w14:paraId="26038A15" w14:textId="77777777" w:rsidTr="007A6A23">
        <w:tblPrEx>
          <w:tblW w:w="0" w:type="auto"/>
          <w:tblInd w:w="145" w:type="dxa"/>
          <w:tblBorders>
            <w:top w:val="double" w:sz="2" w:space="0" w:color="000000"/>
            <w:left w:val="double" w:sz="2" w:space="0" w:color="000000"/>
            <w:bottom w:val="double" w:sz="2" w:space="0" w:color="000000"/>
            <w:right w:val="double" w:sz="2" w:space="0" w:color="000000"/>
            <w:insideH w:val="single" w:sz="2" w:space="0" w:color="000000"/>
            <w:insideV w:val="single" w:sz="2" w:space="0" w:color="000000"/>
          </w:tblBorders>
          <w:tblLayout w:type="fixed"/>
          <w:tblCellMar>
            <w:left w:w="145" w:type="dxa"/>
            <w:right w:w="145" w:type="dxa"/>
          </w:tblCellMar>
          <w:tblLook w:val="0000"/>
        </w:tblPrEx>
        <w:trPr>
          <w:cantSplit/>
        </w:trPr>
        <w:tc>
          <w:tcPr>
            <w:tcW w:w="1701" w:type="dxa"/>
            <w:shd w:val="pct10" w:color="000000" w:fill="FFFFFF"/>
            <w:vAlign w:val="center"/>
          </w:tcPr>
          <w:p w:rsidR="004103C9" w:rsidRPr="001C2717" w:rsidP="007A6A23" w14:paraId="52CBA4F9" w14:textId="77777777">
            <w:pPr>
              <w:pStyle w:val="RollCallVotes"/>
            </w:pPr>
            <w:r>
              <w:t>21</w:t>
            </w:r>
          </w:p>
        </w:tc>
        <w:tc>
          <w:tcPr>
            <w:tcW w:w="7371" w:type="dxa"/>
            <w:shd w:val="pct10" w:color="000000" w:fill="FFFFFF"/>
          </w:tcPr>
          <w:p w:rsidR="004103C9" w:rsidRPr="001C2717" w:rsidP="007A6A23" w14:paraId="6984C842" w14:textId="77777777">
            <w:pPr>
              <w:pStyle w:val="RollCallSymbols14pt"/>
            </w:pPr>
            <w:r>
              <w:t>+</w:t>
            </w:r>
          </w:p>
        </w:tc>
      </w:tr>
      <w:tr w14:paraId="2F5422E6" w14:textId="77777777" w:rsidTr="007A6A23">
        <w:tblPrEx>
          <w:tblW w:w="0" w:type="auto"/>
          <w:tblInd w:w="145" w:type="dxa"/>
          <w:tblLayout w:type="fixed"/>
          <w:tblCellMar>
            <w:left w:w="145" w:type="dxa"/>
            <w:right w:w="145" w:type="dxa"/>
          </w:tblCellMar>
          <w:tblLook w:val="0000"/>
        </w:tblPrEx>
        <w:trPr>
          <w:cantSplit/>
        </w:trPr>
        <w:tc>
          <w:tcPr>
            <w:tcW w:w="1701" w:type="dxa"/>
            <w:shd w:val="clear" w:color="auto" w:fill="FFFFFF"/>
          </w:tcPr>
          <w:p w:rsidR="004103C9" w:rsidRPr="001C2717" w:rsidP="007A6A23" w14:paraId="70D51600" w14:textId="77777777">
            <w:pPr>
              <w:pStyle w:val="RollCallTable"/>
            </w:pPr>
            <w:r>
              <w:t>ECR</w:t>
            </w:r>
          </w:p>
        </w:tc>
        <w:tc>
          <w:tcPr>
            <w:tcW w:w="7371" w:type="dxa"/>
            <w:shd w:val="clear" w:color="auto" w:fill="FFFFFF"/>
          </w:tcPr>
          <w:p w:rsidR="004103C9" w:rsidRPr="001C2717" w:rsidP="007A6A23" w14:paraId="39B9FE0E" w14:textId="77777777">
            <w:pPr>
              <w:pStyle w:val="RollCallTable"/>
            </w:pPr>
            <w:r>
              <w:t>Lara Magoni, Ivaylo Valchev</w:t>
            </w:r>
          </w:p>
        </w:tc>
      </w:tr>
      <w:tr w14:paraId="4CFE649E" w14:textId="77777777" w:rsidTr="007A6A23">
        <w:tblPrEx>
          <w:tblW w:w="0" w:type="auto"/>
          <w:tblInd w:w="145" w:type="dxa"/>
          <w:tblLayout w:type="fixed"/>
          <w:tblCellMar>
            <w:left w:w="145" w:type="dxa"/>
            <w:right w:w="145" w:type="dxa"/>
          </w:tblCellMar>
          <w:tblLook w:val="0000"/>
        </w:tblPrEx>
        <w:trPr>
          <w:cantSplit/>
        </w:trPr>
        <w:tc>
          <w:tcPr>
            <w:tcW w:w="1701" w:type="dxa"/>
            <w:shd w:val="clear" w:color="auto" w:fill="FFFFFF"/>
          </w:tcPr>
          <w:p w:rsidR="004103C9" w:rsidRPr="001C2717" w:rsidP="007A6A23" w14:paraId="49CB93CB" w14:textId="77777777">
            <w:pPr>
              <w:pStyle w:val="RollCallTable"/>
            </w:pPr>
            <w:r>
              <w:t>PPE</w:t>
            </w:r>
          </w:p>
        </w:tc>
        <w:tc>
          <w:tcPr>
            <w:tcW w:w="7371" w:type="dxa"/>
            <w:shd w:val="clear" w:color="auto" w:fill="FFFFFF"/>
          </w:tcPr>
          <w:p w:rsidR="004103C9" w:rsidRPr="001C2717" w:rsidP="007A6A23" w14:paraId="21F19C1A" w14:textId="77777777">
            <w:pPr>
              <w:pStyle w:val="RollCallTable"/>
            </w:pPr>
            <w:r>
              <w:t>Niels Geuking, Sunčana Glavak, Eleonora Meleti, Giusi Princi, Hélder Sousa Silva, Viktor Weisz, Bogdan Andrzej Zdrojewski, Milan Zver</w:t>
            </w:r>
          </w:p>
        </w:tc>
      </w:tr>
      <w:tr w14:paraId="4E9979FB" w14:textId="77777777" w:rsidTr="007A6A23">
        <w:tblPrEx>
          <w:tblW w:w="0" w:type="auto"/>
          <w:tblInd w:w="145" w:type="dxa"/>
          <w:tblLayout w:type="fixed"/>
          <w:tblCellMar>
            <w:left w:w="145" w:type="dxa"/>
            <w:right w:w="145" w:type="dxa"/>
          </w:tblCellMar>
          <w:tblLook w:val="0000"/>
        </w:tblPrEx>
        <w:trPr>
          <w:cantSplit/>
        </w:trPr>
        <w:tc>
          <w:tcPr>
            <w:tcW w:w="1701" w:type="dxa"/>
            <w:shd w:val="clear" w:color="auto" w:fill="FFFFFF"/>
          </w:tcPr>
          <w:p w:rsidR="004103C9" w:rsidRPr="001C2717" w:rsidP="007A6A23" w14:paraId="5666CCB3" w14:textId="77777777">
            <w:pPr>
              <w:pStyle w:val="RollCallTable"/>
            </w:pPr>
            <w:r>
              <w:t>PfE</w:t>
            </w:r>
          </w:p>
        </w:tc>
        <w:tc>
          <w:tcPr>
            <w:tcW w:w="7371" w:type="dxa"/>
            <w:shd w:val="clear" w:color="auto" w:fill="FFFFFF"/>
          </w:tcPr>
          <w:p w:rsidR="004103C9" w:rsidRPr="001C2717" w:rsidP="007A6A23" w14:paraId="40C7DDEC" w14:textId="77777777">
            <w:pPr>
              <w:pStyle w:val="RollCallTable"/>
            </w:pPr>
            <w:r>
              <w:t>Catherine Griset</w:t>
            </w:r>
          </w:p>
        </w:tc>
      </w:tr>
      <w:tr w14:paraId="068D04B5" w14:textId="77777777" w:rsidTr="007A6A23">
        <w:tblPrEx>
          <w:tblW w:w="0" w:type="auto"/>
          <w:tblInd w:w="145" w:type="dxa"/>
          <w:tblLayout w:type="fixed"/>
          <w:tblCellMar>
            <w:left w:w="145" w:type="dxa"/>
            <w:right w:w="145" w:type="dxa"/>
          </w:tblCellMar>
          <w:tblLook w:val="0000"/>
        </w:tblPrEx>
        <w:trPr>
          <w:cantSplit/>
        </w:trPr>
        <w:tc>
          <w:tcPr>
            <w:tcW w:w="1701" w:type="dxa"/>
            <w:shd w:val="clear" w:color="auto" w:fill="FFFFFF"/>
          </w:tcPr>
          <w:p w:rsidR="004103C9" w:rsidRPr="001C2717" w:rsidP="007A6A23" w14:paraId="70E96474" w14:textId="77777777">
            <w:pPr>
              <w:pStyle w:val="RollCallTable"/>
            </w:pPr>
            <w:r>
              <w:t>Renew</w:t>
            </w:r>
          </w:p>
        </w:tc>
        <w:tc>
          <w:tcPr>
            <w:tcW w:w="7371" w:type="dxa"/>
            <w:shd w:val="clear" w:color="auto" w:fill="FFFFFF"/>
          </w:tcPr>
          <w:p w:rsidR="004103C9" w:rsidRPr="001C2717" w:rsidP="007A6A23" w14:paraId="44BFA0EA" w14:textId="77777777">
            <w:pPr>
              <w:pStyle w:val="RollCallTable"/>
            </w:pPr>
            <w:r>
              <w:t>Hristo Petrov, Marjan Šarec</w:t>
            </w:r>
          </w:p>
        </w:tc>
      </w:tr>
      <w:tr w14:paraId="35D1494A" w14:textId="77777777" w:rsidTr="007A6A23">
        <w:tblPrEx>
          <w:tblW w:w="0" w:type="auto"/>
          <w:tblInd w:w="145" w:type="dxa"/>
          <w:tblLayout w:type="fixed"/>
          <w:tblCellMar>
            <w:left w:w="145" w:type="dxa"/>
            <w:right w:w="145" w:type="dxa"/>
          </w:tblCellMar>
          <w:tblLook w:val="0000"/>
        </w:tblPrEx>
        <w:trPr>
          <w:cantSplit/>
        </w:trPr>
        <w:tc>
          <w:tcPr>
            <w:tcW w:w="1701" w:type="dxa"/>
            <w:shd w:val="clear" w:color="auto" w:fill="FFFFFF"/>
          </w:tcPr>
          <w:p w:rsidR="004103C9" w:rsidRPr="001C2717" w:rsidP="007A6A23" w14:paraId="6AFA431B" w14:textId="77777777">
            <w:pPr>
              <w:pStyle w:val="RollCallTable"/>
            </w:pPr>
            <w:r>
              <w:t>S&amp;D</w:t>
            </w:r>
          </w:p>
        </w:tc>
        <w:tc>
          <w:tcPr>
            <w:tcW w:w="7371" w:type="dxa"/>
            <w:shd w:val="clear" w:color="auto" w:fill="FFFFFF"/>
          </w:tcPr>
          <w:p w:rsidR="004103C9" w:rsidRPr="001C2717" w:rsidP="007A6A23" w14:paraId="1DED5B39" w14:textId="77777777">
            <w:pPr>
              <w:pStyle w:val="RollCallTable"/>
            </w:pPr>
            <w:r>
              <w:t>Isilda Gomes, Hannes Heide, Emma Rafowicz, Sabrina Repp, Sandro Ruotolo, Joanna Scheuring-Wielgus</w:t>
            </w:r>
          </w:p>
        </w:tc>
      </w:tr>
      <w:tr w14:paraId="0DCD2AFA" w14:textId="77777777" w:rsidTr="007A6A23">
        <w:tblPrEx>
          <w:tblW w:w="0" w:type="auto"/>
          <w:tblInd w:w="145" w:type="dxa"/>
          <w:tblLayout w:type="fixed"/>
          <w:tblCellMar>
            <w:left w:w="145" w:type="dxa"/>
            <w:right w:w="145" w:type="dxa"/>
          </w:tblCellMar>
          <w:tblLook w:val="0000"/>
        </w:tblPrEx>
        <w:trPr>
          <w:cantSplit/>
        </w:trPr>
        <w:tc>
          <w:tcPr>
            <w:tcW w:w="1701" w:type="dxa"/>
            <w:shd w:val="clear" w:color="auto" w:fill="FFFFFF"/>
          </w:tcPr>
          <w:p w:rsidR="004103C9" w:rsidRPr="001C2717" w:rsidP="007A6A23" w14:paraId="38F55C79" w14:textId="77777777">
            <w:pPr>
              <w:pStyle w:val="RollCallTable"/>
            </w:pPr>
            <w:r>
              <w:t>Verts/ALE</w:t>
            </w:r>
          </w:p>
        </w:tc>
        <w:tc>
          <w:tcPr>
            <w:tcW w:w="7371" w:type="dxa"/>
            <w:shd w:val="clear" w:color="auto" w:fill="FFFFFF"/>
          </w:tcPr>
          <w:p w:rsidR="004103C9" w:rsidRPr="001C2717" w:rsidP="007A6A23" w14:paraId="37E95776" w14:textId="77777777">
            <w:pPr>
              <w:pStyle w:val="RollCallTable"/>
            </w:pPr>
            <w:r>
              <w:t>Diana Riba i Giner, Nela Riehl</w:t>
            </w:r>
          </w:p>
        </w:tc>
      </w:tr>
    </w:tbl>
    <w:p w:rsidR="004103C9" w:rsidRPr="001C2717" w:rsidP="004103C9" w14:paraId="12F67BE2" w14:textId="77777777"/>
    <w:tbl>
      <w:tblPr>
        <w:tblW w:w="0" w:type="auto"/>
        <w:tblInd w:w="14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45" w:type="dxa"/>
          <w:right w:w="145" w:type="dxa"/>
        </w:tblCellMar>
        <w:tblLook w:val="0000"/>
      </w:tblPr>
      <w:tblGrid>
        <w:gridCol w:w="1701"/>
        <w:gridCol w:w="7371"/>
      </w:tblGrid>
      <w:tr w14:paraId="3A3DE343" w14:textId="77777777" w:rsidTr="007A6A23">
        <w:tblPrEx>
          <w:tblW w:w="0" w:type="auto"/>
          <w:tblInd w:w="145" w:type="dxa"/>
          <w:tblBorders>
            <w:top w:val="double" w:sz="2" w:space="0" w:color="000000"/>
            <w:left w:val="double" w:sz="2" w:space="0" w:color="000000"/>
            <w:bottom w:val="double" w:sz="2" w:space="0" w:color="000000"/>
            <w:right w:val="double" w:sz="2" w:space="0" w:color="000000"/>
            <w:insideH w:val="single" w:sz="2" w:space="0" w:color="000000"/>
            <w:insideV w:val="single" w:sz="2" w:space="0" w:color="000000"/>
          </w:tblBorders>
          <w:tblLayout w:type="fixed"/>
          <w:tblCellMar>
            <w:left w:w="145" w:type="dxa"/>
            <w:right w:w="145" w:type="dxa"/>
          </w:tblCellMar>
          <w:tblLook w:val="0000"/>
        </w:tblPrEx>
        <w:trPr>
          <w:cantSplit/>
        </w:trPr>
        <w:tc>
          <w:tcPr>
            <w:tcW w:w="1701" w:type="dxa"/>
            <w:shd w:val="pct10" w:color="000000" w:fill="FFFFFF"/>
            <w:vAlign w:val="center"/>
          </w:tcPr>
          <w:p w:rsidR="004103C9" w:rsidRPr="001C2717" w:rsidP="007A6A23" w14:paraId="14FB5662" w14:textId="77777777">
            <w:pPr>
              <w:pStyle w:val="RollCallVotes"/>
            </w:pPr>
            <w:r>
              <w:t>0</w:t>
            </w:r>
          </w:p>
        </w:tc>
        <w:tc>
          <w:tcPr>
            <w:tcW w:w="7371" w:type="dxa"/>
            <w:shd w:val="pct10" w:color="000000" w:fill="FFFFFF"/>
          </w:tcPr>
          <w:p w:rsidR="004103C9" w:rsidRPr="001C2717" w:rsidP="007A6A23" w14:paraId="092DB9CF" w14:textId="77777777">
            <w:pPr>
              <w:pStyle w:val="RollCallSymbols14pt"/>
            </w:pPr>
            <w:r>
              <w:t>-</w:t>
            </w:r>
          </w:p>
        </w:tc>
      </w:tr>
      <w:tr w14:paraId="12397BF3" w14:textId="77777777" w:rsidTr="007A6A23">
        <w:tblPrEx>
          <w:tblW w:w="0" w:type="auto"/>
          <w:tblInd w:w="145" w:type="dxa"/>
          <w:tblLayout w:type="fixed"/>
          <w:tblCellMar>
            <w:left w:w="145" w:type="dxa"/>
            <w:right w:w="145" w:type="dxa"/>
          </w:tblCellMar>
          <w:tblLook w:val="0000"/>
        </w:tblPrEx>
        <w:trPr>
          <w:cantSplit/>
        </w:trPr>
        <w:tc>
          <w:tcPr>
            <w:tcW w:w="1701" w:type="dxa"/>
            <w:shd w:val="clear" w:color="auto" w:fill="FFFFFF"/>
          </w:tcPr>
          <w:p w:rsidR="004103C9" w:rsidRPr="001C2717" w:rsidP="007A6A23" w14:paraId="7344497E" w14:textId="77777777">
            <w:pPr>
              <w:pStyle w:val="RollCallTable"/>
            </w:pPr>
          </w:p>
        </w:tc>
        <w:tc>
          <w:tcPr>
            <w:tcW w:w="7371" w:type="dxa"/>
            <w:shd w:val="clear" w:color="auto" w:fill="FFFFFF"/>
          </w:tcPr>
          <w:p w:rsidR="004103C9" w:rsidRPr="001C2717" w:rsidP="007A6A23" w14:paraId="1DC463E8" w14:textId="77777777">
            <w:pPr>
              <w:pStyle w:val="RollCallTable"/>
            </w:pPr>
          </w:p>
        </w:tc>
      </w:tr>
    </w:tbl>
    <w:p w:rsidR="004103C9" w:rsidRPr="001C2717" w:rsidP="004103C9" w14:paraId="4254C363" w14:textId="77777777"/>
    <w:tbl>
      <w:tblPr>
        <w:tblW w:w="0" w:type="auto"/>
        <w:tblInd w:w="14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45" w:type="dxa"/>
          <w:right w:w="145" w:type="dxa"/>
        </w:tblCellMar>
        <w:tblLook w:val="0000"/>
      </w:tblPr>
      <w:tblGrid>
        <w:gridCol w:w="1701"/>
        <w:gridCol w:w="7371"/>
      </w:tblGrid>
      <w:tr w14:paraId="149BDA07" w14:textId="77777777" w:rsidTr="007A6A23">
        <w:tblPrEx>
          <w:tblW w:w="0" w:type="auto"/>
          <w:tblInd w:w="145" w:type="dxa"/>
          <w:tblBorders>
            <w:top w:val="double" w:sz="2" w:space="0" w:color="000000"/>
            <w:left w:val="double" w:sz="2" w:space="0" w:color="000000"/>
            <w:bottom w:val="double" w:sz="2" w:space="0" w:color="000000"/>
            <w:right w:val="double" w:sz="2" w:space="0" w:color="000000"/>
            <w:insideH w:val="single" w:sz="2" w:space="0" w:color="000000"/>
            <w:insideV w:val="single" w:sz="2" w:space="0" w:color="000000"/>
          </w:tblBorders>
          <w:tblLayout w:type="fixed"/>
          <w:tblCellMar>
            <w:left w:w="145" w:type="dxa"/>
            <w:right w:w="145" w:type="dxa"/>
          </w:tblCellMar>
          <w:tblLook w:val="0000"/>
        </w:tblPrEx>
        <w:trPr>
          <w:cantSplit/>
        </w:trPr>
        <w:tc>
          <w:tcPr>
            <w:tcW w:w="1701" w:type="dxa"/>
            <w:shd w:val="pct10" w:color="000000" w:fill="FFFFFF"/>
            <w:vAlign w:val="center"/>
          </w:tcPr>
          <w:p w:rsidR="004103C9" w:rsidRPr="001C2717" w:rsidP="007A6A23" w14:paraId="48D889F3" w14:textId="77777777">
            <w:pPr>
              <w:pStyle w:val="RollCallVotes"/>
            </w:pPr>
            <w:r>
              <w:t>1</w:t>
            </w:r>
          </w:p>
        </w:tc>
        <w:tc>
          <w:tcPr>
            <w:tcW w:w="7371" w:type="dxa"/>
            <w:shd w:val="pct10" w:color="000000" w:fill="FFFFFF"/>
          </w:tcPr>
          <w:p w:rsidR="004103C9" w:rsidRPr="001C2717" w:rsidP="007A6A23" w14:paraId="36311914" w14:textId="77777777">
            <w:pPr>
              <w:pStyle w:val="RollCallSymbols14pt"/>
            </w:pPr>
            <w:r>
              <w:t>0</w:t>
            </w:r>
          </w:p>
        </w:tc>
      </w:tr>
      <w:tr w14:paraId="1F9B03CA" w14:textId="77777777" w:rsidTr="007A6A23">
        <w:tblPrEx>
          <w:tblW w:w="0" w:type="auto"/>
          <w:tblInd w:w="145" w:type="dxa"/>
          <w:tblLayout w:type="fixed"/>
          <w:tblCellMar>
            <w:left w:w="145" w:type="dxa"/>
            <w:right w:w="145" w:type="dxa"/>
          </w:tblCellMar>
          <w:tblLook w:val="0000"/>
        </w:tblPrEx>
        <w:trPr>
          <w:cantSplit/>
        </w:trPr>
        <w:tc>
          <w:tcPr>
            <w:tcW w:w="1701" w:type="dxa"/>
            <w:shd w:val="clear" w:color="auto" w:fill="FFFFFF"/>
          </w:tcPr>
          <w:p w:rsidR="004103C9" w:rsidRPr="001C2717" w:rsidP="007A6A23" w14:paraId="3A07F624" w14:textId="77777777">
            <w:pPr>
              <w:pStyle w:val="RollCallTable"/>
            </w:pPr>
            <w:r>
              <w:t>ESN</w:t>
            </w:r>
          </w:p>
        </w:tc>
        <w:tc>
          <w:tcPr>
            <w:tcW w:w="7371" w:type="dxa"/>
            <w:shd w:val="clear" w:color="auto" w:fill="FFFFFF"/>
          </w:tcPr>
          <w:p w:rsidR="004103C9" w:rsidRPr="001C2717" w:rsidP="007A6A23" w14:paraId="5E7A9460" w14:textId="77777777">
            <w:pPr>
              <w:pStyle w:val="RollCallTable"/>
            </w:pPr>
            <w:r>
              <w:t>Zsuzsanna Borvendég</w:t>
            </w:r>
          </w:p>
        </w:tc>
      </w:tr>
    </w:tbl>
    <w:p w:rsidR="004103C9" w:rsidRPr="001C2717" w:rsidP="00147FBF" w14:paraId="038D2813" w14:textId="77777777">
      <w:pPr>
        <w:pStyle w:val="Normal12a"/>
      </w:pPr>
    </w:p>
    <w:p w:rsidR="004103C9" w:rsidRPr="001C2717" w:rsidP="00B735E3" w14:paraId="59471BB8" w14:textId="74FB821D">
      <w:r>
        <w:t>Tifsira tas-simboli użati:</w:t>
      </w:r>
    </w:p>
    <w:p w:rsidR="004103C9" w:rsidRPr="001C2717" w:rsidP="003858C5" w14:paraId="17FF523D" w14:textId="07ABE8FF">
      <w:pPr>
        <w:pStyle w:val="RollCallTabs"/>
      </w:pPr>
      <w:r>
        <w:t>+</w:t>
      </w:r>
      <w:r>
        <w:tab/>
        <w:t>:</w:t>
      </w:r>
      <w:r>
        <w:tab/>
        <w:t>favur</w:t>
      </w:r>
    </w:p>
    <w:p w:rsidR="004103C9" w:rsidRPr="001C2717" w:rsidP="003858C5" w14:paraId="3902B352" w14:textId="15B53B61">
      <w:pPr>
        <w:pStyle w:val="RollCallTabs"/>
      </w:pPr>
      <w:r>
        <w:t>-</w:t>
      </w:r>
      <w:r>
        <w:tab/>
        <w:t>:</w:t>
      </w:r>
      <w:r>
        <w:tab/>
        <w:t>kontra</w:t>
      </w:r>
    </w:p>
    <w:p w:rsidR="004103C9" w:rsidRPr="001C2717" w:rsidP="003858C5" w14:paraId="37A61D5E" w14:textId="5DE60519">
      <w:pPr>
        <w:pStyle w:val="RollCallTabs"/>
      </w:pPr>
      <w:r>
        <w:t>0</w:t>
      </w:r>
      <w:r>
        <w:tab/>
        <w:t>:</w:t>
      </w:r>
      <w:r>
        <w:tab/>
        <w:t>astensjoni</w:t>
      </w:r>
    </w:p>
    <w:p w:rsidR="004103C9" w:rsidRPr="001C2717" w:rsidP="00207509" w14:paraId="7AC16B0C" w14:textId="77777777"/>
    <w:bookmarkEnd w:id="2"/>
    <w:p w:rsidR="00085831" w:rsidRPr="001C2717" w:rsidP="00085831" w14:paraId="348AD855" w14:textId="77777777">
      <w:pPr>
        <w:pStyle w:val="LetterSignature66b"/>
      </w:pPr>
    </w:p>
    <w:sectPr w:rsidSect="004103C9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6B47" w:rsidRPr="001C2717" w:rsidP="00086B47" w14:paraId="7F2961CC" w14:textId="5F502740">
    <w:pPr>
      <w:pStyle w:val="EPFooter"/>
    </w:pPr>
    <w:r w:rsidRPr="001C2717">
      <w:t>PE</w:t>
    </w:r>
    <w:r w:rsidRPr="001C2717">
      <w:rPr>
        <w:rStyle w:val="HideTWBExt"/>
      </w:rPr>
      <w:t>&lt;NoPE&gt;</w:t>
    </w:r>
    <w:r w:rsidRPr="001C2717">
      <w:t>790.021</w:t>
    </w:r>
    <w:r w:rsidRPr="001C2717">
      <w:rPr>
        <w:rStyle w:val="HideTWBExt"/>
      </w:rPr>
      <w:t>&lt;/NoPE&gt;&lt;Version&gt;</w:t>
    </w:r>
    <w:r w:rsidRPr="001C2717">
      <w:t>v01-00</w:t>
    </w:r>
    <w:r w:rsidRPr="001C2717">
      <w:rPr>
        <w:rStyle w:val="HideTWBExt"/>
      </w:rPr>
      <w:t>&lt;/Version&gt;</w:t>
    </w:r>
    <w:r w:rsidRPr="001C2717">
      <w:tab/>
    </w:r>
    <w:r w:rsidRPr="001C2717">
      <w:fldChar w:fldCharType="begin"/>
    </w:r>
    <w:r w:rsidRPr="001C2717">
      <w:instrText xml:space="preserve"> PAGE  \* MERGEFORMAT </w:instrText>
    </w:r>
    <w:r w:rsidRPr="001C2717">
      <w:fldChar w:fldCharType="separate"/>
    </w:r>
    <w:r w:rsidRPr="001C2717">
      <w:rPr>
        <w:noProof/>
      </w:rPr>
      <w:t>2</w:t>
    </w:r>
    <w:r w:rsidRPr="001C2717">
      <w:fldChar w:fldCharType="end"/>
    </w:r>
    <w:r w:rsidRPr="001C2717">
      <w:t>/</w:t>
    </w:r>
    <w:r>
      <w:fldChar w:fldCharType="begin"/>
    </w:r>
    <w:r>
      <w:instrText xml:space="preserve"> NUMPAGES  \* MERGEFORMAT </w:instrText>
    </w:r>
    <w:r>
      <w:fldChar w:fldCharType="separate"/>
    </w:r>
    <w:r w:rsidRPr="001C2717">
      <w:rPr>
        <w:noProof/>
      </w:rPr>
      <w:t>8</w:t>
    </w:r>
    <w:r w:rsidRPr="001C2717">
      <w:rPr>
        <w:noProof/>
      </w:rPr>
      <w:fldChar w:fldCharType="end"/>
    </w:r>
    <w:r w:rsidRPr="001C2717">
      <w:tab/>
    </w:r>
    <w:r w:rsidRPr="001C2717">
      <w:rPr>
        <w:rStyle w:val="HideTWBExt"/>
      </w:rPr>
      <w:t>&lt;PathFdR&gt;</w:t>
    </w:r>
    <w:r w:rsidRPr="001C2717" w:rsidR="001C2717">
      <w:t>AL\1346064MT.docx</w:t>
    </w:r>
    <w:r w:rsidRPr="001C2717">
      <w:rPr>
        <w:rStyle w:val="HideTWBExt"/>
      </w:rPr>
      <w:t>&lt;/PathFdR&gt;</w:t>
    </w:r>
  </w:p>
  <w:p w:rsidR="00820CCA" w:rsidRPr="001C2717" w:rsidP="00086B47" w14:paraId="62E69FE4" w14:textId="7FAF1A5C">
    <w:pPr>
      <w:pStyle w:val="EPFooter2"/>
    </w:pPr>
    <w:r w:rsidRPr="001C2717">
      <w:t>MT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6B47" w:rsidRPr="001C2717" w:rsidP="00086B47" w14:paraId="762555EB" w14:textId="669F4305">
    <w:pPr>
      <w:pStyle w:val="EPFooter"/>
    </w:pPr>
    <w:r w:rsidRPr="001C2717">
      <w:rPr>
        <w:rStyle w:val="HideTWBExt"/>
      </w:rPr>
      <w:t>&lt;PathFdR&gt;</w:t>
    </w:r>
    <w:r w:rsidRPr="001C2717" w:rsidR="001C2717">
      <w:t>AL\1346064MT.docx</w:t>
    </w:r>
    <w:r w:rsidRPr="001C2717">
      <w:rPr>
        <w:rStyle w:val="HideTWBExt"/>
      </w:rPr>
      <w:t>&lt;/PathFdR&gt;</w:t>
    </w:r>
    <w:r w:rsidRPr="001C2717">
      <w:tab/>
    </w:r>
    <w:r w:rsidRPr="001C2717">
      <w:fldChar w:fldCharType="begin"/>
    </w:r>
    <w:r w:rsidRPr="001C2717">
      <w:instrText xml:space="preserve"> PAGE  \* MERGEFORMAT </w:instrText>
    </w:r>
    <w:r w:rsidRPr="001C2717">
      <w:fldChar w:fldCharType="separate"/>
    </w:r>
    <w:r w:rsidRPr="001C2717">
      <w:rPr>
        <w:noProof/>
      </w:rPr>
      <w:t>3</w:t>
    </w:r>
    <w:r w:rsidRPr="001C2717">
      <w:fldChar w:fldCharType="end"/>
    </w:r>
    <w:r w:rsidRPr="001C2717">
      <w:t>/</w:t>
    </w:r>
    <w:r>
      <w:fldChar w:fldCharType="begin"/>
    </w:r>
    <w:r>
      <w:instrText xml:space="preserve"> NUMPAGES  \* MERGEFORMAT </w:instrText>
    </w:r>
    <w:r>
      <w:fldChar w:fldCharType="separate"/>
    </w:r>
    <w:r w:rsidRPr="001C2717">
      <w:rPr>
        <w:noProof/>
      </w:rPr>
      <w:t>8</w:t>
    </w:r>
    <w:r w:rsidRPr="001C2717">
      <w:rPr>
        <w:noProof/>
      </w:rPr>
      <w:fldChar w:fldCharType="end"/>
    </w:r>
    <w:r w:rsidRPr="001C2717">
      <w:tab/>
      <w:t>PE</w:t>
    </w:r>
    <w:r w:rsidRPr="001C2717">
      <w:rPr>
        <w:rStyle w:val="HideTWBExt"/>
      </w:rPr>
      <w:t>&lt;NoPE&gt;</w:t>
    </w:r>
    <w:r w:rsidRPr="001C2717">
      <w:t>790.021</w:t>
    </w:r>
    <w:r w:rsidRPr="001C2717">
      <w:rPr>
        <w:rStyle w:val="HideTWBExt"/>
      </w:rPr>
      <w:t>&lt;/NoPE&gt;&lt;Version&gt;</w:t>
    </w:r>
    <w:r w:rsidRPr="001C2717">
      <w:t>v01-00</w:t>
    </w:r>
    <w:r w:rsidRPr="001C2717">
      <w:rPr>
        <w:rStyle w:val="HideTWBExt"/>
      </w:rPr>
      <w:t>&lt;/Version&gt;</w:t>
    </w:r>
  </w:p>
  <w:p w:rsidR="00254F32" w:rsidRPr="001C2717" w:rsidP="00086B47" w14:paraId="582F5369" w14:textId="6B2824F0">
    <w:pPr>
      <w:pStyle w:val="EPFooter2"/>
    </w:pPr>
    <w:r w:rsidRPr="001C2717">
      <w:tab/>
    </w:r>
    <w:r w:rsidRPr="001C2717">
      <w:tab/>
      <w:t>MT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6B47" w:rsidRPr="001C2717" w:rsidP="00086B47" w14:paraId="4FCBA6AE" w14:textId="1BCA469D">
    <w:pPr>
      <w:pStyle w:val="EPFooter"/>
    </w:pPr>
    <w:r w:rsidRPr="001C2717">
      <w:rPr>
        <w:rStyle w:val="HideTWBExt"/>
      </w:rPr>
      <w:t>&lt;PathFdR&gt;</w:t>
    </w:r>
    <w:r w:rsidRPr="001C2717" w:rsidR="001C2717">
      <w:t>AL\1346064MT.docx</w:t>
    </w:r>
    <w:r w:rsidRPr="001C2717">
      <w:rPr>
        <w:rStyle w:val="HideTWBExt"/>
      </w:rPr>
      <w:t>&lt;/PathFdR&gt;</w:t>
    </w:r>
    <w:r w:rsidRPr="001C2717">
      <w:tab/>
    </w:r>
    <w:r w:rsidRPr="001C2717">
      <w:tab/>
      <w:t>PE</w:t>
    </w:r>
    <w:r w:rsidRPr="001C2717">
      <w:rPr>
        <w:rStyle w:val="HideTWBExt"/>
      </w:rPr>
      <w:t>&lt;NoPE&gt;</w:t>
    </w:r>
    <w:r w:rsidRPr="001C2717">
      <w:t>790.021</w:t>
    </w:r>
    <w:r w:rsidRPr="001C2717">
      <w:rPr>
        <w:rStyle w:val="HideTWBExt"/>
      </w:rPr>
      <w:t>&lt;/NoPE&gt;&lt;Version&gt;</w:t>
    </w:r>
    <w:r w:rsidRPr="001C2717">
      <w:t>v01-00</w:t>
    </w:r>
    <w:r w:rsidRPr="001C2717">
      <w:rPr>
        <w:rStyle w:val="HideTWBExt"/>
      </w:rPr>
      <w:t>&lt;/Version&gt;</w:t>
    </w:r>
  </w:p>
  <w:p w:rsidR="00A32C56" w:rsidRPr="001C2717" w:rsidP="00086B47" w14:paraId="29EF1903" w14:textId="4038DD79">
    <w:pPr>
      <w:pStyle w:val="EPFooter2"/>
    </w:pPr>
    <w:r w:rsidRPr="001C2717">
      <w:t>MT</w:t>
    </w:r>
    <w:r w:rsidRPr="001C2717">
      <w:tab/>
    </w:r>
    <w:r w:rsidRPr="001C2717">
      <w:rPr>
        <w:b w:val="0"/>
        <w:i/>
        <w:color w:val="C0C0C0"/>
        <w:sz w:val="22"/>
      </w:rPr>
      <w:t>Magħquda fid-diversità</w:t>
    </w:r>
    <w:r w:rsidRPr="001C2717">
      <w:tab/>
      <w:t>MT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footnote w:type="separator" w:id="0">
    <w:p w:rsidR="00261CD4" w:rsidRPr="001C2717" w14:paraId="420A3806" w14:textId="77777777">
      <w:r w:rsidRPr="001C2717">
        <w:separator/>
      </w:r>
    </w:p>
  </w:footnote>
  <w:footnote w:type="continuationSeparator" w:id="1">
    <w:p w:rsidR="00261CD4" w:rsidRPr="001C2717" w14:paraId="27C79F88" w14:textId="77777777">
      <w:r w:rsidRPr="001C2717">
        <w:continuationSeparator/>
      </w:r>
    </w:p>
  </w:footnote>
  <w:footnote w:id="2">
    <w:p w:rsidR="001A63A7" w:rsidRPr="009A1F08" w:rsidP="001A63A7" w14:paraId="3768D9CF" w14:textId="77777777">
      <w:pPr>
        <w:pStyle w:val="FootnoteText"/>
      </w:pPr>
      <w:r w:rsidRPr="009A1F08">
        <w:rPr>
          <w:rStyle w:val="FootnoteReference"/>
        </w:rPr>
        <w:footnoteRef/>
      </w:r>
      <w:r w:rsidRPr="009A1F08">
        <w:t xml:space="preserve"> </w:t>
      </w:r>
      <w:r w:rsidRPr="009A1F08">
        <w:rPr>
          <w:rStyle w:val="cf01"/>
          <w:rFonts w:ascii="Times New Roman" w:hAnsi="Times New Roman" w:cs="Times New Roman"/>
          <w:color w:val="0000FF"/>
          <w:sz w:val="20"/>
          <w:szCs w:val="20"/>
          <w:u w:val="single"/>
        </w:rPr>
        <w:t>https://www.europarl.europa.eu/RegData/etudes/STUD/2026/783536/CASP_STU(2026)783536_EN.pdf</w:t>
      </w:r>
    </w:p>
    <w:p w:rsidR="001A63A7" w:rsidRPr="009A1F08" w:rsidP="001A63A7" w14:paraId="4C78B337" w14:textId="77777777">
      <w:pPr>
        <w:rPr>
          <w:sz w:val="20"/>
        </w:rPr>
      </w:pPr>
    </w:p>
    <w:p w:rsidR="001A63A7" w:rsidRPr="009A1F08" w:rsidP="001A63A7" w14:paraId="4D8016BA" w14:textId="77777777">
      <w:pPr>
        <w:rPr>
          <w:sz w:val="20"/>
        </w:rPr>
      </w:pPr>
    </w:p>
    <w:p w:rsidR="001A63A7" w:rsidRPr="009A1F08" w:rsidP="001A63A7" w14:paraId="45F4BDEE" w14:textId="77777777">
      <w:pPr>
        <w:rPr>
          <w:sz w:val="20"/>
        </w:rPr>
      </w:pPr>
    </w:p>
    <w:p w:rsidR="001A63A7" w:rsidRPr="009A1F08" w:rsidP="001A63A7" w14:paraId="59271D90" w14:textId="77777777">
      <w:pPr>
        <w:rPr>
          <w:sz w:val="20"/>
        </w:rPr>
      </w:pPr>
    </w:p>
    <w:p w:rsidR="001A63A7" w:rsidRPr="009A1F08" w:rsidP="001A63A7" w14:paraId="4CA60FCD" w14:textId="77777777">
      <w:pPr>
        <w:rPr>
          <w:sz w:val="20"/>
        </w:rPr>
      </w:pPr>
    </w:p>
  </w:footnote>
  <w:footnote w:id="3">
    <w:p w:rsidR="001A63A7" w:rsidRPr="009A1F08" w:rsidP="001A63A7" w14:paraId="19B91A4B" w14:textId="789D37FB">
      <w:pPr>
        <w:pStyle w:val="pf0"/>
        <w:rPr>
          <w:sz w:val="20"/>
          <w:szCs w:val="20"/>
        </w:rPr>
      </w:pPr>
      <w:r w:rsidRPr="009A1F08">
        <w:rPr>
          <w:rStyle w:val="FootnoteReference"/>
          <w:sz w:val="20"/>
          <w:szCs w:val="20"/>
        </w:rPr>
        <w:footnoteRef/>
      </w:r>
      <w:r w:rsidRPr="009A1F08">
        <w:rPr>
          <w:sz w:val="20"/>
          <w:szCs w:val="20"/>
        </w:rPr>
        <w:t xml:space="preserve"> </w:t>
      </w:r>
      <w:hyperlink r:id="rId1" w:history="1">
        <w:r w:rsidRPr="009A1F08">
          <w:rPr>
            <w:rStyle w:val="cf01"/>
            <w:rFonts w:ascii="Times New Roman" w:hAnsi="Times New Roman" w:cs="Times New Roman"/>
            <w:color w:val="0000FF"/>
            <w:sz w:val="20"/>
            <w:szCs w:val="20"/>
            <w:u w:val="single"/>
          </w:rPr>
          <w:t>https://www.cedefop.europa.eu/en/press-releases/cedefop-launches-first-european-vocational-teacher-survey-tackle-critical-vet-teacher-shortages</w:t>
        </w:r>
      </w:hyperlink>
    </w:p>
    <w:p w:rsidR="001A63A7" w:rsidRPr="009A1F08" w:rsidP="001A63A7" w14:paraId="6D327B85" w14:textId="77777777">
      <w:pPr>
        <w:rPr>
          <w:sz w:val="20"/>
        </w:rPr>
      </w:pPr>
    </w:p>
    <w:p w:rsidR="001A63A7" w:rsidRPr="009A1F08" w:rsidP="001A63A7" w14:paraId="44B99A12" w14:textId="77777777">
      <w:pPr>
        <w:rPr>
          <w:sz w:val="20"/>
        </w:rPr>
      </w:pPr>
    </w:p>
    <w:p w:rsidR="001A63A7" w:rsidRPr="009A1F08" w:rsidP="001A63A7" w14:paraId="1F588F04" w14:textId="77777777">
      <w:pPr>
        <w:rPr>
          <w:sz w:val="20"/>
        </w:rPr>
      </w:pPr>
    </w:p>
    <w:p w:rsidR="001A63A7" w:rsidRPr="009A1F08" w:rsidP="001A63A7" w14:paraId="23734434" w14:textId="77777777">
      <w:pPr>
        <w:rPr>
          <w:sz w:val="20"/>
        </w:rPr>
      </w:pPr>
    </w:p>
    <w:p w:rsidR="001A63A7" w:rsidRPr="009A1F08" w:rsidP="001A63A7" w14:paraId="180C37C4" w14:textId="77777777">
      <w:pPr>
        <w:rPr>
          <w:sz w:val="20"/>
        </w:rPr>
      </w:pPr>
    </w:p>
    <w:p w:rsidR="001A63A7" w:rsidRPr="009A1F08" w:rsidP="001A63A7" w14:paraId="27C40883" w14:textId="77777777">
      <w:pPr>
        <w:rPr>
          <w:sz w:val="20"/>
        </w:rPr>
      </w:pPr>
    </w:p>
  </w:footnote>
  <w:footnote w:id="4">
    <w:p w:rsidR="004103C9" w:rsidRPr="009A1F08" w14:paraId="3AFD94D6" w14:textId="4EC3951B">
      <w:pPr>
        <w:pStyle w:val="FootnoteText"/>
      </w:pPr>
      <w:r w:rsidRPr="009A1F08">
        <w:rPr>
          <w:rStyle w:val="FootnoteReference"/>
        </w:rPr>
        <w:footnoteRef/>
      </w:r>
      <w:r w:rsidRPr="009A1F08">
        <w:t xml:space="preserve"> Il-Ftehim Interistituzzjonali tal-20 ta’ Mejju 2021 bejn il-Parlament Ewropew, il-Kunsill tal-Unjoni Ewropea u l-Kummissjoni Ewropea dwar Reġistru Obbligatorju ta’ Trasparenza (ĠU L 207, 11.6.2021, p. 1, ELI: </w:t>
      </w:r>
      <w:hyperlink r:id="rId2" w:tooltip="http://data.europa.eu/eli/agree_interinstit/2021/611/oj" w:history="1">
        <w:r w:rsidRPr="009A1F08">
          <w:rPr>
            <w:rStyle w:val="Hyperlink"/>
          </w:rPr>
          <w:t>http://data.europa.eu/eli/agree_interinstit/2021/611/oj</w:t>
        </w:r>
      </w:hyperlink>
      <w:r w:rsidRPr="009A1F08"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165F4" w14:paraId="6A30C144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165F4" w14:paraId="3C6A698A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165F4" w14:paraId="447BF526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640A28"/>
    <w:multiLevelType w:val="singleLevel"/>
    <w:tmpl w:val="A01CE988"/>
    <w:lvl w:ilvl="0">
      <w:start w:val="352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>
    <w:nsid w:val="3A866D9D"/>
    <w:multiLevelType w:val="singleLevel"/>
    <w:tmpl w:val="88A23CC4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>
    <w:nsid w:val="4C092F15"/>
    <w:multiLevelType w:val="singleLevel"/>
    <w:tmpl w:val="08090015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2"/>
  </w:num>
  <w:num w:numId="4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mirrorMargins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1CD4"/>
    <w:rsid w:val="00000C7D"/>
    <w:rsid w:val="00035402"/>
    <w:rsid w:val="00037518"/>
    <w:rsid w:val="00066C9F"/>
    <w:rsid w:val="00085831"/>
    <w:rsid w:val="00086B47"/>
    <w:rsid w:val="000923BD"/>
    <w:rsid w:val="00140049"/>
    <w:rsid w:val="00147FBF"/>
    <w:rsid w:val="001924F0"/>
    <w:rsid w:val="001A63A7"/>
    <w:rsid w:val="001B3937"/>
    <w:rsid w:val="001C2717"/>
    <w:rsid w:val="001D1646"/>
    <w:rsid w:val="001E1ECB"/>
    <w:rsid w:val="00207509"/>
    <w:rsid w:val="00224E6A"/>
    <w:rsid w:val="00254F32"/>
    <w:rsid w:val="002601C6"/>
    <w:rsid w:val="00261CD4"/>
    <w:rsid w:val="002B2C72"/>
    <w:rsid w:val="002F3C5F"/>
    <w:rsid w:val="00310DF8"/>
    <w:rsid w:val="003740E8"/>
    <w:rsid w:val="003763A3"/>
    <w:rsid w:val="003858C5"/>
    <w:rsid w:val="003C6D88"/>
    <w:rsid w:val="004103C9"/>
    <w:rsid w:val="00425BBA"/>
    <w:rsid w:val="00482DA5"/>
    <w:rsid w:val="00491863"/>
    <w:rsid w:val="00493031"/>
    <w:rsid w:val="004D0D33"/>
    <w:rsid w:val="004F676F"/>
    <w:rsid w:val="00501E47"/>
    <w:rsid w:val="00561B9F"/>
    <w:rsid w:val="006036E6"/>
    <w:rsid w:val="00604B0E"/>
    <w:rsid w:val="007179A7"/>
    <w:rsid w:val="00722A49"/>
    <w:rsid w:val="007732C5"/>
    <w:rsid w:val="00780CB3"/>
    <w:rsid w:val="007829F6"/>
    <w:rsid w:val="007948AE"/>
    <w:rsid w:val="007A6A23"/>
    <w:rsid w:val="007B162F"/>
    <w:rsid w:val="007B5A4E"/>
    <w:rsid w:val="007C3F41"/>
    <w:rsid w:val="0080636E"/>
    <w:rsid w:val="00820CCA"/>
    <w:rsid w:val="008249C6"/>
    <w:rsid w:val="00853AFA"/>
    <w:rsid w:val="00862D62"/>
    <w:rsid w:val="009A1F08"/>
    <w:rsid w:val="009D564F"/>
    <w:rsid w:val="009F796C"/>
    <w:rsid w:val="00A02156"/>
    <w:rsid w:val="00A10666"/>
    <w:rsid w:val="00A31FC7"/>
    <w:rsid w:val="00A32C56"/>
    <w:rsid w:val="00A61B6A"/>
    <w:rsid w:val="00AC0580"/>
    <w:rsid w:val="00B165F4"/>
    <w:rsid w:val="00B2501B"/>
    <w:rsid w:val="00B454AC"/>
    <w:rsid w:val="00B61A16"/>
    <w:rsid w:val="00B735E3"/>
    <w:rsid w:val="00BB7240"/>
    <w:rsid w:val="00C127ED"/>
    <w:rsid w:val="00C233BB"/>
    <w:rsid w:val="00C36610"/>
    <w:rsid w:val="00C83A69"/>
    <w:rsid w:val="00C85D0F"/>
    <w:rsid w:val="00CE1655"/>
    <w:rsid w:val="00D77EF1"/>
    <w:rsid w:val="00D92A83"/>
    <w:rsid w:val="00DB0EE7"/>
    <w:rsid w:val="00E10F51"/>
    <w:rsid w:val="00E148FC"/>
    <w:rsid w:val="00E56898"/>
    <w:rsid w:val="00E71F4C"/>
    <w:rsid w:val="00E771D1"/>
    <w:rsid w:val="00F22C57"/>
    <w:rsid w:val="00F70D50"/>
    <w:rsid w:val="00F96EAB"/>
    <w:rsid w:val="00FC705F"/>
    <w:rsid w:val="00FC778B"/>
  </w:rsids>
  <w:docVars>
    <w:docVar w:name="ADDRESSMNU" w:val=" 2"/>
    <w:docVar w:name="ADOPTIONMNU" w:val=" 1"/>
    <w:docVar w:name="AUTHORMFMNU" w:val=" 2"/>
    <w:docVar w:name="COM2KEY" w:val="EMPL"/>
    <w:docVar w:name="COMKEY" w:val="CULT"/>
    <w:docVar w:name="CONTRIBUTIONMNU" w:val=" 1"/>
    <w:docVar w:name="DOCDT" w:val="14/07/2026"/>
    <w:docVar w:name="FONCTIONMNU" w:val=" 1"/>
    <w:docVar w:name="LastEditedSection" w:val=" 1"/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34\fbidi \froman\fcharset0\fprq2{\*\panose 02040503050406030204}Cambria Math;}&#13;_x000a_{\flomajor\f31500\fbidi \froman\fcharset0\fprq2{\*\panose 02020603050405020304}Times New Roman;}{\fdbmajor\f31501\fbidi \froman\fcharset0\fprq2{\*\panose 02020603050405020304}Times New Roman;}&#13;_x000a_{\fhimajor\f31502\fbidi \fswiss\fcharset0\fprq2{\*\panose 020f0302020204030204}Calibri Light;}{\fbimajor\f31503\fbidi \froman\fcharset0\fprq2{\*\panose 02020603050405020304}Times New Roman;}&#13;_x000a_{\flominor\f31504\fbidi \froman\fcharset0\fprq2{\*\panose 02020603050405020304}Times New Roman;}{\fdbminor\f31505\fbidi \froman\fcharset0\fprq2{\*\panose 02020603050405020304}Times New Roman;}&#13;_x000a_{\fhiminor\f31506\fbidi \fswiss\fcharset0\fprq2{\*\panose 020f0502020204030204}Calibri;}{\fbiminor\f31507\fbidi \froman\fcharset0\fprq2{\*\panose 02020603050405020304}Times New Roman;}{\f276\fbidi \froman\fcharset238\fprq2 Times New Roman CE;}&#13;_x000a_{\f277\fbidi \froman\fcharset204\fprq2 Times New Roman Cyr;}{\f279\fbidi \froman\fcharset161\fprq2 Times New Roman Greek;}{\f280\fbidi \froman\fcharset162\fprq2 Times New Roman Tur;}{\f281\fbidi \froman\fcharset177\fprq2 Times New Roman (Hebrew);}&#13;_x000a_{\f282\fbidi \froman\fcharset178\fprq2 Times New Roman (Arabic);}{\f283\fbidi \froman\fcharset186\fprq2 Times New Roman Baltic;}{\f284\fbidi \froman\fcharset163\fprq2 Times New Roman (Vietnamese);}{\f616\fbidi \froman\fcharset238\fprq2 Cambria Math CE;}&#13;_x000a_{\f617\fbidi \froman\fcharset204\fprq2 Cambria Math Cyr;}{\f619\fbidi \froman\fcharset161\fprq2 Cambria Math Greek;}{\f620\fbidi \froman\fcharset162\fprq2 Cambria Math Tur;}{\f623\fbidi \froman\fcharset186\fprq2 Cambria Math Baltic;}&#13;_x000a_{\f624\fbidi \froman\fcharset163\fprq2 Cambria Math (Vietnamese);}{\flomajor\f31508\fbidi \froman\fcharset238\fprq2 Times New Roman CE;}{\flomajor\f31509\fbidi \froman\fcharset204\fprq2 Times New Roman Cyr;}&#13;_x000a_{\flomajor\f31511\fbidi \froman\fcharset161\fprq2 Times New Roman Greek;}{\flomajor\f31512\fbidi \froman\fcharset162\fprq2 Times New Roman Tur;}{\flomajor\f31513\fbidi \froman\fcharset177\fprq2 Times New Roman (Hebrew);}&#13;_x000a_{\flomajor\f31514\fbidi \froman\fcharset178\fprq2 Times New Roman (Arabic);}{\flomajor\f31515\fbidi \froman\fcharset186\fprq2 Times New Roman Baltic;}{\flomajor\f31516\fbidi \froman\fcharset163\fprq2 Times New Roman (Vietnamese);}&#13;_x000a_{\fdbmajor\f31518\fbidi \froman\fcharset238\fprq2 Times New Roman CE;}{\fdbmajor\f31519\fbidi \froman\fcharset204\fprq2 Times New Roman Cyr;}{\fdbmajor\f31521\fbidi \froman\fcharset161\fprq2 Times New Roman Greek;}&#13;_x000a_{\fdbmajor\f31522\fbidi \froman\fcharset162\fprq2 Times New Roman Tur;}{\fdbmajor\f31523\fbidi \froman\fcharset177\fprq2 Times New Roman (Hebrew);}{\fdbmajor\f31524\fbidi \froman\fcharset178\fprq2 Times New Roman (Arabic);}&#13;_x000a_{\fdbmajor\f31525\fbidi \froman\fcharset186\fprq2 Times New Roman Baltic;}{\fdbmajor\f31526\fbidi \froman\fcharset163\fprq2 Times New Roman (Vietnamese);}{\fhimajor\f31528\fbidi \fswiss\fcharset238\fprq2 Calibri Light CE;}&#13;_x000a_{\fhimajor\f31529\fbidi \fswiss\fcharset204\fprq2 Calibri Light Cyr;}{\fhimajor\f31531\fbidi \fswiss\fcharset161\fprq2 Calibri Light Greek;}{\fhimajor\f31532\fbidi \fswiss\fcharset162\fprq2 Calibri Light Tur;}&#13;_x000a_{\fhimajor\f31533\fbidi \fswiss\fcharset177\fprq2 Calibri Light (Hebrew);}{\fhimajor\f31534\fbidi \fswiss\fcharset178\fprq2 Calibri Light (Arabic);}{\fhimajor\f31535\fbidi \fswiss\fcharset186\fprq2 Calibri Light Baltic;}&#13;_x000a_{\fhimajor\f31536\fbidi \fswiss\fcharset163\fprq2 Calibri Light (Vietnamese);}{\fbimajor\f31538\fbidi \froman\fcharset238\fprq2 Times New Roman CE;}{\fbimajor\f31539\fbidi \froman\fcharset204\fprq2 Times New Roman Cyr;}&#13;_x000a_{\fbimajor\f31541\fbidi \froman\fcharset161\fprq2 Times New Roman Greek;}{\fbimajor\f31542\fbidi \froman\fcharset162\fprq2 Times New Roman Tur;}{\fbimajor\f31543\fbidi \froman\fcharset177\fprq2 Times New Roman (Hebrew);}&#13;_x000a_{\fbimajor\f31544\fbidi \froman\fcharset178\fprq2 Times New Roman (Arabic);}{\fbimajor\f31545\fbidi \froman\fcharset186\fprq2 Times New Roman Baltic;}{\fbimajor\f31546\fbidi \froman\fcharset163\fprq2 Times New Roman (Vietnamese);}&#13;_x000a_{\flominor\f31548\fbidi \froman\fcharset238\fprq2 Times New Roman CE;}{\flominor\f31549\fbidi \froman\fcharset204\fprq2 Times New Roman Cyr;}{\flominor\f31551\fbidi \froman\fcharset161\fprq2 Times New Roman Greek;}&#13;_x000a_{\flominor\f31552\fbidi \froman\fcharset162\fprq2 Times New Roman Tur;}{\flominor\f31553\fbidi \froman\fcharset177\fprq2 Times New Roman (Hebrew);}{\flominor\f31554\fbidi \froman\fcharset178\fprq2 Times New Roman (Arabic);}&#13;_x000a_{\flominor\f31555\fbidi \froman\fcharset186\fprq2 Times New Roman Baltic;}{\flominor\f31556\fbidi \froman\fcharset163\fprq2 Times New Roman (Vietnamese);}{\fdbminor\f31558\fbidi \froman\fcharset238\fprq2 Times New Roman CE;}&#13;_x000a_{\fdbminor\f31559\fbidi \froman\fcharset204\fprq2 Times New Roman Cyr;}{\fdbminor\f31561\fbidi \froman\fcharset161\fprq2 Times New Roman Greek;}{\fdbminor\f31562\fbidi \froman\fcharset162\fprq2 Times New Roman Tur;}&#13;_x000a_{\fdbminor\f31563\fbidi \froman\fcharset177\fprq2 Times New Roman (Hebrew);}{\fdbminor\f31564\fbidi \froman\fcharset178\fprq2 Times New Roman (Arabic);}{\fdbminor\f31565\fbidi \froman\fcharset186\fprq2 Times New Roman Baltic;}&#13;_x000a_{\fdbminor\f31566\fbidi \froman\fcharset163\fprq2 Times New Roman (Vietnamese);}{\fhiminor\f31568\fbidi \fswiss\fcharset238\fprq2 Calibri CE;}{\fhiminor\f31569\fbidi \fswiss\fcharset204\fprq2 Calibri Cyr;}&#13;_x000a_{\fhiminor\f31571\fbidi \fswiss\fcharset161\fprq2 Calibri Greek;}{\fhiminor\f31572\fbidi \fswiss\fcharset162\fprq2 Calibri Tur;}{\fhiminor\f31573\fbidi \fswiss\fcharset177\fprq2 Calibri (Hebrew);}&#13;_x000a_{\fhiminor\f31574\fbidi \fswiss\fcharset178\fprq2 Calibri (Arabic);}{\fhiminor\f31575\fbidi \fswiss\fcharset186\fprq2 Calibri Baltic;}{\fhiminor\f31576\fbidi \fswiss\fcharset163\fprq2 Calibri (Vietnamese);}&#13;_x000a_{\fbiminor\f31578\fbidi \froman\fcharset238\fprq2 Times New Roman CE;}{\fbiminor\f31579\fbidi \froman\fcharset204\fprq2 Times New Roman Cyr;}{\fbiminor\f31581\fbidi \froman\fcharset161\fprq2 Times New Roman Greek;}&#13;_x000a_{\fbiminor\f31582\fbidi \froman\fcharset162\fprq2 Times New Roman Tur;}{\fbiminor\f31583\fbidi \froman\fcharset177\fprq2 Times New Roman (Hebrew);}{\fbiminor\f31584\fbidi \froman\fcharset178\fprq2 Times New Roman (Arabic);}&#13;_x000a_{\fbiminor\f31585\fbidi \froman\fcharset186\fprq2 Times New Roman Baltic;}{\fbiminor\f31586\fbidi \froman\fcharset163\fprq2 Times New Roman (Vietnamese);}}{\colortbl;\red0\green0\blue0;\red0\green0\blue255;\red0\green255\blue255;\red0\green255\blue0;&#13;_x000a_\red255\green0\blue255;\red255\green0\blue0;\red255\green255\blue0;\red255\green255\blue255;\red0\green0\blue128;\red0\green128\blue128;\red0\green128\blue0;\red128\green0\blue128;\red128\green0\blue0;\red128\green128\blue0;\red128\green128\blue128;&#13;_x000a_\red192\green192\blue192;}{\*\defchp }{\*\defpap \ql \li0\ri0\widctlpar\wrapdefault\aspalpha\aspnum\faauto\adjustright\rin0\lin0\itap0 }\noqfpromote {\stylesheet{\ql \li0\ri0\widctlpar\wrapdefault\aspalpha\aspnum\faauto\adjustright\rin0\lin0\itap0 &#13;_x000a_\rtlch\fcs1 \af0\afs20\alang1025 \ltrch\fcs0 \fs24\lang2057\langfe2057\cgrid\langnp2057\langfenp2057 \snext0 \sqformat \spriority0 Normal;}{\*\cs10 \additive \ssemihidden \spriority0 Default Paragraph Font;}{\*&#13;_x000a_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priority0 Normal Table;}{&#13;_x000a_\s15\ql \fi-567\li567\ri0\sa240\nowidctlpar\wrapdefault\aspalpha\aspnum\faauto\adjustright\rin0\lin567\itap0 \rtlch\fcs1 \af0\afs20\alang1025 \ltrch\fcs0 \fs24\lang2057\langfe2057\cgrid\langnp2057\langfenp2057 &#13;_x000a_\sbasedon0 \snext15 \spriority0 \styrsid3030495 NormalHanging12a;}}{\*\rsidtbl \rsid24658\rsid358857\rsid735077\rsid787282\rsid2892074\rsid3030495\rsid3622648\rsid3633181\rsid4666813\rsid5708216\rsid6641733\rsid7553164\rsid8465581\rsid8681905\rsid8724649&#13;_x000a_\rsid9636012\rsid9862312\rsid11215221\rsid11370291\rsid11434737\rsid11607138\rsid11824949\rsid12154954\rsid14424199\rsid15204470\rsid15285974\rsid15535219\rsid15950462\rsid16324206\rsid16662270}{\mmathPr\mmathFont34\mbrkBin0\mbrkBinSub0\msmallFrac0&#13;_x000a_\mdispDef1\mlMargin0\mrMargin0\mdefJc1\mwrapIndent1440\mintLim0\mnaryLim1}{\info{\author FELIX Karina}{\operator FELIX Karina}{\creatim\yr2019\mo7\dy5\hr16\min48}{\revtim\yr2019\mo7\dy5\hr16\min48}{\version1}{\edmins0}{\nofpages1}{\nofwords5}{\nofchars30}&#13;_x000a_{\*\company European Parliament}{\nofcharsws34}{\vern97}}{\*\xmlnstbl {\xmlns1 http://schemas.microsoft.com/office/word/2003/wordml}}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noxlattoyen\expshrtn\noultrlspc\dntblnsbdb\nospaceforul\formshade\horzdoc\dghspace180\dgvspace180\dghorigin1701\dgvorigin1984\dghshow0\dgvshow0&#13;_x000a_\jexpand\viewkind1\viewscale100\pgbrdrhead\pgbrdrfoot\nolnhtadjtbl\nojkernpunct\rsidroot3030495\utinl \donotshowprops1\fet0{\*\wgrffmtfilter 013f}\ilfomacatclnup0{\*\template C:\\Users\\kfelix\\AppData\\Local\\Temp\\Blank1.dot}{\*\ftnsep \ltrpar &#13;_x000a_\pard\plain \ltrpar\ql \li0\ri0\widctlpar\wrapdefault\aspalpha\aspnum\faauto\adjustright\rin0\lin0\itap0 \rtlch\fcs1 \af0\afs20\alang1025 \ltrch\fcs0 \fs24\lang2057\langfe2057\cgrid\langnp2057\langfenp2057 {\rtlch\fcs1 \af0 \ltrch\fcs0 \insrsid3633181 &#13;_x000a_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3633181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3633181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3633181 \chftnsepc &#13;_x000a_\par }}\ltrpar \sectd \ltrsect\psz9\linex0\headery1134\footery505\endnhere\titlepg\sectdefaultcl\sectrsid14424199\sftnbj\sftnrestart {\*\pnseclvl1\pnucrm\pnstart1\pnindent720\pnhang {\pntxta .}}{\*\pnseclvl2\pnucltr\pnstart1\pnindent720\pnhang {\pntxta .}}&#13;_x000a_{\*\pnseclvl3\pndec\pnstart1\pnindent720\pnhang {\pntxta .}}{\*\pnseclvl4\pnlcltr\pnstart1\pnindent720\pnhang {\pntxta )}}{\*\pnseclvl5\pndec\pnstart1\pnindent720\pnhang {\pntxtb (}{\pntxta )}}{\*\pnseclvl6\pnlcltr\pnstart1\pnindent720\pnhang {\pntxtb (}&#13;_x000a_{\pntxta )}}{\*\pnseclvl7\pnlcrm\pnstart1\pnindent720\pnhang {\pntxtb (}{\pntxta )}}{\*\pnseclvl8\pnlcltr\pnstart1\pnindent720\pnhang {\pntxtb (}{\pntxta )}}{\*\pnseclvl9\pnlcrm\pnstart1\pnindent720\pnhang {\pntxtb (}{\pntxta )}}\pard\plain \ltrpar&#13;_x000a_\s15\ql \fi-567\li567\ri0\sa240\nowidctlpar\wrapdefault\aspalpha\aspnum\faauto\adjustright\rin0\lin567\itap0\pararsid3030495 \rtlch\fcs1 \af0\afs20\alang1025 \ltrch\fcs0 \fs24\lang2057\langfe2057\cgrid\langnp2057\langfenp2057 {\rtlch\fcs1 \af0 &#13;_x000a_\ltrch\fcs0 \insrsid3030495\charrsid1525456 {\*\bkmkstart restart}[ZSUGGESTIONNR]\tab [ZSUGGESTIONTEXT]&#13;_x000a_\par }\pard\plain \ltrpar\ql \li0\ri0\widctlpar\wrapdefault\aspalpha\aspnum\faauto\adjustright\rin0\lin0\itap0\pararsid16324206 \rtlch\fcs1 \af0\afs20\alang1025 \ltrch\fcs0 \fs24\lang2057\langfe2057\cgrid\langnp2057\langfenp2057 {\rtlch\fcs1 \af0 \ltrch\fcs0 &#13;_x000a_\insrsid24658\charrsid16324206 {\*\bkmkend restart}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1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priority99 \lsdlocked0 Placeholder Text;\lsdqformat1 \lsdpriority1 \lsdlocked0 No Spacing;\lsdpriority60 \lsdlocked0 Light Shading;&#13;_x000a_\lsdpriority61 \lsdlocked0 Light List;\lsdpriority62 \lsdlocked0 Light Grid;\lsdpriority63 \lsdlocked0 Medium Shading 1;\lsdpriority64 \lsdlocked0 Medium Shading 2;\lsdpriority65 \lsdlocked0 Medium List 1;\lsdpriority66 \lsdlocked0 Medium List 2;&#13;_x000a_\lsdpriority67 \lsdlocked0 Medium Grid 1;\lsdpriority68 \lsdlocked0 Medium Grid 2;\lsdpriority69 \lsdlocked0 Medium Grid 3;\lsdpriority70 \lsdlocked0 Dark List;\lsdpriority71 \lsdlocked0 Colorful Shading;\lsdpriority72 \lsdlocked0 Colorful List;&#13;_x000a_\lsdpriority73 \lsdlocked0 Colorful Grid;\lsdpriority60 \lsdlocked0 Light Shading Accent 1;\lsdpriority61 \lsdlocked0 Light List Accent 1;\lsdpriority62 \lsdlocked0 Light Grid Accent 1;\lsdpriority63 \lsdlocked0 Medium Shading 1 Accent 1;&#13;_x000a_\lsdpriority64 \lsdlocked0 Medium Shading 2 Accent 1;\lsdpriority65 \lsdlocked0 Medium List 1 Accent 1;\lsdsemihidden1 \lsdpriority99 \lsdlocked0 Revision;\lsdqformat1 \lsdpriority34 \lsdlocked0 List Paragraph;&#13;_x000a_\lsdqformat1 \lsdpriority29 \lsdlocked0 Quote;\lsdqformat1 \lsdpriority30 \lsdlocked0 Intense Quote;\lsdpriority66 \lsdlocked0 Medium List 2 Accent 1;\lsdpriority67 \lsdlocked0 Medium Grid 1 Accent 1;\lsdpriority68 \lsdlocked0 Medium Grid 2 Accent 1;&#13;_x000a_\lsdpriority69 \lsdlocked0 Medium Grid 3 Accent 1;\lsdpriority70 \lsdlocked0 Dark List Accent 1;\lsdpriority71 \lsdlocked0 Colorful Shading Accent 1;\lsdpriority72 \lsdlocked0 Colorful List Accent 1;\lsdpriority73 \lsdlocked0 Colorful Grid Accent 1;&#13;_x000a_\lsdpriority60 \lsdlocked0 Light Shading Accent 2;\lsdpriority61 \lsdlocked0 Light List Accent 2;\lsdpriority62 \lsdlocked0 Light Grid Accent 2;\lsdpriority63 \lsdlocked0 Medium Shading 1 Accent 2;\lsdpriority64 \lsdlocked0 Medium Shading 2 Accent 2;&#13;_x000a_\lsdpriority65 \lsdlocked0 Medium List 1 Accent 2;\lsdpriority66 \lsdlocked0 Medium List 2 Accent 2;\lsdpriority67 \lsdlocked0 Medium Grid 1 Accent 2;\lsdpriority68 \lsdlocked0 Medium Grid 2 Accent 2;\lsdpriority69 \lsdlocked0 Medium Grid 3 Accent 2;&#13;_x000a_\lsdpriority70 \lsdlocked0 Dark List Accent 2;\lsdpriority71 \lsdlocked0 Colorful Shading Accent 2;\lsdpriority72 \lsdlocked0 Colorful List Accent 2;\lsdpriority73 \lsdlocked0 Colorful Grid Accent 2;\lsdpriority60 \lsdlocked0 Light Shading Accent 3;&#13;_x000a_\lsdpriority61 \lsdlocked0 Light List Accent 3;\lsdpriority62 \lsdlocked0 Light Grid Accent 3;\lsdpriority63 \lsdlocked0 Medium Shading 1 Accent 3;\lsdpriority64 \lsdlocked0 Medium Shading 2 Accent 3;\lsdpriority65 \lsdlocked0 Medium List 1 Accent 3;&#13;_x000a_\lsdpriority66 \lsdlocked0 Medium List 2 Accent 3;\lsdpriority67 \lsdlocked0 Medium Grid 1 Accent 3;\lsdpriority68 \lsdlocked0 Medium Grid 2 Accent 3;\lsdpriority69 \lsdlocked0 Medium Grid 3 Accent 3;\lsdpriority70 \lsdlocked0 Dark List Accent 3;&#13;_x000a_\lsdpriority71 \lsdlocked0 Colorful Shading Accent 3;\lsdpriority72 \lsdlocked0 Colorful List Accent 3;\lsdpriority73 \lsdlocked0 Colorful Grid Accent 3;\lsdpriority60 \lsdlocked0 Light Shading Accent 4;\lsdpriority61 \lsdlocked0 Light List Accent 4;&#13;_x000a_\lsdpriority62 \lsdlocked0 Light Grid Accent 4;\lsdpriority63 \lsdlocked0 Medium Shading 1 Accent 4;\lsdpriority64 \lsdlocked0 Medium Shading 2 Accent 4;\lsdpriority65 \lsdlocked0 Medium List 1 Accent 4;\lsdpriority66 \lsdlocked0 Medium List 2 Accent 4;&#13;_x000a_\lsdpriority67 \lsdlocked0 Medium Grid 1 Accent 4;\lsdpriority68 \lsdlocked0 Medium Grid 2 Accent 4;\lsdpriority69 \lsdlocked0 Medium Grid 3 Accent 4;\lsdpriority70 \lsdlocked0 Dark List Accent 4;\lsdpriority71 \lsdlocked0 Colorful Shading Accent 4;&#13;_x000a_\lsdpriority72 \lsdlocked0 Colorful List Accent 4;\lsdpriority73 \lsdlocked0 Colorful Grid Accent 4;\lsdpriority60 \lsdlocked0 Light Shading Accent 5;\lsdpriority61 \lsdlocked0 Light List Accent 5;\lsdpriority62 \lsdlocked0 Light Grid Accent 5;&#13;_x000a_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}}{\*\datastore 010500000200000018000000&#13;_x000a_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4029&#13;_x000a_53c64033d5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  <w:docVar w:name="strDocTypeID" w:val="AL_Com_NonLeg"/>
    <w:docVar w:name="strSubDir" w:val="1346"/>
    <w:docVar w:name="TXTAUTHOR" w:val="Nela Riehl"/>
    <w:docVar w:name="TXTCHAIR" w:val="Li Andersson"/>
    <w:docVar w:name="TXTLANGUE" w:val="MT"/>
    <w:docVar w:name="TXTLANGUEMIN" w:val="mt"/>
    <w:docVar w:name="TXTNRPE" w:val="790.021"/>
    <w:docVar w:name="TXTPEorAP" w:val="PE"/>
    <w:docVar w:name="TXTROUTE" w:val="AL\1346064MT.docx"/>
    <w:docVar w:name="TXTVERSION" w:val="01-00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chartTrackingRefBased/>
  <w15:docId w15:val="{52EE2D23-6353-4657-A2F8-30650080E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mt-MT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10666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customStyle="1" w:styleId="Normal12a">
    <w:name w:val="Normal12a"/>
    <w:basedOn w:val="Normal"/>
    <w:pPr>
      <w:spacing w:after="240"/>
    </w:pPr>
  </w:style>
  <w:style w:type="paragraph" w:customStyle="1" w:styleId="EPFooter2">
    <w:name w:val="EPFooter2"/>
    <w:basedOn w:val="Normal"/>
    <w:next w:val="Normal"/>
    <w:rsid w:val="00B61A16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LetterDate">
    <w:name w:val="LetterDate"/>
    <w:basedOn w:val="Normal"/>
    <w:rsid w:val="007C3F41"/>
    <w:pPr>
      <w:spacing w:before="720" w:after="240"/>
    </w:p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Name">
    <w:name w:val="EPName"/>
    <w:basedOn w:val="Normal"/>
    <w:rsid w:val="00CE1655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CE1655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CE1655"/>
    <w:pPr>
      <w:jc w:val="right"/>
    </w:pPr>
  </w:style>
  <w:style w:type="paragraph" w:customStyle="1" w:styleId="LetterSalutation">
    <w:name w:val="LetterSalutation"/>
    <w:basedOn w:val="Normal"/>
    <w:rsid w:val="003740E8"/>
    <w:pPr>
      <w:spacing w:before="600" w:after="360"/>
    </w:pPr>
  </w:style>
  <w:style w:type="paragraph" w:customStyle="1" w:styleId="LetterSubject">
    <w:name w:val="LetterSubject"/>
    <w:basedOn w:val="Normal"/>
    <w:rsid w:val="00BB7240"/>
    <w:pPr>
      <w:spacing w:before="480"/>
      <w:ind w:left="1134" w:hanging="1134"/>
    </w:pPr>
  </w:style>
  <w:style w:type="paragraph" w:customStyle="1" w:styleId="LetterSignature66b">
    <w:name w:val="LetterSignature66b"/>
    <w:basedOn w:val="Normal"/>
    <w:next w:val="Normal"/>
    <w:rsid w:val="00066C9F"/>
    <w:pPr>
      <w:spacing w:before="1320"/>
    </w:pPr>
  </w:style>
  <w:style w:type="table" w:styleId="TableGrid">
    <w:name w:val="Table Grid"/>
    <w:basedOn w:val="TableNormal"/>
    <w:rsid w:val="00000C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7C3F41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000C7D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E771D1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PageHeadingNotTOC">
    <w:name w:val="PageHeadingNotTOC"/>
    <w:basedOn w:val="Normal"/>
    <w:rsid w:val="007C3F41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Hanging12a">
    <w:name w:val="NormalHanging12a"/>
    <w:basedOn w:val="Normal"/>
    <w:rsid w:val="007C3F41"/>
    <w:pPr>
      <w:spacing w:after="240"/>
      <w:ind w:left="567" w:hanging="567"/>
    </w:pPr>
  </w:style>
  <w:style w:type="paragraph" w:customStyle="1" w:styleId="EPFooter">
    <w:name w:val="EPFooter"/>
    <w:basedOn w:val="Normal"/>
    <w:rsid w:val="00E56898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styleId="Header">
    <w:name w:val="header"/>
    <w:basedOn w:val="Normal"/>
    <w:link w:val="HeaderChar"/>
    <w:semiHidden/>
    <w:rsid w:val="00E5689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semiHidden/>
    <w:rsid w:val="00E148FC"/>
    <w:rPr>
      <w:sz w:val="24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A02156"/>
    <w:pPr>
      <w:keepLines/>
      <w:spacing w:after="240"/>
    </w:pPr>
    <w:rPr>
      <w:rFonts w:asciiTheme="majorHAnsi" w:eastAsiaTheme="majorEastAsia" w:hAnsiTheme="majorHAnsi" w:cstheme="majorBidi"/>
      <w:b/>
      <w:color w:val="2E74B5" w:themeColor="accent1" w:themeShade="BF"/>
      <w:sz w:val="32"/>
      <w:szCs w:val="32"/>
    </w:rPr>
  </w:style>
  <w:style w:type="paragraph" w:styleId="Footer">
    <w:name w:val="footer"/>
    <w:basedOn w:val="Normal"/>
    <w:link w:val="FooterChar"/>
    <w:semiHidden/>
    <w:rsid w:val="00A32C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A32C56"/>
    <w:rPr>
      <w:sz w:val="24"/>
    </w:rPr>
  </w:style>
  <w:style w:type="character" w:styleId="FootnoteReference">
    <w:name w:val="footnote reference"/>
    <w:basedOn w:val="DefaultParagraphFont"/>
    <w:unhideWhenUsed/>
    <w:rsid w:val="001A63A7"/>
    <w:rPr>
      <w:vertAlign w:val="superscript"/>
    </w:rPr>
  </w:style>
  <w:style w:type="paragraph" w:styleId="FootnoteText">
    <w:name w:val="footnote text"/>
    <w:basedOn w:val="Normal"/>
    <w:link w:val="FootnoteTextChar"/>
    <w:rsid w:val="001A63A7"/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1A63A7"/>
  </w:style>
  <w:style w:type="paragraph" w:styleId="ListParagraph">
    <w:name w:val="List Paragraph"/>
    <w:basedOn w:val="Normal"/>
    <w:qFormat/>
    <w:rsid w:val="001A63A7"/>
    <w:pPr>
      <w:suppressAutoHyphens/>
      <w:autoSpaceDN w:val="0"/>
      <w:ind w:left="720"/>
      <w:textAlignment w:val="baseline"/>
    </w:pPr>
  </w:style>
  <w:style w:type="paragraph" w:customStyle="1" w:styleId="pf0">
    <w:name w:val="pf0"/>
    <w:basedOn w:val="Normal"/>
    <w:rsid w:val="001A63A7"/>
    <w:pPr>
      <w:widowControl/>
      <w:suppressAutoHyphens/>
      <w:autoSpaceDN w:val="0"/>
      <w:spacing w:before="100" w:after="100"/>
      <w:textAlignment w:val="baseline"/>
    </w:pPr>
    <w:rPr>
      <w:szCs w:val="24"/>
    </w:rPr>
  </w:style>
  <w:style w:type="character" w:customStyle="1" w:styleId="cf01">
    <w:name w:val="cf01"/>
    <w:basedOn w:val="DefaultParagraphFont"/>
    <w:rsid w:val="001A63A7"/>
    <w:rPr>
      <w:rFonts w:ascii="Segoe UI" w:hAnsi="Segoe UI" w:cs="Segoe UI"/>
      <w:sz w:val="18"/>
      <w:szCs w:val="18"/>
    </w:rPr>
  </w:style>
  <w:style w:type="paragraph" w:customStyle="1" w:styleId="Normal24a">
    <w:name w:val="Normal24a"/>
    <w:basedOn w:val="Normal"/>
    <w:rsid w:val="004103C9"/>
    <w:pPr>
      <w:spacing w:after="480"/>
    </w:pPr>
    <w:rPr>
      <w:szCs w:val="24"/>
    </w:rPr>
  </w:style>
  <w:style w:type="paragraph" w:customStyle="1" w:styleId="NormalBoldCenter">
    <w:name w:val="NormalBoldCenter"/>
    <w:basedOn w:val="Normal"/>
    <w:rsid w:val="004103C9"/>
    <w:pPr>
      <w:jc w:val="center"/>
    </w:pPr>
    <w:rPr>
      <w:b/>
      <w:szCs w:val="24"/>
    </w:rPr>
  </w:style>
  <w:style w:type="paragraph" w:customStyle="1" w:styleId="NormalSingle">
    <w:name w:val="NormalSingle"/>
    <w:basedOn w:val="Normal"/>
    <w:qFormat/>
    <w:rsid w:val="004103C9"/>
    <w:rPr>
      <w:szCs w:val="24"/>
    </w:rPr>
  </w:style>
  <w:style w:type="paragraph" w:customStyle="1" w:styleId="Footprint12b">
    <w:name w:val="Footprint12b"/>
    <w:basedOn w:val="Normal"/>
    <w:rsid w:val="004103C9"/>
    <w:pPr>
      <w:spacing w:before="240"/>
    </w:pPr>
    <w:rPr>
      <w:szCs w:val="24"/>
    </w:rPr>
  </w:style>
  <w:style w:type="character" w:styleId="Hyperlink">
    <w:name w:val="Hyperlink"/>
    <w:basedOn w:val="DefaultParagraphFont"/>
    <w:rsid w:val="004103C9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4103C9"/>
    <w:rPr>
      <w:color w:val="605E5C"/>
      <w:shd w:val="clear" w:color="auto" w:fill="E1DFDD"/>
    </w:rPr>
  </w:style>
  <w:style w:type="paragraph" w:customStyle="1" w:styleId="RollCallSymbols14pt">
    <w:name w:val="RollCallSymbols14pt"/>
    <w:basedOn w:val="Normal"/>
    <w:rsid w:val="004103C9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4103C9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4103C9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4103C9"/>
    <w:pPr>
      <w:spacing w:before="120" w:after="120"/>
    </w:pPr>
    <w:rPr>
      <w:snapToGrid w:val="0"/>
      <w:sz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hyperlink" Target="https://www.europarl.europa.eu/data-protect/index.do" TargetMode="Externa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footnotes.xml.rels>&#65279;<?xml version="1.0" encoding="utf-8" standalone="yes"?><Relationships xmlns="http://schemas.openxmlformats.org/package/2006/relationships"><Relationship Id="rId1" Type="http://schemas.openxmlformats.org/officeDocument/2006/relationships/hyperlink" Target="https://www.cedefop.europa.eu/en/press-releases/cedefop-launches-first-european-vocational-teacher-survey-tackle-critical-vet-teacher-shortages" TargetMode="External" /><Relationship Id="rId2" Type="http://schemas.openxmlformats.org/officeDocument/2006/relationships/hyperlink" Target="http://data.europa.eu/eli/agree_interinstit/2021/611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9</Pages>
  <Words>2170</Words>
  <Characters>16668</Characters>
  <Application>Microsoft Office Word</Application>
  <DocSecurity>0</DocSecurity>
  <Lines>320</Lines>
  <Paragraphs>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AL_Com_NonLeg</vt:lpstr>
    </vt:vector>
  </TitlesOfParts>
  <Company/>
  <LinksUpToDate>false</LinksUpToDate>
  <CharactersWithSpaces>18746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AL_Com_NonLeg</dc:title>
  <dc:creator>European Parliament</dc:creator>
  <cp:lastModifiedBy>European Parliament</cp:lastModifiedBy>
  <cp:revision>2</cp:revision>
  <cp:lastPrinted>2004-06-24T10:04:00Z</cp:lastPrinted>
  <dcterms:created xsi:type="dcterms:W3CDTF">2026-07-29T10:37:00Z</dcterms:created>
  <dcterms:modified xsi:type="dcterms:W3CDTF">2026-07-29T10:37:00Z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1346064</vt:lpwstr>
  </property>
  <property fmtid="{D5CDD505-2E9C-101B-9397-08002B2CF9AE}" pid="4" name="&lt;Model&gt;">
    <vt:lpwstr>AL_Com_NonLeg</vt:lpwstr>
  </property>
  <property fmtid="{D5CDD505-2E9C-101B-9397-08002B2CF9AE}" pid="5" name="&lt;ModelCod&gt;">
    <vt:lpwstr>\\eiciLUXpr1\pdocep$\DocEP\DOCS\General\AL\AL_Com_NonLeg.dotx(08/07/2025 12:45:22)</vt:lpwstr>
  </property>
  <property fmtid="{D5CDD505-2E9C-101B-9397-08002B2CF9AE}" pid="6" name="&lt;ModelTra&gt;">
    <vt:lpwstr>\\eiciLUXpr1\pdocep$\DocEP\TRANSFIL\MT\AL_Com_NonLeg.MT(30/04/2026 11:26:06)</vt:lpwstr>
  </property>
  <property fmtid="{D5CDD505-2E9C-101B-9397-08002B2CF9AE}" pid="7" name="&lt;Type&gt;">
    <vt:lpwstr>AL</vt:lpwstr>
  </property>
  <property fmtid="{D5CDD505-2E9C-101B-9397-08002B2CF9AE}" pid="8" name="Bookout">
    <vt:lpwstr>OK - 2026/07/29 12:37</vt:lpwstr>
  </property>
  <property fmtid="{D5CDD505-2E9C-101B-9397-08002B2CF9AE}" pid="9" name="Created with">
    <vt:lpwstr>10.3.0 Build [20260401]</vt:lpwstr>
  </property>
  <property fmtid="{D5CDD505-2E9C-101B-9397-08002B2CF9AE}" pid="10" name="FooterPath">
    <vt:lpwstr>AL\1346064MT.docx</vt:lpwstr>
  </property>
  <property fmtid="{D5CDD505-2E9C-101B-9397-08002B2CF9AE}" pid="11" name="LastEdited with">
    <vt:lpwstr>10.3.1 Build [20260701]</vt:lpwstr>
  </property>
  <property fmtid="{D5CDD505-2E9C-101B-9397-08002B2CF9AE}" pid="12" name="PE number">
    <vt:lpwstr>790.021</vt:lpwstr>
  </property>
  <property fmtid="{D5CDD505-2E9C-101B-9397-08002B2CF9AE}" pid="13" name="RegistreCheck">
    <vt:lpwstr>OK</vt:lpwstr>
  </property>
  <property fmtid="{D5CDD505-2E9C-101B-9397-08002B2CF9AE}" pid="14" name="SDLStudio">
    <vt:lpwstr/>
  </property>
</Properties>
</file>