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12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31995C6" w14:textId="77777777" w:rsidTr="00C85D0F">
        <w:tblPrEx>
          <w:tblW w:w="9072" w:type="dxa"/>
          <w:tblCellMar>
            <w:left w:w="0" w:type="dxa"/>
            <w:right w:w="0" w:type="dxa"/>
          </w:tblCellMar>
          <w:tblLook w:val="01E0"/>
        </w:tblPrEx>
        <w:trPr>
          <w:trHeight w:hRule="exact" w:val="1418"/>
        </w:trPr>
        <w:tc>
          <w:tcPr>
            <w:tcW w:w="6804" w:type="dxa"/>
            <w:vAlign w:val="center"/>
          </w:tcPr>
          <w:p w:rsidR="00310DF8" w:rsidRPr="00D61A7E" w:rsidP="00C85D0F" w14:paraId="3C93789E" w14:textId="77777777">
            <w:pPr>
              <w:pStyle w:val="EPName"/>
            </w:pPr>
            <w:r w:rsidRPr="00D61A7E">
              <w:t>Parlamento Europeu</w:t>
            </w:r>
          </w:p>
          <w:p w:rsidR="00310DF8" w:rsidRPr="00D61A7E" w:rsidP="00C85D0F" w14:paraId="00872409" w14:textId="6DBBCF7F">
            <w:pPr>
              <w:pStyle w:val="EPTerm"/>
            </w:pPr>
            <w:r w:rsidRPr="00D61A7E">
              <w:t>2024</w:t>
            </w:r>
            <w:r w:rsidR="00C824F7">
              <w:noBreakHyphen/>
            </w:r>
            <w:r w:rsidRPr="00D61A7E">
              <w:t>2029</w:t>
            </w:r>
          </w:p>
        </w:tc>
        <w:tc>
          <w:tcPr>
            <w:tcW w:w="2268" w:type="dxa"/>
          </w:tcPr>
          <w:p w:rsidR="00310DF8" w:rsidRPr="00D61A7E" w:rsidP="00C85D0F" w14:paraId="5B7E308E" w14:textId="77777777">
            <w:pPr>
              <w:pStyle w:val="EPLogo"/>
            </w:pPr>
            <w:r w:rsidRPr="00D61A7E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1146446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C7D" w:rsidRPr="00D61A7E" w:rsidP="00000C7D" w14:paraId="5793983B" w14:textId="77777777">
      <w:pPr>
        <w:pStyle w:val="LineTop"/>
      </w:pPr>
    </w:p>
    <w:p w:rsidR="00000C7D" w:rsidRPr="00D61A7E" w:rsidP="00000C7D" w14:paraId="5443FE54" w14:textId="77777777">
      <w:pPr>
        <w:pStyle w:val="EPBody"/>
      </w:pPr>
      <w:r w:rsidRPr="00D61A7E">
        <w:rPr>
          <w:rStyle w:val="HideTWBExt"/>
        </w:rPr>
        <w:t>&lt;</w:t>
      </w:r>
      <w:r w:rsidRPr="00D61A7E">
        <w:rPr>
          <w:rStyle w:val="HideTWBExt"/>
          <w:i w:val="0"/>
        </w:rPr>
        <w:t>Commission</w:t>
      </w:r>
      <w:r w:rsidRPr="00D61A7E">
        <w:rPr>
          <w:rStyle w:val="HideTWBExt"/>
        </w:rPr>
        <w:t>&gt;</w:t>
      </w:r>
      <w:r w:rsidRPr="00D61A7E">
        <w:rPr>
          <w:rStyle w:val="HideTWBInt"/>
          <w:color w:val="auto"/>
        </w:rPr>
        <w:t>{EMPL}</w:t>
      </w:r>
      <w:r w:rsidRPr="00D61A7E">
        <w:t>Comissão do Emprego e dos Assuntos Sociais</w:t>
      </w:r>
      <w:r w:rsidRPr="00D61A7E">
        <w:rPr>
          <w:rStyle w:val="HideTWBExt"/>
        </w:rPr>
        <w:t>&lt;/</w:t>
      </w:r>
      <w:r w:rsidRPr="00D61A7E">
        <w:rPr>
          <w:rStyle w:val="HideTWBExt"/>
          <w:i w:val="0"/>
        </w:rPr>
        <w:t>Commission</w:t>
      </w:r>
      <w:r w:rsidRPr="00D61A7E">
        <w:rPr>
          <w:rStyle w:val="HideTWBExt"/>
        </w:rPr>
        <w:t>&gt;</w:t>
      </w:r>
    </w:p>
    <w:p w:rsidR="00000C7D" w:rsidRPr="00D61A7E" w:rsidP="00000C7D" w14:paraId="4F80AFC3" w14:textId="77777777">
      <w:pPr>
        <w:pStyle w:val="EPBody"/>
      </w:pPr>
      <w:r w:rsidRPr="00D61A7E">
        <w:t>O presidente</w:t>
      </w:r>
    </w:p>
    <w:p w:rsidR="00000C7D" w:rsidRPr="00D61A7E" w:rsidP="00000C7D" w14:paraId="16E39E1D" w14:textId="77777777">
      <w:pPr>
        <w:pStyle w:val="LineBottom"/>
      </w:pPr>
    </w:p>
    <w:p w:rsidR="00E71F4C" w:rsidRPr="00D61A7E" w:rsidP="007C3F41" w14:paraId="353582F2" w14:textId="77777777">
      <w:pPr>
        <w:pStyle w:val="LetterDate"/>
      </w:pPr>
      <w:r w:rsidRPr="00D61A7E">
        <w:rPr>
          <w:rStyle w:val="HideTWBExt"/>
        </w:rPr>
        <w:t>&lt;Date&gt;&lt;/Date&gt;</w:t>
      </w:r>
    </w:p>
    <w:p w:rsidR="007179A7" w:rsidRPr="00D61A7E" w14:paraId="60ED5188" w14:textId="77777777">
      <w:r w:rsidRPr="00D61A7E">
        <w:t>Johan Van Overtveldt</w:t>
      </w:r>
    </w:p>
    <w:p w:rsidR="007179A7" w:rsidRPr="00D61A7E" w14:paraId="0B5DC386" w14:textId="77777777">
      <w:r w:rsidRPr="00D61A7E">
        <w:t>Presidente</w:t>
      </w:r>
    </w:p>
    <w:p w:rsidR="007179A7" w:rsidRPr="00D61A7E" w14:paraId="27229B7C" w14:textId="77777777">
      <w:r w:rsidRPr="00D61A7E">
        <w:t>Comissão dos Orçamentos</w:t>
      </w:r>
    </w:p>
    <w:p w:rsidR="007179A7" w:rsidRPr="00D61A7E" w14:paraId="75B3B989" w14:textId="77777777">
      <w:r w:rsidRPr="00D61A7E">
        <w:t>BRUXELAS</w:t>
      </w:r>
    </w:p>
    <w:p w:rsidR="009F796C" w:rsidRPr="00D61A7E" w:rsidP="00BC0E06" w14:paraId="0AE1C6A4" w14:textId="28588D61">
      <w:pPr>
        <w:pStyle w:val="LetterSubject"/>
        <w:rPr>
          <w:b/>
          <w:bCs/>
        </w:rPr>
      </w:pPr>
      <w:r w:rsidRPr="00D61A7E">
        <w:t>Assunto:</w:t>
      </w:r>
      <w:r w:rsidRPr="00D61A7E">
        <w:tab/>
      </w:r>
      <w:r w:rsidRPr="00D61A7E">
        <w:rPr>
          <w:rStyle w:val="HideTWBExt"/>
        </w:rPr>
        <w:t>&lt;Titre&gt;</w:t>
      </w:r>
      <w:r w:rsidRPr="00D61A7E">
        <w:t>Parecer sobre a mobilização do Fundo Europeu de Ajustamento à Globalização a favor dos Trabalhadores Despedidos na sequência de uma candidatura da Finlândia — EGF/2026/004 FI/Etelä</w:t>
      </w:r>
      <w:r w:rsidR="00C824F7">
        <w:noBreakHyphen/>
      </w:r>
      <w:r w:rsidRPr="00D61A7E">
        <w:t>Suomi and Helsinki</w:t>
      </w:r>
      <w:r w:rsidR="00C824F7">
        <w:noBreakHyphen/>
      </w:r>
      <w:r w:rsidRPr="00D61A7E">
        <w:t>Uusimaa paper</w:t>
      </w:r>
      <w:r w:rsidRPr="00D61A7E">
        <w:rPr>
          <w:rStyle w:val="HideTWBExt"/>
        </w:rPr>
        <w:t>&lt;/Titre&gt;&lt;DocRef&gt;</w:t>
      </w:r>
      <w:r w:rsidRPr="00D61A7E">
        <w:t xml:space="preserve"> (2026/0254(BUD))</w:t>
      </w:r>
      <w:r w:rsidRPr="00D61A7E">
        <w:rPr>
          <w:rStyle w:val="HideTWBExt"/>
        </w:rPr>
        <w:t>&lt;/DocRef&gt;</w:t>
      </w:r>
    </w:p>
    <w:p w:rsidR="007179A7" w:rsidRPr="00D61A7E" w:rsidP="007C3F41" w14:paraId="128E3D73" w14:textId="77777777">
      <w:pPr>
        <w:pStyle w:val="LetterSalutation"/>
      </w:pPr>
      <w:r w:rsidRPr="00D61A7E">
        <w:t>Ex.mo Senhor Presidente,</w:t>
      </w:r>
    </w:p>
    <w:p w:rsidR="00971C3E" w:rsidRPr="00D61A7E" w:rsidP="00971C3E" w14:paraId="75D81D45" w14:textId="77777777">
      <w:pPr>
        <w:pStyle w:val="Normal12a"/>
      </w:pPr>
      <w:r w:rsidRPr="00D61A7E">
        <w:t xml:space="preserve">No âmbito do processo em epígrafe, a Comissão do Emprego e dos Assuntos Sociais foi incumbida de submeter um parecer à apreciação da comissão a que V. Ex.ª preside e decidiu proceder ao envio do presente parecer sob a forma de carta. </w:t>
      </w:r>
    </w:p>
    <w:p w:rsidR="007179A7" w:rsidRPr="00D61A7E" w:rsidP="00971C3E" w14:paraId="7EE7DE9E" w14:textId="77777777">
      <w:pPr>
        <w:pStyle w:val="Normal12a"/>
      </w:pPr>
      <w:r w:rsidRPr="00D61A7E">
        <w:t>A Comissão do Emprego e dos Assuntos Sociais examinou o assunto e, na sua reunião do dia 1 de outubro de 2026, decidiu apresentar à Comissão dos Orçamentos, competente quanto à matéria de fundo, o parecer que figura em seguida.</w:t>
      </w:r>
    </w:p>
    <w:p w:rsidR="007179A7" w:rsidRPr="00D61A7E" w:rsidP="00C233BB" w14:paraId="20544BA9" w14:textId="77777777">
      <w:pPr>
        <w:pStyle w:val="Normal12a"/>
      </w:pPr>
    </w:p>
    <w:p w:rsidR="007179A7" w:rsidRPr="00D61A7E" w:rsidP="007C3F41" w14:paraId="5CE75A66" w14:textId="77777777">
      <w:pPr>
        <w:pStyle w:val="Normal12a"/>
      </w:pPr>
      <w:r w:rsidRPr="00D61A7E">
        <w:t>Com os melhores cumprimentos,</w:t>
      </w:r>
    </w:p>
    <w:p w:rsidR="00085831" w:rsidRPr="00D61A7E" w:rsidP="00085831" w14:paraId="3283EA40" w14:textId="77777777">
      <w:pPr>
        <w:pStyle w:val="LetterSignature66b"/>
      </w:pPr>
      <w:r w:rsidRPr="00D61A7E">
        <w:t>Li Andersson</w:t>
      </w:r>
    </w:p>
    <w:p w:rsidR="00BC0E06" w:rsidRPr="00D61A7E" w14:paraId="09BE6202" w14:textId="77777777">
      <w:pPr>
        <w:widowControl/>
      </w:pPr>
      <w:r w:rsidRPr="00D61A7E">
        <w:br w:type="page"/>
      </w:r>
    </w:p>
    <w:p w:rsidR="00603481" w:rsidRPr="00D61A7E" w:rsidP="00603481" w14:paraId="67C2A883" w14:textId="77777777">
      <w:pPr>
        <w:pStyle w:val="PageHeadingNotTOC"/>
      </w:pPr>
      <w:r w:rsidRPr="00D61A7E">
        <w:t>PARECER</w:t>
      </w:r>
    </w:p>
    <w:p w:rsidR="00FE0D10" w:rsidRPr="00D61A7E" w:rsidP="00193182" w14:paraId="31C795DD" w14:textId="4559462D">
      <w:pPr>
        <w:pStyle w:val="NormalHanging12a"/>
      </w:pPr>
      <w:r w:rsidRPr="00D61A7E">
        <w:t>A.</w:t>
      </w:r>
      <w:r w:rsidRPr="00D61A7E">
        <w:tab/>
        <w:t>Considerando que, em 19 de maio de 2026, a Finlândia apresentou a candidatura EGF/2026/004 FI/ Etelä</w:t>
      </w:r>
      <w:r w:rsidR="00C824F7">
        <w:noBreakHyphen/>
      </w:r>
      <w:r w:rsidRPr="00D61A7E">
        <w:t>Suomi and Helsinki</w:t>
      </w:r>
      <w:r w:rsidR="00C824F7">
        <w:noBreakHyphen/>
      </w:r>
      <w:r w:rsidRPr="00D61A7E">
        <w:t>Uusimaa paper a um apoio financeiro do Fundo Europeu de Ajustamento à Globalização a favor dos Trabalhadores Despedidos, na sequência dos despedimentos verificados na indústria do papel nas regiões de nível NUTS 2 de Etelä</w:t>
      </w:r>
      <w:r w:rsidR="00C824F7">
        <w:noBreakHyphen/>
      </w:r>
      <w:r w:rsidRPr="00D61A7E">
        <w:t>Suomi (FI1C) e Helsínquia</w:t>
      </w:r>
      <w:r w:rsidR="00C824F7">
        <w:noBreakHyphen/>
      </w:r>
      <w:r w:rsidRPr="00D61A7E">
        <w:t xml:space="preserve">Uusimaa (FI1B), na Finlândia; </w:t>
      </w:r>
      <w:r w:rsidRPr="00D61A7E">
        <w:t>que as empresas afetadas operam no setor económico abrangido pela secção 17 da NACE Revisão 2 (fabrico de papel e de produtos de papel) e que os despedimentos em causa ocorreram nas regiões de nível NUTS 2 de Etelä</w:t>
      </w:r>
      <w:r w:rsidR="00C824F7">
        <w:noBreakHyphen/>
      </w:r>
      <w:r w:rsidRPr="00D61A7E">
        <w:t>Suomi (FI1C) e de Helsínquia</w:t>
      </w:r>
      <w:r w:rsidR="00C824F7">
        <w:noBreakHyphen/>
      </w:r>
      <w:r w:rsidRPr="00D61A7E">
        <w:t>Uusimaa (FI1B);</w:t>
      </w:r>
    </w:p>
    <w:p w:rsidR="00FE0D10" w:rsidRPr="00D61A7E" w:rsidP="00193182" w14:paraId="50CD04D1" w14:textId="72317275">
      <w:pPr>
        <w:pStyle w:val="NormalHanging12a"/>
      </w:pPr>
      <w:r w:rsidRPr="00D61A7E">
        <w:t>B.</w:t>
      </w:r>
      <w:r w:rsidRPr="00D61A7E">
        <w:tab/>
      </w:r>
      <w:r w:rsidRPr="00D61A7E">
        <w:t>Considerando que as autoridades finlandesas apresentaram a candidatura ao abrigo dos critérios de intervenção previstos no artigo 4.º, n.º 2, alínea b), do Regulamento (UE) 2021/691, que exige o despedimento de, pelo menos, 200 trabalhadores, durante um período de referência de seis meses (no caso em apreço, de 1 de outubro de 2025 a 1 de abril de 2026), em empresas que operam no mesmo setor económico definido numa divisão da NACE Rev. 2, situadas numa ou em duas regiões contíguas ao nível NUTS 2 de um Esta</w:t>
      </w:r>
      <w:r w:rsidRPr="00D61A7E">
        <w:t>do</w:t>
      </w:r>
      <w:r w:rsidR="00C824F7">
        <w:noBreakHyphen/>
      </w:r>
      <w:r w:rsidRPr="00D61A7E">
        <w:t>Membro;</w:t>
      </w:r>
      <w:r w:rsidRPr="00D61A7E">
        <w:t xml:space="preserve"> que, após a avaliação desta candidatura, a Comissão concluiu que, em conformidade com todas as disposições aplicáveis do Regulamento FEG, estão reunidas as condições para a concessão de uma contribuição financeira ao abrigo do referido regulamento;</w:t>
      </w:r>
    </w:p>
    <w:p w:rsidR="00FE0D10" w:rsidRPr="00D61A7E" w:rsidP="00193182" w14:paraId="643EB558" w14:textId="77777777">
      <w:pPr>
        <w:pStyle w:val="NormalHanging12a"/>
      </w:pPr>
      <w:r w:rsidRPr="00D61A7E">
        <w:t>C.</w:t>
      </w:r>
      <w:r w:rsidRPr="00D61A7E">
        <w:tab/>
        <w:t>Considerando que o número total de beneficiários elegíveis, cuja atividade cessou nos setores económicos acima referidos, ascende a 351 nas empresas Metsä Group Oyj, Stora Enso Oyj, UPM Communication Papers Oy e SAPPI Finland Operations Oy;</w:t>
      </w:r>
    </w:p>
    <w:p w:rsidR="00FE0D10" w:rsidRPr="00D61A7E" w:rsidP="00193182" w14:paraId="54BFCEA1" w14:textId="77777777">
      <w:pPr>
        <w:pStyle w:val="NormalHanging12a"/>
      </w:pPr>
      <w:r w:rsidRPr="00D61A7E">
        <w:t>D.</w:t>
      </w:r>
      <w:r w:rsidRPr="00D61A7E">
        <w:tab/>
      </w:r>
      <w:r w:rsidRPr="00D61A7E">
        <w:t>Considerando que, em 8 de setembro de 2026, a Comissão adotou uma proposta de decisão sobre a mobilização do FEG a favor da Finlândia para apoiar a reintegração no mercado de trabalho de 351 beneficiários visados;</w:t>
      </w:r>
    </w:p>
    <w:p w:rsidR="00FE0D10" w:rsidRPr="00D61A7E" w:rsidP="00193182" w14:paraId="5D66D246" w14:textId="1AAA624D">
      <w:pPr>
        <w:pStyle w:val="NormalHanging12a"/>
      </w:pPr>
      <w:r w:rsidRPr="00D61A7E">
        <w:t>E.</w:t>
      </w:r>
      <w:r w:rsidRPr="00D61A7E">
        <w:tab/>
      </w:r>
      <w:r w:rsidRPr="00D61A7E">
        <w:t>Considerando que a indústria florestal da Carélia do Sul, uma sub</w:t>
      </w:r>
      <w:r w:rsidR="00C824F7">
        <w:noBreakHyphen/>
      </w:r>
      <w:r w:rsidRPr="00D61A7E">
        <w:t>região de Etelä</w:t>
      </w:r>
      <w:r w:rsidR="00C824F7">
        <w:noBreakHyphen/>
      </w:r>
      <w:r w:rsidRPr="00D61A7E">
        <w:t>Suomi, situada junto à fronteira russa, tem enfrentado problemas geopolíticos e económicos significativos, que conduziram a mudanças estruturais de grande envergadura e a reduções substanciais do número de trabalhadores; que a indústria florestal está ligada a montante à indústria do papel, sendo a sua principal fornecedora de matérias</w:t>
      </w:r>
      <w:r w:rsidR="00C824F7">
        <w:noBreakHyphen/>
      </w:r>
      <w:r w:rsidRPr="00D61A7E">
        <w:t>primas, e que os problemas que enfrenta repercutem</w:t>
      </w:r>
      <w:r w:rsidR="00C824F7">
        <w:noBreakHyphen/>
      </w:r>
      <w:r w:rsidRPr="00D61A7E">
        <w:t xml:space="preserve">se, a jusante, na indústria do papel; </w:t>
      </w:r>
      <w:r w:rsidRPr="00D61A7E">
        <w:t xml:space="preserve">que a própria indústria do papel tem enfrentado graves problemas nos últimos anos, devido sobretudo à diminuição da procura, uma vez que a digitalização tem vindo a substituir a procura de produtos impressos; que, uma vez que se trata de um setor com utilização intensiva de energia, o aumento dos custos da energia constitui também um problema considerável; </w:t>
      </w:r>
      <w:r w:rsidRPr="00D61A7E">
        <w:t xml:space="preserve">que, para além das dificuldades estruturais gerais com que a indústria do papel se depara, o encerramento da fronteira com a Rússia, em 2023, teve um impacto significativo na estrutura de custos das fábricas de papel que operam na Carélia do Sul; que a região era particularmente dependente de cadeias de abastecimento transfronteiriças, em especial de madeira importada da Rússia; </w:t>
      </w:r>
      <w:r w:rsidRPr="00D61A7E">
        <w:t xml:space="preserve">que, devido à situação geopolítica resultante da guerra de agressão da Rússia contra a Ucrânia, as importações de madeira provenientes da Rússia foram </w:t>
      </w:r>
      <w:r w:rsidRPr="00D61A7E">
        <w:t>alvo de sanções e, consequentemente, cessaram. que, uma vez que a madeira é agora adquirida a maiores distâncias e a preços mais elevados, os custos de produção na indústria da pasta de papel e do papel aumentaram drasticamente;</w:t>
      </w:r>
    </w:p>
    <w:p w:rsidR="00FE0D10" w:rsidRPr="00D61A7E" w:rsidP="00193182" w14:paraId="4C9DB4D3" w14:textId="77777777">
      <w:pPr>
        <w:pStyle w:val="NormalHanging12a"/>
      </w:pPr>
      <w:r w:rsidRPr="00D61A7E">
        <w:t>F.</w:t>
      </w:r>
      <w:r w:rsidRPr="00D61A7E">
        <w:tab/>
      </w:r>
      <w:r w:rsidRPr="00D61A7E">
        <w:t xml:space="preserve">Considerando que as empresas do setor do papel reagiram à situação dando início às chamadas «negociações de mudança», que constituem uma obrigação legal na Finlândia para as empresas que planeiam despedimentos ou reestruturações; que as negociações conduziram a despedimentos temporários em todas as principais fábricas de papel, com uma duração máxima de 90 dias; </w:t>
      </w:r>
      <w:r w:rsidRPr="00D61A7E">
        <w:t>que, no outono de 2024, a primeira grande vaga de despedimentos levou à supressão de 100 postos de trabalho na fábrica de papel Stora Enso, na cidade de Imatra;</w:t>
      </w:r>
    </w:p>
    <w:p w:rsidR="00FE0D10" w:rsidRPr="00D61A7E" w:rsidP="00193182" w14:paraId="592EE3FC" w14:textId="77777777">
      <w:pPr>
        <w:pStyle w:val="NormalHanging12a"/>
      </w:pPr>
      <w:r w:rsidRPr="00D61A7E">
        <w:t>G.</w:t>
      </w:r>
      <w:r w:rsidRPr="00D61A7E">
        <w:tab/>
        <w:t xml:space="preserve">Considerando que a situação se agravou em 2025, quando os direitos aduaneiros de importação impostos pelos Estados Unidos não só provocaram uma redução da competitividade, como também redefiniram as cadeias de valor globais; </w:t>
      </w:r>
      <w:r w:rsidRPr="00D61A7E">
        <w:t>que as negociações de mudança nas empresas produtoras de papel prosseguiram em 2025, conduzindo não só a despedimentos temporários, mas também a grandes reduções de pessoal;</w:t>
      </w:r>
    </w:p>
    <w:p w:rsidR="00FE0D10" w:rsidRPr="00D61A7E" w:rsidP="00193182" w14:paraId="76ED1282" w14:textId="77777777">
      <w:pPr>
        <w:pStyle w:val="NormalHanging12a"/>
      </w:pPr>
      <w:r w:rsidRPr="00D61A7E">
        <w:t>H.</w:t>
      </w:r>
      <w:r w:rsidRPr="00D61A7E">
        <w:tab/>
        <w:t xml:space="preserve">Considerando que a Finlândia indicou que o pacote coordenado de serviços personalizados foi definido em concertação com os peritos e os parceiros sociais, como previsto no artigo 7.º, n.º 4, do Regulamento FEG; </w:t>
      </w:r>
    </w:p>
    <w:p w:rsidR="00FE0D10" w:rsidRPr="00D61A7E" w:rsidP="00193182" w14:paraId="7FEC0EDE" w14:textId="77777777">
      <w:pPr>
        <w:pStyle w:val="NormalHanging12a"/>
      </w:pPr>
      <w:r w:rsidRPr="00D61A7E">
        <w:t>I.</w:t>
      </w:r>
      <w:r w:rsidRPr="00D61A7E">
        <w:tab/>
      </w:r>
      <w:r w:rsidRPr="00D61A7E">
        <w:t>Considerando que a intervenção do FEG não pode exceder o montante máximo anual de 30 milhões de EUR (a preços de 2018), conforme disposto no artigo 8.º do Regulamento (UE, Euratom) 2020/2093 do Conselho, de 17 de dezembro de 2020, que estabelece o quadro financeiro plurianual para o período de 2021 a 2027;</w:t>
      </w:r>
    </w:p>
    <w:p w:rsidR="00FE0D10" w:rsidRPr="00D61A7E" w:rsidP="00FE0D10" w14:paraId="1E034E6A" w14:textId="77777777">
      <w:pPr>
        <w:pStyle w:val="NormalHanging12a"/>
        <w:ind w:left="0" w:firstLine="0"/>
      </w:pPr>
      <w:r w:rsidRPr="00D61A7E">
        <w:t>A Comissão do Emprego e dos Assuntos Sociais insta, assim, a Comissão dos Orçamentos, competente quanto à matéria de fundo, a integrar as seguintes sugestões na proposta de resolução que aprovar:</w:t>
      </w:r>
    </w:p>
    <w:p w:rsidR="00FE0D10" w:rsidRPr="00D61A7E" w:rsidP="00193182" w14:paraId="7FE40468" w14:textId="6599773F">
      <w:pPr>
        <w:pStyle w:val="NormalHanging12a"/>
      </w:pPr>
      <w:r w:rsidRPr="00D61A7E">
        <w:t>1.</w:t>
      </w:r>
      <w:r w:rsidRPr="00D61A7E">
        <w:tab/>
      </w:r>
      <w:r w:rsidRPr="00D61A7E">
        <w:t>Recorda que o objetivo do FEG é demonstrar solidariedade para com os beneficiários e prestar</w:t>
      </w:r>
      <w:r w:rsidR="00C824F7">
        <w:noBreakHyphen/>
      </w:r>
      <w:r w:rsidRPr="00D61A7E">
        <w:t xml:space="preserve">lhes apoio; considera que as contribuições financeiras do FEG devem ser essencialmente destinadas a medidas estratégicas ativas do mercado de trabalho e a serviços personalizados que visem reintegrar rapidamente os beneficiários em empregos dignos e sustentáveis, dentro ou fora do seu setor de atividade inicial; </w:t>
      </w:r>
      <w:r w:rsidRPr="00D61A7E">
        <w:t xml:space="preserve">frisa a importância de preparar e apoiar os trabalhadores para as transições ecológica e digital, urgentemente necessárias, da economia e da sociedade europeias; reitera, nesse contexto, o papel importante que a União desempenha, nomeadamente através do FEG, no contributo para o financiamento das qualificações necessárias para uma transição justa, em consonância com o Pacto Ecológico Europeu; </w:t>
      </w:r>
    </w:p>
    <w:p w:rsidR="00FE0D10" w:rsidRPr="00D61A7E" w:rsidP="00193182" w14:paraId="698A0A0E" w14:textId="77777777">
      <w:pPr>
        <w:pStyle w:val="NormalHanging12a"/>
      </w:pPr>
      <w:r w:rsidRPr="00D61A7E">
        <w:t>2.</w:t>
      </w:r>
      <w:r w:rsidRPr="00D61A7E">
        <w:tab/>
      </w:r>
      <w:r w:rsidRPr="00D61A7E">
        <w:t>Partilha o ponto de vista da Comissão segundo o qual estão preenchidas as condições estabelecidas no Regulamento FEG e a Finlândia tem direito a uma contribuição financeira de 1 102 560 EUR ao abrigo desse regulamento, o que representa 60 % do custo total de 1 837 600 EUR, incluindo um orçamento de 1 769 600 EUR para serviços personalizados e de 68 000 EUR para a execução do FEG;</w:t>
      </w:r>
    </w:p>
    <w:p w:rsidR="00FE0D10" w:rsidRPr="00D61A7E" w:rsidP="00193182" w14:paraId="6FB0BA16" w14:textId="77777777">
      <w:pPr>
        <w:pStyle w:val="NormalHanging12a"/>
      </w:pPr>
      <w:r w:rsidRPr="00D61A7E">
        <w:t>3.</w:t>
      </w:r>
      <w:r w:rsidRPr="00D61A7E">
        <w:tab/>
      </w:r>
      <w:r w:rsidRPr="00D61A7E">
        <w:t xml:space="preserve">Regista que Finlândia forneceu todas as garantias necessárias de que os requisitos </w:t>
      </w:r>
      <w:r w:rsidRPr="00D61A7E">
        <w:t>estabelecidos na legislação nacional e da UE em matéria de despedimentos coletivos foram cumpridos e de que os princípios da igualdade de tratamento e da não discriminação serão respeitados no acesso às medidas propostas e na sua aplicação;</w:t>
      </w:r>
    </w:p>
    <w:p w:rsidR="00FE0D10" w:rsidRPr="00D61A7E" w:rsidP="00193182" w14:paraId="69DFD99F" w14:textId="77777777">
      <w:pPr>
        <w:pStyle w:val="NormalHanging12a"/>
      </w:pPr>
      <w:r w:rsidRPr="00D61A7E">
        <w:t>4.</w:t>
      </w:r>
      <w:r w:rsidRPr="00D61A7E">
        <w:tab/>
        <w:t>Frisa que a Finlândia confirmou que as medidas apoiadas pelo FEG não receberão contribuições financeiras de outros instrumentos financeiros da União;</w:t>
      </w:r>
    </w:p>
    <w:p w:rsidR="00FE0D10" w:rsidRPr="00D61A7E" w:rsidP="00193182" w14:paraId="4BAC9DE0" w14:textId="77777777">
      <w:pPr>
        <w:pStyle w:val="NormalHanging12a"/>
      </w:pPr>
      <w:r w:rsidRPr="00D61A7E">
        <w:t>5.</w:t>
      </w:r>
      <w:r w:rsidRPr="00D61A7E">
        <w:tab/>
      </w:r>
      <w:r w:rsidRPr="00D61A7E">
        <w:t>Recorda o perfil dos trabalhadores despedidos, dos quais quase metade tem mais de 54 anos de idade, e considera que, face às pressões do mercado de trabalho, os trabalhadores necessitam de um apoio adicional e adaptado, nomeadamente de uma ajuda específica centrada na atualização das competências e na requalificação profissional, para os ajudar a concretizar com sucesso a sua transição profissional;</w:t>
      </w:r>
    </w:p>
    <w:p w:rsidR="00FE0D10" w:rsidRPr="00D61A7E" w:rsidP="00193182" w14:paraId="3831708B" w14:textId="77777777">
      <w:pPr>
        <w:pStyle w:val="NormalHanging12a"/>
      </w:pPr>
      <w:r w:rsidRPr="00D61A7E">
        <w:t>6.</w:t>
      </w:r>
      <w:r w:rsidRPr="00D61A7E">
        <w:tab/>
        <w:t xml:space="preserve">Observa que os serviços personalizados a prestar aos trabalhadores consistem nas seguintes medidas: </w:t>
      </w:r>
      <w:r w:rsidRPr="00D61A7E">
        <w:t>a) formação na procura de emprego e orientação profissional, b) formação profissional, c) subvenção à criação de empresas, d) análise e soluções de IA para as necessidades de recrutamento e competências, e) subsídio salarial, f) apoio à mobilidade e i) subsídio para a criação de empresas;</w:t>
      </w:r>
    </w:p>
    <w:p w:rsidR="00FE0D10" w:rsidRPr="00D61A7E" w:rsidP="00193182" w14:paraId="5BB759FD" w14:textId="2BEC9BEB">
      <w:pPr>
        <w:pStyle w:val="NormalHanging12a"/>
      </w:pPr>
      <w:r w:rsidRPr="00D61A7E">
        <w:t>7.</w:t>
      </w:r>
      <w:r w:rsidRPr="00D61A7E">
        <w:tab/>
      </w:r>
      <w:r w:rsidRPr="00D61A7E">
        <w:t xml:space="preserve">Frisa, em particular, a importância do artigo 7.º, n.º 2, do Regulamento FEG, que exige que o pacote coordenado antecipe as futuras perspetivas do mercado de trabalho e as competências necessárias, compatíveis com a transição para uma economia sustentável e eficiente em termos de recursos, e dando especial destaque à divulgação das competências necessárias na era industrial digital; </w:t>
      </w:r>
      <w:r w:rsidRPr="00D61A7E">
        <w:t>congratula</w:t>
      </w:r>
      <w:r w:rsidR="00C824F7">
        <w:noBreakHyphen/>
      </w:r>
      <w:r w:rsidRPr="00D61A7E">
        <w:t>se com o facto de a formação em TIC e o apoio adicional estarem previstos nos serviços de orientação profissional, e de algumas das formações oferecidas e subsídios relacionados assegurarem a disseminação das competências necessárias na era industrial digital e numa economia eficiente em termos de recursos;</w:t>
      </w:r>
    </w:p>
    <w:p w:rsidR="00BC0E06" w:rsidRPr="00D61A7E" w:rsidP="00193182" w14:paraId="2404226B" w14:textId="77777777">
      <w:pPr>
        <w:pStyle w:val="NormalHanging12a"/>
      </w:pPr>
      <w:r w:rsidRPr="00D61A7E">
        <w:t>8.</w:t>
      </w:r>
      <w:r w:rsidRPr="00D61A7E">
        <w:tab/>
      </w:r>
      <w:r w:rsidRPr="00D61A7E">
        <w:t>Recorda a possibilidade de medidas especiais limitadas no tempo integradas no pacote coordenado, incluindo, nomeadamente o pagamento de subsídios de guarda de crianças — tal como previsto no artigo 7.º, n.º 2, alínea b), do Regulamento FEG — para facilitar a participação dos candidatos a emprego nas atividades propostas.</w:t>
      </w:r>
    </w:p>
    <w:sectPr w:rsidSect="00D61A7E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A7E" w:rsidRPr="00D61A7E" w:rsidP="00D61A7E" w14:paraId="48F4E5AA" w14:textId="209EF3D1">
    <w:pPr>
      <w:pStyle w:val="EPFooter"/>
    </w:pPr>
    <w:r w:rsidRPr="00D61A7E">
      <w:t>PE</w:t>
    </w:r>
    <w:r w:rsidRPr="00D61A7E">
      <w:rPr>
        <w:rStyle w:val="HideTWBExt"/>
      </w:rPr>
      <w:t>&lt;NoPE&gt;</w:t>
    </w:r>
    <w:r w:rsidRPr="00D61A7E">
      <w:t>791.975</w:t>
    </w:r>
    <w:r w:rsidRPr="00D61A7E">
      <w:rPr>
        <w:rStyle w:val="HideTWBExt"/>
      </w:rPr>
      <w:t>&lt;/NoPE&gt;&lt;Version&gt;</w:t>
    </w:r>
    <w:r w:rsidRPr="00D61A7E">
      <w:t>v01</w:t>
    </w:r>
    <w:r w:rsidR="00C824F7">
      <w:noBreakHyphen/>
    </w:r>
    <w:r w:rsidRPr="00D61A7E">
      <w:t>00</w:t>
    </w:r>
    <w:r w:rsidRPr="00D61A7E">
      <w:rPr>
        <w:rStyle w:val="HideTWBExt"/>
      </w:rPr>
      <w:t>&lt;/Version&gt;</w:t>
    </w:r>
    <w:r w:rsidRPr="00D61A7E">
      <w:tab/>
    </w:r>
    <w:r w:rsidRPr="00D61A7E">
      <w:fldChar w:fldCharType="begin"/>
    </w:r>
    <w:r w:rsidRPr="00D61A7E">
      <w:instrText xml:space="preserve"> PAGE  \* MERGEFORMAT </w:instrText>
    </w:r>
    <w:r w:rsidRPr="00D61A7E">
      <w:fldChar w:fldCharType="separate"/>
    </w:r>
    <w:r w:rsidRPr="00D61A7E">
      <w:rPr>
        <w:noProof/>
      </w:rPr>
      <w:t>4</w:t>
    </w:r>
    <w:r w:rsidRPr="00D61A7E">
      <w:fldChar w:fldCharType="end"/>
    </w:r>
    <w:r w:rsidRPr="00D61A7E">
      <w:t>/</w:t>
    </w:r>
    <w:r>
      <w:fldChar w:fldCharType="begin"/>
    </w:r>
    <w:r>
      <w:instrText xml:space="preserve"> NUMPAGES  \* MERGEFORMAT </w:instrText>
    </w:r>
    <w:r>
      <w:fldChar w:fldCharType="separate"/>
    </w:r>
    <w:r w:rsidRPr="00D61A7E">
      <w:rPr>
        <w:noProof/>
      </w:rPr>
      <w:t>4</w:t>
    </w:r>
    <w:r w:rsidRPr="00D61A7E">
      <w:rPr>
        <w:noProof/>
      </w:rPr>
      <w:fldChar w:fldCharType="end"/>
    </w:r>
    <w:r w:rsidRPr="00D61A7E">
      <w:tab/>
    </w:r>
    <w:r w:rsidRPr="00D61A7E">
      <w:rPr>
        <w:rStyle w:val="HideTWBExt"/>
      </w:rPr>
      <w:t>&lt;PathFdR&gt;</w:t>
    </w:r>
    <w:r w:rsidRPr="00D61A7E">
      <w:t>AL\1349458PT.docx</w:t>
    </w:r>
    <w:r w:rsidRPr="00D61A7E">
      <w:rPr>
        <w:rStyle w:val="HideTWBExt"/>
      </w:rPr>
      <w:t>&lt;/PathFdR&gt;</w:t>
    </w:r>
  </w:p>
  <w:p w:rsidR="00820CCA" w:rsidRPr="00D61A7E" w:rsidP="00D61A7E" w14:paraId="145419D4" w14:textId="5B868917">
    <w:pPr>
      <w:pStyle w:val="EPFooter2"/>
    </w:pPr>
    <w:r w:rsidRPr="00D61A7E">
      <w:t>PT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A7E" w:rsidRPr="00D61A7E" w:rsidP="00D61A7E" w14:paraId="4E31C4F1" w14:textId="487BA107">
    <w:pPr>
      <w:pStyle w:val="EPFooter"/>
    </w:pPr>
    <w:r w:rsidRPr="00D61A7E">
      <w:rPr>
        <w:rStyle w:val="HideTWBExt"/>
      </w:rPr>
      <w:t>&lt;PathFdR&gt;</w:t>
    </w:r>
    <w:r w:rsidRPr="00D61A7E">
      <w:t>AL\1349458PT.docx</w:t>
    </w:r>
    <w:r w:rsidRPr="00D61A7E">
      <w:rPr>
        <w:rStyle w:val="HideTWBExt"/>
      </w:rPr>
      <w:t>&lt;/PathFdR&gt;</w:t>
    </w:r>
    <w:r w:rsidRPr="00D61A7E">
      <w:tab/>
    </w:r>
    <w:r w:rsidRPr="00D61A7E">
      <w:fldChar w:fldCharType="begin"/>
    </w:r>
    <w:r w:rsidRPr="00D61A7E">
      <w:instrText xml:space="preserve"> PAGE  \* MERGEFORMAT </w:instrText>
    </w:r>
    <w:r w:rsidRPr="00D61A7E">
      <w:fldChar w:fldCharType="separate"/>
    </w:r>
    <w:r w:rsidRPr="00D61A7E">
      <w:rPr>
        <w:noProof/>
      </w:rPr>
      <w:t>3</w:t>
    </w:r>
    <w:r w:rsidRPr="00D61A7E">
      <w:fldChar w:fldCharType="end"/>
    </w:r>
    <w:r w:rsidRPr="00D61A7E">
      <w:t>/</w:t>
    </w:r>
    <w:r>
      <w:fldChar w:fldCharType="begin"/>
    </w:r>
    <w:r>
      <w:instrText xml:space="preserve"> NUMPAGES  \* MERGEFORMAT </w:instrText>
    </w:r>
    <w:r>
      <w:fldChar w:fldCharType="separate"/>
    </w:r>
    <w:r w:rsidRPr="00D61A7E">
      <w:rPr>
        <w:noProof/>
      </w:rPr>
      <w:t>4</w:t>
    </w:r>
    <w:r w:rsidRPr="00D61A7E">
      <w:rPr>
        <w:noProof/>
      </w:rPr>
      <w:fldChar w:fldCharType="end"/>
    </w:r>
    <w:r w:rsidRPr="00D61A7E">
      <w:tab/>
      <w:t>PE</w:t>
    </w:r>
    <w:r w:rsidRPr="00D61A7E">
      <w:rPr>
        <w:rStyle w:val="HideTWBExt"/>
      </w:rPr>
      <w:t>&lt;NoPE&gt;</w:t>
    </w:r>
    <w:r w:rsidRPr="00D61A7E">
      <w:t>791.975</w:t>
    </w:r>
    <w:r w:rsidRPr="00D61A7E">
      <w:rPr>
        <w:rStyle w:val="HideTWBExt"/>
      </w:rPr>
      <w:t>&lt;/NoPE&gt;&lt;Version&gt;</w:t>
    </w:r>
    <w:r w:rsidRPr="00D61A7E">
      <w:t>v01</w:t>
    </w:r>
    <w:r w:rsidR="00C824F7">
      <w:noBreakHyphen/>
    </w:r>
    <w:r w:rsidRPr="00D61A7E">
      <w:t>00</w:t>
    </w:r>
    <w:r w:rsidRPr="00D61A7E">
      <w:rPr>
        <w:rStyle w:val="HideTWBExt"/>
      </w:rPr>
      <w:t>&lt;/Version&gt;</w:t>
    </w:r>
  </w:p>
  <w:p w:rsidR="00254F32" w:rsidRPr="00D61A7E" w:rsidP="00D61A7E" w14:paraId="3068F1DD" w14:textId="1A2F74AE">
    <w:pPr>
      <w:pStyle w:val="EPFooter2"/>
    </w:pPr>
    <w:r w:rsidRPr="00D61A7E">
      <w:tab/>
    </w:r>
    <w:r w:rsidRPr="00D61A7E">
      <w:tab/>
      <w:t>PT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A7E" w:rsidRPr="00D61A7E" w:rsidP="00D61A7E" w14:paraId="2495DFFB" w14:textId="4B602D9D">
    <w:pPr>
      <w:pStyle w:val="EPFooter"/>
    </w:pPr>
    <w:r w:rsidRPr="00D61A7E">
      <w:rPr>
        <w:rStyle w:val="HideTWBExt"/>
      </w:rPr>
      <w:t>&lt;PathFdR&gt;</w:t>
    </w:r>
    <w:r w:rsidRPr="00D61A7E">
      <w:t>AL\1349458PT.docx</w:t>
    </w:r>
    <w:r w:rsidRPr="00D61A7E">
      <w:rPr>
        <w:rStyle w:val="HideTWBExt"/>
      </w:rPr>
      <w:t>&lt;/PathFdR&gt;</w:t>
    </w:r>
    <w:r w:rsidRPr="00D61A7E">
      <w:tab/>
    </w:r>
    <w:r w:rsidRPr="00D61A7E">
      <w:tab/>
      <w:t>PE</w:t>
    </w:r>
    <w:r w:rsidRPr="00D61A7E">
      <w:rPr>
        <w:rStyle w:val="HideTWBExt"/>
      </w:rPr>
      <w:t>&lt;NoPE&gt;</w:t>
    </w:r>
    <w:r w:rsidRPr="00D61A7E">
      <w:t>791.975</w:t>
    </w:r>
    <w:r w:rsidRPr="00D61A7E">
      <w:rPr>
        <w:rStyle w:val="HideTWBExt"/>
      </w:rPr>
      <w:t>&lt;/NoPE&gt;&lt;Version&gt;</w:t>
    </w:r>
    <w:r w:rsidRPr="00D61A7E">
      <w:t>v01</w:t>
    </w:r>
    <w:r w:rsidR="00C824F7">
      <w:noBreakHyphen/>
    </w:r>
    <w:r w:rsidRPr="00D61A7E">
      <w:t>00</w:t>
    </w:r>
    <w:r w:rsidRPr="00D61A7E">
      <w:rPr>
        <w:rStyle w:val="HideTWBExt"/>
      </w:rPr>
      <w:t>&lt;/Version&gt;</w:t>
    </w:r>
  </w:p>
  <w:p w:rsidR="00A32C56" w:rsidRPr="00D61A7E" w:rsidP="00D61A7E" w14:paraId="4E99D957" w14:textId="38578662">
    <w:pPr>
      <w:pStyle w:val="EPFooter2"/>
    </w:pPr>
    <w:r w:rsidRPr="00D61A7E">
      <w:t>PT</w:t>
    </w:r>
    <w:r w:rsidRPr="00D61A7E">
      <w:tab/>
    </w:r>
    <w:r w:rsidRPr="00D61A7E">
      <w:rPr>
        <w:b w:val="0"/>
        <w:i/>
        <w:color w:val="C0C0C0"/>
        <w:sz w:val="22"/>
      </w:rPr>
      <w:t>Unida na diversidade</w:t>
    </w:r>
    <w:r w:rsidRPr="00D61A7E">
      <w:tab/>
      <w:t>PT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3130" w14:paraId="412C759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3130" w14:paraId="777D7973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3130" w14:paraId="2A89F8C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2E361BD"/>
    <w:multiLevelType w:val="hybridMultilevel"/>
    <w:tmpl w:val="B2E6B6A0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BD6FBD"/>
    <w:multiLevelType w:val="hybridMultilevel"/>
    <w:tmpl w:val="C0A87250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650" w:hanging="57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953"/>
    <w:rsid w:val="00000C7D"/>
    <w:rsid w:val="00035402"/>
    <w:rsid w:val="00066C9F"/>
    <w:rsid w:val="00085831"/>
    <w:rsid w:val="000923BD"/>
    <w:rsid w:val="000D37CF"/>
    <w:rsid w:val="00140049"/>
    <w:rsid w:val="001924F0"/>
    <w:rsid w:val="00193182"/>
    <w:rsid w:val="001B3937"/>
    <w:rsid w:val="001D1646"/>
    <w:rsid w:val="001E1ECB"/>
    <w:rsid w:val="00224E6A"/>
    <w:rsid w:val="00254F32"/>
    <w:rsid w:val="002F3C5F"/>
    <w:rsid w:val="00310DF8"/>
    <w:rsid w:val="00363130"/>
    <w:rsid w:val="003740E8"/>
    <w:rsid w:val="003763A3"/>
    <w:rsid w:val="003C6D88"/>
    <w:rsid w:val="003F0E89"/>
    <w:rsid w:val="00482DA5"/>
    <w:rsid w:val="00493031"/>
    <w:rsid w:val="004D0D33"/>
    <w:rsid w:val="004F676F"/>
    <w:rsid w:val="00501E47"/>
    <w:rsid w:val="00561B9F"/>
    <w:rsid w:val="005C2557"/>
    <w:rsid w:val="005F6F6C"/>
    <w:rsid w:val="00603481"/>
    <w:rsid w:val="00604B0E"/>
    <w:rsid w:val="007179A7"/>
    <w:rsid w:val="00722A49"/>
    <w:rsid w:val="007732C5"/>
    <w:rsid w:val="007829F6"/>
    <w:rsid w:val="007948AE"/>
    <w:rsid w:val="007B162F"/>
    <w:rsid w:val="007B5A4E"/>
    <w:rsid w:val="007C3F41"/>
    <w:rsid w:val="0080636E"/>
    <w:rsid w:val="00820CCA"/>
    <w:rsid w:val="008249C6"/>
    <w:rsid w:val="008402CD"/>
    <w:rsid w:val="00853AFA"/>
    <w:rsid w:val="00862D62"/>
    <w:rsid w:val="008F668A"/>
    <w:rsid w:val="00971C3E"/>
    <w:rsid w:val="009D564F"/>
    <w:rsid w:val="009F796C"/>
    <w:rsid w:val="00A02156"/>
    <w:rsid w:val="00A10666"/>
    <w:rsid w:val="00A165B9"/>
    <w:rsid w:val="00A31FC7"/>
    <w:rsid w:val="00A32C56"/>
    <w:rsid w:val="00A61B6A"/>
    <w:rsid w:val="00A86629"/>
    <w:rsid w:val="00AA6953"/>
    <w:rsid w:val="00AC0580"/>
    <w:rsid w:val="00B346E5"/>
    <w:rsid w:val="00B454AC"/>
    <w:rsid w:val="00B61A16"/>
    <w:rsid w:val="00BB7240"/>
    <w:rsid w:val="00BC0E06"/>
    <w:rsid w:val="00C127ED"/>
    <w:rsid w:val="00C233BB"/>
    <w:rsid w:val="00C824F7"/>
    <w:rsid w:val="00C85D0F"/>
    <w:rsid w:val="00CE1655"/>
    <w:rsid w:val="00D61A7E"/>
    <w:rsid w:val="00D77EF1"/>
    <w:rsid w:val="00D92A83"/>
    <w:rsid w:val="00DB0EE7"/>
    <w:rsid w:val="00E10F51"/>
    <w:rsid w:val="00E148FC"/>
    <w:rsid w:val="00E26406"/>
    <w:rsid w:val="00E56898"/>
    <w:rsid w:val="00E71A6B"/>
    <w:rsid w:val="00E71F4C"/>
    <w:rsid w:val="00E771D1"/>
    <w:rsid w:val="00EC7896"/>
    <w:rsid w:val="00F22C57"/>
    <w:rsid w:val="00F571CC"/>
    <w:rsid w:val="00F70D50"/>
    <w:rsid w:val="00F85A6D"/>
    <w:rsid w:val="00F96EAB"/>
    <w:rsid w:val="00FA6103"/>
    <w:rsid w:val="00FC705F"/>
    <w:rsid w:val="00FC778B"/>
    <w:rsid w:val="00FE0D10"/>
  </w:rsids>
  <w:docVars>
    <w:docVar w:name="ADDRESSMNU" w:val=" 1"/>
    <w:docVar w:name="CJMNU" w:val=" 1"/>
    <w:docVar w:name="CODEMNU" w:val=" 6"/>
    <w:docVar w:name="COM2KEY" w:val="BUDG"/>
    <w:docVar w:name="COMKEY" w:val="EMPL"/>
    <w:docVar w:name="LastEditedSection" w:val=" 1"/>
    <w:docVar w:name="MEETMNU" w:val=" 1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34\fbidi \froman\fcharset0\fprq2{\*\panose 02040503050406030204}Cambria Math;}&#13;_x000a_{\flomajor\f31500\fbidi \froman\fcharset0\fprq2{\*\panose 02020603050405020304}Times New Roman;}{\fdbmajor\f31501\fbidi \froman\fcharset0\fprq2{\*\panose 02020603050405020304}Times New Roman;}&#13;_x000a_{\fhimajor\f31502\fbidi \fswiss\fcharset0\fprq2{\*\panose 020f0302020204030204}Calibri Light;}{\fbimajor\f31503\fbidi \froman\fcharset0\fprq2{\*\panose 02020603050405020304}Times New Roman;}&#13;_x000a_{\flominor\f31504\fbidi \froman\fcharset0\fprq2{\*\panose 02020603050405020304}Times New Roman;}{\fdbminor\f31505\fbidi \froman\fcharset0\fprq2{\*\panose 02020603050405020304}Times New Roman;}&#13;_x000a_{\fhiminor\f31506\fbidi \fswiss\fcharset0\fprq2{\*\panose 020f0502020204030204}Calibri;}{\fbiminor\f31507\fbidi \froman\fcharset0\fprq2{\*\panose 02020603050405020304}Times New Roman;}{\f276\fbidi \froman\fcharset238\fprq2 Times New Roman CE;}&#13;_x000a_{\f277\fbidi \froman\fcharset204\fprq2 Times New Roman Cyr;}{\f279\fbidi \froman\fcharset161\fprq2 Times New Roman Greek;}{\f280\fbidi \froman\fcharset162\fprq2 Times New Roman Tur;}{\f281\fbidi \froman\fcharset177\fprq2 Times New Roman (Hebrew);}&#13;_x000a_{\f282\fbidi \froman\fcharset178\fprq2 Times New Roman (Arabic);}{\f283\fbidi \froman\fcharset186\fprq2 Times New Roman Baltic;}{\f284\fbidi \froman\fcharset163\fprq2 Times New Roman (Vietnamese);}{\f616\fbidi \froman\fcharset238\fprq2 Cambria Math CE;}&#13;_x000a_{\f617\fbidi \froman\fcharset204\fprq2 Cambria Math Cyr;}{\f619\fbidi \froman\fcharset161\fprq2 Cambria Math Greek;}{\f620\fbidi \froman\fcharset162\fprq2 Cambria Math Tur;}{\f623\fbidi \froman\fcharset186\fprq2 Cambria Math Baltic;}&#13;_x000a_{\f624\fbidi \froman\fcharset163\fprq2 Cambria Math (Vietnamese);}{\flomajor\f31508\fbidi \froman\fcharset238\fprq2 Times New Roman CE;}{\flomajor\f31509\fbidi \froman\fcharset204\fprq2 Times New Roman Cyr;}&#13;_x000a_{\flomajor\f31511\fbidi \froman\fcharset161\fprq2 Times New Roman Greek;}{\flomajor\f31512\fbidi \froman\fcharset162\fprq2 Times New Roman Tur;}{\flomajor\f31513\fbidi \froman\fcharset177\fprq2 Times New Roman (Hebrew);}&#13;_x000a_{\flomajor\f31514\fbidi \froman\fcharset178\fprq2 Times New Roman (Arabic);}{\flomajor\f31515\fbidi \froman\fcharset186\fprq2 Times New Roman Baltic;}{\flomajor\f31516\fbidi \froman\fcharset163\fprq2 Times New Roman (Vietnamese);}&#13;_x000a_{\fdbmajor\f31518\fbidi \froman\fcharset238\fprq2 Times New Roman CE;}{\fdbmajor\f31519\fbidi \froman\fcharset204\fprq2 Times New Roman Cyr;}{\fdbmajor\f31521\fbidi \froman\fcharset161\fprq2 Times New Roman Greek;}&#13;_x000a_{\fdbmajor\f31522\fbidi \froman\fcharset162\fprq2 Times New Roman Tur;}{\fdbmajor\f31523\fbidi \froman\fcharset177\fprq2 Times New Roman (Hebrew);}{\fdbmajor\f31524\fbidi \froman\fcharset178\fprq2 Times New Roman (Arabic);}&#13;_x000a_{\fdbmajor\f31525\fbidi \froman\fcharset186\fprq2 Times New Roman Baltic;}{\fdbmajor\f31526\fbidi \froman\fcharset163\fprq2 Times New Roman (Vietnamese);}{\fhimajor\f31528\fbidi \fswiss\fcharset238\fprq2 Calibri Light CE;}&#13;_x000a_{\fhimajor\f31529\fbidi \fswiss\fcharset204\fprq2 Calibri Light Cyr;}{\fhimajor\f31531\fbidi \fswiss\fcharset161\fprq2 Calibri Light Greek;}{\fhimajor\f31532\fbidi \fswiss\fcharset162\fprq2 Calibri Light Tur;}&#13;_x000a_{\fhimajor\f31533\fbidi \fswiss\fcharset177\fprq2 Calibri Light (Hebrew);}{\fhimajor\f31534\fbidi \fswiss\fcharset178\fprq2 Calibri Light (Arabic);}{\fhimajor\f31535\fbidi \fswiss\fcharset186\fprq2 Calibri Light Baltic;}&#13;_x000a_{\fhimajor\f31536\fbidi \fswiss\fcharset163\fprq2 Calibri Light (Vietnamese);}{\fbimajor\f31538\fbidi \froman\fcharset238\fprq2 Times New Roman CE;}{\fbimajor\f31539\fbidi \froman\fcharset204\fprq2 Times New Roman Cyr;}&#13;_x000a_{\fbimajor\f31541\fbidi \froman\fcharset161\fprq2 Times New Roman Greek;}{\fbimajor\f31542\fbidi \froman\fcharset162\fprq2 Times New Roman Tur;}{\fbimajor\f31543\fbidi \froman\fcharset177\fprq2 Times New Roman (Hebrew);}&#13;_x000a_{\fbimajor\f31544\fbidi \froman\fcharset178\fprq2 Times New Roman (Arabic);}{\fbimajor\f31545\fbidi \froman\fcharset186\fprq2 Times New Roman Baltic;}{\fbimajor\f31546\fbidi \froman\fcharset163\fprq2 Times New Roman (Vietnamese);}&#13;_x000a_{\flominor\f31548\fbidi \froman\fcharset238\fprq2 Times New Roman CE;}{\flominor\f31549\fbidi \froman\fcharset204\fprq2 Times New Roman Cyr;}{\flominor\f31551\fbidi \froman\fcharset161\fprq2 Times New Roman Greek;}&#13;_x000a_{\flominor\f31552\fbidi \froman\fcharset162\fprq2 Times New Roman Tur;}{\flominor\f31553\fbidi \froman\fcharset177\fprq2 Times New Roman (Hebrew);}{\flominor\f31554\fbidi \froman\fcharset178\fprq2 Times New Roman (Arabic);}&#13;_x000a_{\flominor\f31555\fbidi \froman\fcharset186\fprq2 Times New Roman Baltic;}{\flominor\f31556\fbidi \froman\fcharset163\fprq2 Times New Roman (Vietnamese);}{\fdbminor\f31558\fbidi \froman\fcharset238\fprq2 Times New Roman CE;}&#13;_x000a_{\fdbminor\f31559\fbidi \froman\fcharset204\fprq2 Times New Roman Cyr;}{\fdbminor\f31561\fbidi \froman\fcharset161\fprq2 Times New Roman Greek;}{\fdbminor\f31562\fbidi \froman\fcharset162\fprq2 Times New Roman Tur;}&#13;_x000a_{\fdbminor\f31563\fbidi \froman\fcharset177\fprq2 Times New Roman (Hebrew);}{\fdbminor\f31564\fbidi \froman\fcharset178\fprq2 Times New Roman (Arabic);}{\fdbminor\f31565\fbidi \froman\fcharset186\fprq2 Times New Roman Baltic;}&#13;_x000a_{\fdbminor\f31566\fbidi \froman\fcharset163\fprq2 Times New Roman (Vietnamese);}{\fhiminor\f31568\fbidi \fswiss\fcharset238\fprq2 Calibri CE;}{\fhiminor\f31569\fbidi \fswiss\fcharset204\fprq2 Calibri Cyr;}&#13;_x000a_{\fhiminor\f31571\fbidi \fswiss\fcharset161\fprq2 Calibri Greek;}{\fhiminor\f31572\fbidi \fswiss\fcharset162\fprq2 Calibri Tur;}{\fhiminor\f31573\fbidi \fswiss\fcharset177\fprq2 Calibri (Hebrew);}&#13;_x000a_{\fhiminor\f31574\fbidi \fswiss\fcharset178\fprq2 Calibri (Arabic);}{\fhiminor\f31575\fbidi \fswiss\fcharset186\fprq2 Calibri Baltic;}{\fhiminor\f31576\fbidi \fswiss\fcharset163\fprq2 Calibri (Vietnamese);}&#13;_x000a_{\fbiminor\f31578\fbidi \froman\fcharset238\fprq2 Times New Roman CE;}{\fbiminor\f31579\fbidi \froman\fcharset204\fprq2 Times New Roman Cyr;}{\fbiminor\f31581\fbidi \froman\fcharset161\fprq2 Times New Roman Greek;}&#13;_x000a_{\fbiminor\f31582\fbidi \froman\fcharset162\fprq2 Times New Roman Tur;}{\fbiminor\f31583\fbidi \froman\fcharset177\fprq2 Times New Roman (Hebrew);}{\fbiminor\f31584\fbidi \froman\fcharset178\fprq2 Times New Roman (Arabic);}&#13;_x000a_{\fbiminor\f31585\fbidi \froman\fcharset186\fprq2 Times New Roman Baltic;}{\fbiminor\f31586\fbidi \froman\fcharset163\fprq2 Times New Roman (Vietnamese);}}{\colortbl;\red0\green0\blue0;\red0\green0\blue255;\red0\green255\blue255;\red0\green255\blue0;&#13;_x000a_\red255\green0\blue255;\red255\green0\blue0;\red255\green255\blue0;\red255\green255\blue255;\red0\green0\blue128;\red0\green128\blue128;\red0\green128\blue0;\red128\green0\blue128;\red128\green0\blue0;\red128\green128\blue0;\red128\green128\blue128;&#13;_x000a_\red192\green192\blue192;}{\*\defchp }{\*\defpap \ql \li0\ri0\widctlpar\wrapdefault\aspalpha\aspnum\faauto\adjustright\rin0\lin0\itap0 }\noqfpromote {\stylesheet{\ql \li0\ri0\widctlpar\wrapdefault\aspalpha\aspnum\faauto\adjustright\rin0\lin0\itap0 &#13;_x000a_\rtlch\fcs1 \af0\afs20\alang1025 \ltrch\fcs0 \fs24\lang2057\langfe2057\cgrid\langnp2057\langfenp2057 \snext0 \sqformat \spriority0 Normal;}{\*\cs10 \additive \ssemihidden \spriority0 Default Paragraph Font;}{\*&#13;_x000a_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&#13;_x000a_\s15\ql \fi-567\li567\ri0\sa240\nowidctlpar\wrapdefault\aspalpha\aspnum\faauto\adjustright\rin0\lin567\itap0 \rtlch\fcs1 \af0\afs20\alang1025 \ltrch\fcs0 \fs24\lang2057\langfe2057\cgrid\langnp2057\langfenp2057 &#13;_x000a_\sbasedon0 \snext15 \spriority0 \styrsid3030495 NormalHanging12a;}}{\*\rsidtbl \rsid24658\rsid358857\rsid735077\rsid787282\rsid2892074\rsid3030495\rsid3622648\rsid3633181\rsid4666813\rsid5708216\rsid6641733\rsid7553164\rsid8465581\rsid8681905\rsid8724649&#13;_x000a_\rsid9636012\rsid9862312\rsid11215221\rsid11370291\rsid11434737\rsid11607138\rsid11824949\rsid12154954\rsid14424199\rsid15204470\rsid15285974\rsid15535219\rsid15950462\rsid16324206\rsid16662270}{\mmathPr\mmathFont34\mbrkBin0\mbrkBinSub0\msmallFrac0&#13;_x000a_\mdispDef1\mlMargin0\mrMargin0\mdefJc1\mwrapIndent1440\mintLim0\mnaryLim1}{\info{\author FELIX Karina}{\operator FELIX Karina}{\creatim\yr2019\mo7\dy5\hr16\min48}{\revtim\yr2019\mo7\dy5\hr16\min48}{\version1}{\edmins0}{\nofpages1}{\nofwords5}{\nofchars30}&#13;_x000a_{\*\company European Parliament}{\nofcharsws34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3030495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3633181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3633181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3633181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3633181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15\ql \fi-567\li567\ri0\sa240\nowidctlpar\wrapdefault\aspalpha\aspnum\faauto\adjustright\rin0\lin567\itap0\pararsid3030495 \rtlch\fcs1 \af0\afs20\alang1025 \ltrch\fcs0 \fs24\lang2057\langfe2057\cgrid\langnp2057\langfenp2057 {\rtlch\fcs1 \af0 &#13;_x000a_\ltrch\fcs0 \insrsid3030495\charrsid1525456 {\*\bkmkstart restart}[ZSUGGESTIONNR]\tab [ZSUGGESTIONTEXT]&#13;_x000a_\par }\pard\plain \ltrpar\ql \li0\ri0\widctlpar\wrapdefault\aspalpha\aspnum\faauto\adjustright\rin0\lin0\itap0\pararsid16324206 \rtlch\fcs1 \af0\afs20\alang1025 \ltrch\fcs0 \fs24\lang2057\langfe2057\cgrid\langnp2057\langfenp2057 {\rtlch\fcs1 \af0 \ltrch\fcs0 &#13;_x000a_\insrsid24658\charrsid16324206 {\*\bkmkend restart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4029&#13;_x000a_53c64033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strDocTypeID" w:val="AL_Com_NonLeg"/>
    <w:docVar w:name="strSubDir" w:val="1349"/>
    <w:docVar w:name="TITLEMNU" w:val=" 1"/>
    <w:docVar w:name="TXTAUTHOR" w:val="Li Andersson"/>
    <w:docVar w:name="TXTCHAIR" w:val="Johan Van Overtveldt"/>
    <w:docVar w:name="TXTLANGUE" w:val="EN"/>
    <w:docVar w:name="TXTLANGUEMIN" w:val="en"/>
    <w:docVar w:name="TXTNRPE" w:val="791.975"/>
    <w:docVar w:name="TXTNRPROC" w:val="(2026/____"/>
    <w:docVar w:name="TXTPEorAP" w:val="PE"/>
    <w:docVar w:name="TXTROUTE" w:val="AL\1349458EN.docx"/>
    <w:docVar w:name="TXTTITLE" w:val="Mobilisation of the European Globalisation Adjustment Fund for Displaced Workers following an application from Finland — EGF/2026/___-Helsinki-Uusimaa"/>
    <w:docVar w:name="TXTVERSION" w:val="01-00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1E4762F7-6F39-4019-B464-C76C6AACD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0666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EPFooter2">
    <w:name w:val="EPFooter2"/>
    <w:basedOn w:val="Normal"/>
    <w:next w:val="Normal"/>
    <w:rsid w:val="00B61A1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LetterDate">
    <w:name w:val="LetterDate"/>
    <w:basedOn w:val="Normal"/>
    <w:rsid w:val="007C3F41"/>
    <w:pPr>
      <w:spacing w:before="720" w:after="240"/>
    </w:p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Name">
    <w:name w:val="EPName"/>
    <w:basedOn w:val="Normal"/>
    <w:rsid w:val="00CE1655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CE1655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CE1655"/>
    <w:pPr>
      <w:jc w:val="right"/>
    </w:pPr>
  </w:style>
  <w:style w:type="paragraph" w:customStyle="1" w:styleId="LetterSalutation">
    <w:name w:val="LetterSalutation"/>
    <w:basedOn w:val="Normal"/>
    <w:rsid w:val="003740E8"/>
    <w:pPr>
      <w:spacing w:before="600" w:after="360"/>
    </w:pPr>
  </w:style>
  <w:style w:type="paragraph" w:customStyle="1" w:styleId="LetterSubject">
    <w:name w:val="LetterSubject"/>
    <w:basedOn w:val="Normal"/>
    <w:rsid w:val="00BB7240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066C9F"/>
    <w:pPr>
      <w:spacing w:before="1320"/>
    </w:pPr>
  </w:style>
  <w:style w:type="table" w:styleId="TableGrid">
    <w:name w:val="Table Grid"/>
    <w:basedOn w:val="TableNormal"/>
    <w:rsid w:val="00000C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7C3F4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00C7D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E771D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PageHeadingNotTOC">
    <w:name w:val="PageHeadingNotTOC"/>
    <w:basedOn w:val="Normal"/>
    <w:rsid w:val="007C3F4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7C3F41"/>
    <w:pPr>
      <w:spacing w:after="240"/>
      <w:ind w:left="567" w:hanging="567"/>
    </w:pPr>
  </w:style>
  <w:style w:type="paragraph" w:customStyle="1" w:styleId="EPFooter">
    <w:name w:val="EPFooter"/>
    <w:basedOn w:val="Normal"/>
    <w:rsid w:val="00E5689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Header">
    <w:name w:val="header"/>
    <w:basedOn w:val="Normal"/>
    <w:link w:val="HeaderChar"/>
    <w:semiHidden/>
    <w:rsid w:val="00E5689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semiHidden/>
    <w:rsid w:val="00E148FC"/>
    <w:rPr>
      <w:sz w:val="24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A02156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semiHidden/>
    <w:rsid w:val="00A32C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A32C5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1496</Words>
  <Characters>8118</Characters>
  <Application>Microsoft Office Word</Application>
  <DocSecurity>0</DocSecurity>
  <Lines>140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AL_Com_NonLeg</vt:lpstr>
    </vt:vector>
  </TitlesOfParts>
  <Company/>
  <LinksUpToDate>false</LinksUpToDate>
  <CharactersWithSpaces>9587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AL_Com_NonLeg</dc:title>
  <dc:creator>European Parliament</dc:creator>
  <cp:lastModifiedBy>European Parliament</cp:lastModifiedBy>
  <cp:revision>2</cp:revision>
  <cp:lastPrinted>2004-06-24T10:04:00Z</cp:lastPrinted>
  <dcterms:created xsi:type="dcterms:W3CDTF">2026-10-12T15:36:00Z</dcterms:created>
  <dcterms:modified xsi:type="dcterms:W3CDTF">2026-10-12T15:36:00Z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1349458</vt:lpwstr>
  </property>
  <property fmtid="{D5CDD505-2E9C-101B-9397-08002B2CF9AE}" pid="4" name="&lt;Model&gt;">
    <vt:lpwstr>AL_Com_NonLeg</vt:lpwstr>
  </property>
  <property fmtid="{D5CDD505-2E9C-101B-9397-08002B2CF9AE}" pid="5" name="&lt;ModelCod&gt;">
    <vt:lpwstr>\\eiciBRUpr1\pdocep$\DocEP\DOCS\General\AL\AL_Com_NonLeg.dotx(08/07/2025 12:45:22)</vt:lpwstr>
  </property>
  <property fmtid="{D5CDD505-2E9C-101B-9397-08002B2CF9AE}" pid="6" name="&lt;ModelTra&gt;">
    <vt:lpwstr>\\eiciBRUpr1\pdocep$\DocEP\TRANSFIL\EN\AL_Com_NonLeg.EN(30/04/2026 11:26:02)</vt:lpwstr>
  </property>
  <property fmtid="{D5CDD505-2E9C-101B-9397-08002B2CF9AE}" pid="7" name="&lt;Type&gt;">
    <vt:lpwstr>AL</vt:lpwstr>
  </property>
  <property fmtid="{D5CDD505-2E9C-101B-9397-08002B2CF9AE}" pid="8" name="Bookout">
    <vt:lpwstr>OK(XMLNOT) - 2026/10/12 17:35</vt:lpwstr>
  </property>
  <property fmtid="{D5CDD505-2E9C-101B-9397-08002B2CF9AE}" pid="9" name="Created with">
    <vt:lpwstr>10.3.1 Build [20260701]</vt:lpwstr>
  </property>
  <property fmtid="{D5CDD505-2E9C-101B-9397-08002B2CF9AE}" pid="10" name="FooterPath">
    <vt:lpwstr>AL\1349458PT.docx</vt:lpwstr>
  </property>
  <property fmtid="{D5CDD505-2E9C-101B-9397-08002B2CF9AE}" pid="11" name="LastEdited with">
    <vt:lpwstr>10.3.1 Build [20260902]</vt:lpwstr>
  </property>
  <property fmtid="{D5CDD505-2E9C-101B-9397-08002B2CF9AE}" pid="12" name="PE number">
    <vt:lpwstr>791.975</vt:lpwstr>
  </property>
  <property fmtid="{D5CDD505-2E9C-101B-9397-08002B2CF9AE}" pid="13" name="RegistreCheck">
    <vt:lpwstr>Date</vt:lpwstr>
  </property>
  <property fmtid="{D5CDD505-2E9C-101B-9397-08002B2CF9AE}" pid="14" name="SDLStudio">
    <vt:lpwstr/>
  </property>
  <property fmtid="{D5CDD505-2E9C-101B-9397-08002B2CF9AE}" pid="15" name="SendToEpades">
    <vt:lpwstr>OK - 2026/10/02 09:27</vt:lpwstr>
  </property>
</Properties>
</file>