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3666DE" w:rsidRPr="00DE650C" w14:paraId="4D02F5FB" w14:textId="77777777" w:rsidTr="00C85D0F">
        <w:trPr>
          <w:trHeight w:hRule="exact" w:val="1418"/>
        </w:trPr>
        <w:tc>
          <w:tcPr>
            <w:tcW w:w="6804" w:type="dxa"/>
            <w:shd w:val="clear" w:color="auto" w:fill="auto"/>
            <w:vAlign w:val="center"/>
          </w:tcPr>
          <w:p w14:paraId="34879304" w14:textId="1447EEC0" w:rsidR="003666DE" w:rsidRPr="00DE650C" w:rsidRDefault="005128DF" w:rsidP="00C85D0F">
            <w:pPr>
              <w:pStyle w:val="EPName"/>
            </w:pPr>
            <w:r w:rsidRPr="00DE650C">
              <w:t>Evropský parlament</w:t>
            </w:r>
          </w:p>
          <w:p w14:paraId="501FDEF0" w14:textId="4C1ADBDF" w:rsidR="003666DE" w:rsidRPr="00DE650C" w:rsidRDefault="00A5598E" w:rsidP="00C85D0F">
            <w:pPr>
              <w:pStyle w:val="EPTerm"/>
            </w:pPr>
            <w:r w:rsidRPr="00DE650C">
              <w:t>2024-2029</w:t>
            </w:r>
          </w:p>
        </w:tc>
        <w:tc>
          <w:tcPr>
            <w:tcW w:w="2268" w:type="dxa"/>
            <w:shd w:val="clear" w:color="auto" w:fill="auto"/>
          </w:tcPr>
          <w:p w14:paraId="71B878E6" w14:textId="77777777" w:rsidR="003666DE" w:rsidRPr="00DE650C" w:rsidRDefault="003666DE" w:rsidP="00C85D0F">
            <w:pPr>
              <w:pStyle w:val="EPLogo"/>
            </w:pPr>
            <w:r w:rsidRPr="00DE650C">
              <w:rPr>
                <w:noProof/>
              </w:rPr>
              <w:drawing>
                <wp:inline distT="0" distB="0" distL="0" distR="0" wp14:anchorId="18D87514" wp14:editId="431033A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5A383B7" w14:textId="77777777" w:rsidR="00000C7D" w:rsidRPr="00DE650C" w:rsidRDefault="00000C7D" w:rsidP="00000C7D">
      <w:pPr>
        <w:pStyle w:val="LineTop"/>
      </w:pPr>
    </w:p>
    <w:p w14:paraId="6D00BBAD" w14:textId="3BC7C4AC" w:rsidR="00000C7D" w:rsidRPr="00DE650C" w:rsidRDefault="00000C7D" w:rsidP="00000C7D">
      <w:pPr>
        <w:pStyle w:val="EPBody"/>
      </w:pPr>
      <w:r w:rsidRPr="00DE650C">
        <w:rPr>
          <w:rStyle w:val="HideTWBExt"/>
          <w:noProof w:val="0"/>
        </w:rPr>
        <w:t>&lt;</w:t>
      </w:r>
      <w:r w:rsidRPr="00DE650C">
        <w:rPr>
          <w:rStyle w:val="HideTWBExt"/>
          <w:i w:val="0"/>
          <w:noProof w:val="0"/>
        </w:rPr>
        <w:t>Commission</w:t>
      </w:r>
      <w:r w:rsidRPr="00DE650C">
        <w:rPr>
          <w:rStyle w:val="HideTWBExt"/>
          <w:noProof w:val="0"/>
        </w:rPr>
        <w:t>&gt;</w:t>
      </w:r>
      <w:r w:rsidRPr="00DE650C">
        <w:rPr>
          <w:rStyle w:val="HideTWBInt"/>
        </w:rPr>
        <w:t>{JURI}</w:t>
      </w:r>
      <w:r w:rsidRPr="00DE650C">
        <w:t>Výbor pro právní záležitosti</w:t>
      </w:r>
      <w:r w:rsidRPr="00DE650C">
        <w:rPr>
          <w:rStyle w:val="HideTWBExt"/>
          <w:noProof w:val="0"/>
        </w:rPr>
        <w:t>&lt;/</w:t>
      </w:r>
      <w:r w:rsidRPr="00DE650C">
        <w:rPr>
          <w:rStyle w:val="HideTWBExt"/>
          <w:i w:val="0"/>
          <w:noProof w:val="0"/>
        </w:rPr>
        <w:t>Commission</w:t>
      </w:r>
      <w:r w:rsidRPr="00DE650C">
        <w:rPr>
          <w:rStyle w:val="HideTWBExt"/>
          <w:noProof w:val="0"/>
        </w:rPr>
        <w:t>&gt;</w:t>
      </w:r>
    </w:p>
    <w:p w14:paraId="502CBE87" w14:textId="52AB25F0" w:rsidR="00000C7D" w:rsidRPr="00DE650C" w:rsidRDefault="00A5598E" w:rsidP="00000C7D">
      <w:pPr>
        <w:pStyle w:val="EPBody"/>
      </w:pPr>
      <w:r w:rsidRPr="00DE650C">
        <w:t>předseda</w:t>
      </w:r>
    </w:p>
    <w:p w14:paraId="5F96236C" w14:textId="77777777" w:rsidR="00000C7D" w:rsidRPr="00DE650C" w:rsidRDefault="00000C7D" w:rsidP="00000C7D">
      <w:pPr>
        <w:pStyle w:val="LineBottom"/>
      </w:pPr>
    </w:p>
    <w:p w14:paraId="1DD9D308" w14:textId="2918FF53" w:rsidR="00E71F4C" w:rsidRPr="00DE650C" w:rsidRDefault="00501E47" w:rsidP="00A04228">
      <w:pPr>
        <w:pStyle w:val="LetterDate"/>
      </w:pPr>
      <w:r w:rsidRPr="00DE650C">
        <w:rPr>
          <w:rStyle w:val="HideTWBExt"/>
          <w:noProof w:val="0"/>
        </w:rPr>
        <w:t>&lt;Date&gt;</w:t>
      </w:r>
      <w:r w:rsidRPr="00DE650C">
        <w:rPr>
          <w:rStyle w:val="HideTWBInt"/>
        </w:rPr>
        <w:t>{17/10/2025}</w:t>
      </w:r>
      <w:r w:rsidRPr="00DE650C">
        <w:t>17.10.2025</w:t>
      </w:r>
      <w:r w:rsidRPr="00DE650C">
        <w:rPr>
          <w:rStyle w:val="HideTWBExt"/>
          <w:noProof w:val="0"/>
        </w:rPr>
        <w:t>&lt;/Date&gt;</w:t>
      </w:r>
    </w:p>
    <w:p w14:paraId="4881A9DB" w14:textId="1D71C4DF" w:rsidR="007179A7" w:rsidRPr="00DE650C" w:rsidRDefault="00A5598E">
      <w:r w:rsidRPr="00DE650C">
        <w:t>Pan Javier Zarzalejos</w:t>
      </w:r>
    </w:p>
    <w:p w14:paraId="315E0921" w14:textId="2CC866A9" w:rsidR="007179A7" w:rsidRPr="00DE650C" w:rsidRDefault="00A5598E">
      <w:r w:rsidRPr="00DE650C">
        <w:t>předseda</w:t>
      </w:r>
    </w:p>
    <w:p w14:paraId="7F911745" w14:textId="1FB3CFDF" w:rsidR="007179A7" w:rsidRPr="00DE650C" w:rsidRDefault="00A5598E">
      <w:r w:rsidRPr="00DE650C">
        <w:t>Výbor pro občanské svobody, spravedlnost</w:t>
      </w:r>
      <w:r w:rsidR="00CC0AED">
        <w:t xml:space="preserve"> a </w:t>
      </w:r>
      <w:r w:rsidRPr="00DE650C">
        <w:t>vnitřní věci</w:t>
      </w:r>
    </w:p>
    <w:p w14:paraId="7C369B90" w14:textId="36D1AF59" w:rsidR="007179A7" w:rsidRPr="00DE650C" w:rsidRDefault="005128DF">
      <w:r w:rsidRPr="00DE650C">
        <w:t>BRUSEL</w:t>
      </w:r>
    </w:p>
    <w:p w14:paraId="55FAD9EC" w14:textId="3E9ADA27" w:rsidR="009F796C" w:rsidRPr="00DE650C" w:rsidRDefault="005128DF" w:rsidP="009F796C">
      <w:pPr>
        <w:pStyle w:val="LetterSubject"/>
      </w:pPr>
      <w:r w:rsidRPr="00DE650C">
        <w:t>Věc:</w:t>
      </w:r>
      <w:r w:rsidRPr="00DE650C">
        <w:tab/>
      </w:r>
      <w:r w:rsidRPr="00DE650C">
        <w:rPr>
          <w:rStyle w:val="HideTWBExt"/>
          <w:noProof w:val="0"/>
        </w:rPr>
        <w:t>&lt;Titre&gt;</w:t>
      </w:r>
      <w:r w:rsidRPr="00DE650C">
        <w:t>Stanovisko</w:t>
      </w:r>
      <w:r w:rsidR="00CC0AED">
        <w:t xml:space="preserve"> k </w:t>
      </w:r>
      <w:r w:rsidRPr="00DE650C">
        <w:t>právnímu základu návrhu nařízení Evropského parlamentu</w:t>
      </w:r>
      <w:r w:rsidR="00CC0AED">
        <w:t xml:space="preserve"> a </w:t>
      </w:r>
      <w:r w:rsidRPr="00DE650C">
        <w:t>Rady</w:t>
      </w:r>
      <w:r w:rsidR="00CC0AED">
        <w:t xml:space="preserve"> o </w:t>
      </w:r>
      <w:r w:rsidRPr="00DE650C">
        <w:t>posílení policejní spolupráce</w:t>
      </w:r>
      <w:r w:rsidR="00CC0AED">
        <w:t xml:space="preserve"> v </w:t>
      </w:r>
      <w:r w:rsidRPr="00DE650C">
        <w:t>souvislosti</w:t>
      </w:r>
      <w:r w:rsidR="00CC0AED">
        <w:t xml:space="preserve"> s </w:t>
      </w:r>
      <w:r w:rsidRPr="00DE650C">
        <w:t>předcházením, odhalováním</w:t>
      </w:r>
      <w:r w:rsidR="00CC0AED">
        <w:t xml:space="preserve"> a </w:t>
      </w:r>
      <w:r w:rsidRPr="00DE650C">
        <w:t>vyšetřováním převaděčství migrantů</w:t>
      </w:r>
      <w:r w:rsidR="00CC0AED">
        <w:t xml:space="preserve"> a </w:t>
      </w:r>
      <w:r w:rsidRPr="00DE650C">
        <w:t>obchodování</w:t>
      </w:r>
      <w:r w:rsidR="00CC0AED">
        <w:t xml:space="preserve"> s </w:t>
      </w:r>
      <w:r w:rsidRPr="00DE650C">
        <w:t>lidmi</w:t>
      </w:r>
      <w:r w:rsidR="00CC0AED">
        <w:t xml:space="preserve"> a o </w:t>
      </w:r>
      <w:r w:rsidRPr="00DE650C">
        <w:t>zvýšení podpory Europolu při předcházení těmto trestným činům</w:t>
      </w:r>
      <w:r w:rsidR="00CC0AED">
        <w:t xml:space="preserve"> a </w:t>
      </w:r>
      <w:r w:rsidRPr="00DE650C">
        <w:t>boji proti nim</w:t>
      </w:r>
      <w:r w:rsidR="00CC0AED">
        <w:t xml:space="preserve"> a o </w:t>
      </w:r>
      <w:r w:rsidRPr="00DE650C">
        <w:t>změně nařízení (EU) 2016/794</w:t>
      </w:r>
      <w:r w:rsidRPr="00DE650C">
        <w:rPr>
          <w:rStyle w:val="HideTWBExt"/>
          <w:noProof w:val="0"/>
        </w:rPr>
        <w:t>&lt;/Titre&gt;</w:t>
      </w:r>
      <w:r w:rsidRPr="00DE650C">
        <w:t xml:space="preserve"> </w:t>
      </w:r>
      <w:r w:rsidRPr="00DE650C">
        <w:rPr>
          <w:rStyle w:val="HideTWBExt"/>
          <w:noProof w:val="0"/>
        </w:rPr>
        <w:t>&lt;DocRef&gt;</w:t>
      </w:r>
      <w:r w:rsidRPr="00DE650C">
        <w:t>(</w:t>
      </w:r>
      <w:proofErr w:type="gramStart"/>
      <w:r w:rsidRPr="00DE650C">
        <w:t>COM(</w:t>
      </w:r>
      <w:proofErr w:type="gramEnd"/>
      <w:r w:rsidRPr="00DE650C">
        <w:t>2023)0754 – C10</w:t>
      </w:r>
      <w:r w:rsidRPr="00DE650C">
        <w:noBreakHyphen/>
        <w:t>0431/2023 – 2023/0438(COD))</w:t>
      </w:r>
      <w:r w:rsidRPr="00DE650C">
        <w:rPr>
          <w:rStyle w:val="HideTWBExt"/>
          <w:noProof w:val="0"/>
        </w:rPr>
        <w:t>&lt;/DocRef&gt;</w:t>
      </w:r>
    </w:p>
    <w:p w14:paraId="6FAE8097" w14:textId="77777777" w:rsidR="00A5598E" w:rsidRPr="00DE650C" w:rsidRDefault="00A5598E" w:rsidP="00A5598E">
      <w:pPr>
        <w:pStyle w:val="LetterSalutation"/>
      </w:pPr>
      <w:r w:rsidRPr="00DE650C">
        <w:t>Vážený pane předsedo,</w:t>
      </w:r>
    </w:p>
    <w:p w14:paraId="34DD17F7" w14:textId="5053E675" w:rsidR="00405B0E" w:rsidRPr="00DE650C" w:rsidRDefault="00405B0E" w:rsidP="00FA1413">
      <w:pPr>
        <w:pStyle w:val="Normal12a"/>
        <w:widowControl/>
        <w:spacing w:before="100" w:beforeAutospacing="1" w:after="100" w:afterAutospacing="1"/>
      </w:pPr>
      <w:r w:rsidRPr="00DE650C">
        <w:t>dopisem doručeným dne 12. září 2025 jste jako předseda Výboru pro občanské svobody, spravedlnost</w:t>
      </w:r>
      <w:r w:rsidR="00CC0AED">
        <w:t xml:space="preserve"> a </w:t>
      </w:r>
      <w:r w:rsidRPr="00DE650C">
        <w:t>vnitřní věci (LIBE) požádal</w:t>
      </w:r>
      <w:r w:rsidR="00CC0AED">
        <w:t xml:space="preserve"> v </w:t>
      </w:r>
      <w:r w:rsidRPr="00DE650C">
        <w:t>souladu</w:t>
      </w:r>
      <w:r w:rsidR="00CC0AED">
        <w:t xml:space="preserve"> s </w:t>
      </w:r>
      <w:r w:rsidRPr="00DE650C">
        <w:t>čl. 41 odst. 2 jednacího řádu Výbor pro právní záležitosti (JURI)</w:t>
      </w:r>
      <w:r w:rsidR="00CC0AED">
        <w:t xml:space="preserve"> o </w:t>
      </w:r>
      <w:r w:rsidRPr="00DE650C">
        <w:t>stanovisko</w:t>
      </w:r>
      <w:r w:rsidR="00CC0AED">
        <w:t xml:space="preserve"> k </w:t>
      </w:r>
      <w:r w:rsidRPr="00DE650C">
        <w:t>vhodnosti právního základu návrhu nařízení Evropského parlamentu</w:t>
      </w:r>
      <w:r w:rsidR="00CC0AED">
        <w:t xml:space="preserve"> a </w:t>
      </w:r>
      <w:r w:rsidRPr="00DE650C">
        <w:t>Rady</w:t>
      </w:r>
      <w:r w:rsidR="00CC0AED">
        <w:t xml:space="preserve"> o </w:t>
      </w:r>
      <w:r w:rsidRPr="00DE650C">
        <w:t>posílení policejní spolupráce</w:t>
      </w:r>
      <w:r w:rsidR="00CC0AED">
        <w:t xml:space="preserve"> v </w:t>
      </w:r>
      <w:r w:rsidRPr="00DE650C">
        <w:t>souvislosti</w:t>
      </w:r>
      <w:r w:rsidR="00CC0AED">
        <w:t xml:space="preserve"> s </w:t>
      </w:r>
      <w:r w:rsidRPr="00DE650C">
        <w:t>předcházením, odhalováním</w:t>
      </w:r>
      <w:r w:rsidR="00CC0AED">
        <w:t xml:space="preserve"> a </w:t>
      </w:r>
      <w:r w:rsidRPr="00DE650C">
        <w:t>vyšetřováním převaděčství migrantů</w:t>
      </w:r>
      <w:r w:rsidR="00CC0AED">
        <w:t xml:space="preserve"> a </w:t>
      </w:r>
      <w:r w:rsidRPr="00DE650C">
        <w:t>obchodování</w:t>
      </w:r>
      <w:r w:rsidR="00CC0AED">
        <w:t xml:space="preserve"> s </w:t>
      </w:r>
      <w:r w:rsidRPr="00DE650C">
        <w:t>lidmi</w:t>
      </w:r>
      <w:r w:rsidR="00CC0AED">
        <w:t xml:space="preserve"> a o </w:t>
      </w:r>
      <w:r w:rsidRPr="00DE650C">
        <w:t>zvýšení podpory Europolu při předcházení těmto trestným činům</w:t>
      </w:r>
      <w:r w:rsidR="00CC0AED">
        <w:t xml:space="preserve"> a </w:t>
      </w:r>
      <w:r w:rsidRPr="00DE650C">
        <w:t>boji proti nim</w:t>
      </w:r>
      <w:r w:rsidR="00CC0AED">
        <w:t xml:space="preserve"> a o </w:t>
      </w:r>
      <w:r w:rsidRPr="00DE650C">
        <w:t>změně nařízení (EU) 2016/794 (2023/0438(COD)) (dále jen „navrhované nařízení“).</w:t>
      </w:r>
    </w:p>
    <w:p w14:paraId="20ED2205" w14:textId="77777777" w:rsidR="00405B0E" w:rsidRPr="00DE650C" w:rsidRDefault="00405B0E" w:rsidP="00FA1413">
      <w:pPr>
        <w:pStyle w:val="Normal12a"/>
        <w:widowControl/>
        <w:spacing w:before="100" w:beforeAutospacing="1" w:after="100" w:afterAutospacing="1"/>
      </w:pPr>
      <w:r w:rsidRPr="00DE650C">
        <w:t>Výbor JURI projednal výše uvedenou otázku na své schůzi dne 13. října 2025.</w:t>
      </w:r>
    </w:p>
    <w:p w14:paraId="443ED1A3" w14:textId="27D37703" w:rsidR="00405B0E" w:rsidRPr="00DE650C" w:rsidRDefault="00DE650C" w:rsidP="00FA1413">
      <w:pPr>
        <w:widowControl/>
        <w:spacing w:before="100" w:beforeAutospacing="1" w:after="100" w:afterAutospacing="1"/>
        <w:jc w:val="both"/>
        <w:rPr>
          <w:b/>
          <w:u w:val="single"/>
        </w:rPr>
      </w:pPr>
      <w:r w:rsidRPr="00DE650C">
        <w:rPr>
          <w:b/>
          <w:u w:val="single"/>
        </w:rPr>
        <w:t>I</w:t>
      </w:r>
      <w:r>
        <w:rPr>
          <w:b/>
          <w:u w:val="single"/>
        </w:rPr>
        <w:t> </w:t>
      </w:r>
      <w:r w:rsidR="00405B0E" w:rsidRPr="00DE650C">
        <w:rPr>
          <w:b/>
          <w:u w:val="single"/>
        </w:rPr>
        <w:t>– Souvislosti</w:t>
      </w:r>
    </w:p>
    <w:p w14:paraId="38FD406B" w14:textId="0E82E6EE" w:rsidR="00405B0E" w:rsidRPr="00DE650C" w:rsidRDefault="00405B0E" w:rsidP="00FA1413">
      <w:pPr>
        <w:widowControl/>
        <w:spacing w:before="100" w:beforeAutospacing="1" w:after="100" w:afterAutospacing="1"/>
      </w:pPr>
      <w:r w:rsidRPr="00DE650C">
        <w:rPr>
          <w:color w:val="000000" w:themeColor="text1"/>
        </w:rPr>
        <w:t>Výbor LIBE vedl</w:t>
      </w:r>
      <w:r w:rsidR="00CC0AED">
        <w:rPr>
          <w:color w:val="000000" w:themeColor="text1"/>
        </w:rPr>
        <w:t xml:space="preserve"> o </w:t>
      </w:r>
      <w:r w:rsidRPr="00DE650C">
        <w:rPr>
          <w:color w:val="000000" w:themeColor="text1"/>
        </w:rPr>
        <w:t>navrhovaném nařízení interinstitucionální jednání.</w:t>
      </w:r>
      <w:r w:rsidRPr="00DE650C">
        <w:t xml:space="preserve"> </w:t>
      </w:r>
    </w:p>
    <w:p w14:paraId="33E501D4" w14:textId="70F2056C" w:rsidR="00405B0E" w:rsidRPr="00DE650C" w:rsidRDefault="00405B0E" w:rsidP="00FA1413">
      <w:pPr>
        <w:widowControl/>
        <w:spacing w:before="100" w:beforeAutospacing="1" w:after="100" w:afterAutospacing="1"/>
        <w:rPr>
          <w:color w:val="000000" w:themeColor="text1"/>
        </w:rPr>
      </w:pPr>
      <w:r w:rsidRPr="00DE650C">
        <w:rPr>
          <w:color w:val="000000" w:themeColor="text1"/>
        </w:rPr>
        <w:t>Navrhované nařízení původně obsahovalo jednak nové „samostatné nařízení“, mimo jiné zřizující Evropské středisko pro boj proti převaděčství,</w:t>
      </w:r>
      <w:r w:rsidR="00CC0AED">
        <w:rPr>
          <w:color w:val="000000" w:themeColor="text1"/>
        </w:rPr>
        <w:t xml:space="preserve"> a </w:t>
      </w:r>
      <w:r w:rsidRPr="00DE650C">
        <w:rPr>
          <w:color w:val="000000" w:themeColor="text1"/>
        </w:rPr>
        <w:t>jednak cílené změny stávajícího mandátu Europolu (nařízení (EU) 2016/794</w:t>
      </w:r>
      <w:r w:rsidRPr="00DE650C">
        <w:rPr>
          <w:color w:val="000000" w:themeColor="text1"/>
          <w:vertAlign w:val="superscript"/>
        </w:rPr>
        <w:footnoteReference w:id="1"/>
      </w:r>
      <w:r w:rsidRPr="00DE650C">
        <w:rPr>
          <w:color w:val="000000" w:themeColor="text1"/>
        </w:rPr>
        <w:t>, dále jen „nařízení</w:t>
      </w:r>
      <w:r w:rsidR="00CC0AED">
        <w:rPr>
          <w:color w:val="000000" w:themeColor="text1"/>
        </w:rPr>
        <w:t xml:space="preserve"> o </w:t>
      </w:r>
      <w:r w:rsidRPr="00DE650C">
        <w:rPr>
          <w:color w:val="000000" w:themeColor="text1"/>
        </w:rPr>
        <w:t xml:space="preserve">Europolu“). </w:t>
      </w:r>
      <w:r w:rsidRPr="00DE650C">
        <w:t xml:space="preserve">Navrhované </w:t>
      </w:r>
      <w:r w:rsidRPr="00DE650C">
        <w:lastRenderedPageBreak/>
        <w:t>nařízení bylo založeno na čl. 85 odst. 1, čl. 87 odst. 2</w:t>
      </w:r>
      <w:r w:rsidR="00CC0AED">
        <w:t xml:space="preserve"> a </w:t>
      </w:r>
      <w:r w:rsidRPr="00DE650C">
        <w:t>čl. 88 odst. 2 Smlouvy</w:t>
      </w:r>
      <w:r w:rsidR="00CC0AED">
        <w:t xml:space="preserve"> o </w:t>
      </w:r>
      <w:r w:rsidRPr="00DE650C">
        <w:t>fungování Evropské unie (SFEU).</w:t>
      </w:r>
      <w:r w:rsidRPr="00DE650C">
        <w:rPr>
          <w:color w:val="000000" w:themeColor="text1"/>
        </w:rPr>
        <w:t xml:space="preserve"> Výbor LIBE právní základ navržený Komisí nezměnil.</w:t>
      </w:r>
    </w:p>
    <w:p w14:paraId="7383E154" w14:textId="751A0916" w:rsidR="00405B0E" w:rsidRPr="00DE650C" w:rsidRDefault="00405B0E" w:rsidP="00FA1413">
      <w:pPr>
        <w:widowControl/>
        <w:spacing w:before="100" w:beforeAutospacing="1" w:after="100" w:afterAutospacing="1"/>
        <w:rPr>
          <w:color w:val="000000" w:themeColor="text1"/>
        </w:rPr>
      </w:pPr>
      <w:r w:rsidRPr="00DE650C">
        <w:rPr>
          <w:color w:val="000000" w:themeColor="text1"/>
        </w:rPr>
        <w:t>Ve svých mandátech pro interinstitucionální jednání se Parlament</w:t>
      </w:r>
      <w:r w:rsidR="00CC0AED">
        <w:rPr>
          <w:color w:val="000000" w:themeColor="text1"/>
        </w:rPr>
        <w:t xml:space="preserve"> i </w:t>
      </w:r>
      <w:r w:rsidRPr="00DE650C">
        <w:rPr>
          <w:color w:val="000000" w:themeColor="text1"/>
        </w:rPr>
        <w:t>Rada rozhodly omezit oblast působnosti navrhovaného nařízení na změny stávajícího mandátu Europolu, ale právní základ ponechaly beze změny. Během interinstitucionálních jednání se na tomto omezení cíle</w:t>
      </w:r>
      <w:r w:rsidR="00CC0AED">
        <w:rPr>
          <w:color w:val="000000" w:themeColor="text1"/>
        </w:rPr>
        <w:t xml:space="preserve"> a </w:t>
      </w:r>
      <w:r w:rsidRPr="00DE650C">
        <w:rPr>
          <w:color w:val="000000" w:themeColor="text1"/>
        </w:rPr>
        <w:t>obsahu navrhovaného nařízení následně předběžně domluvily.</w:t>
      </w:r>
      <w:r w:rsidR="00CC0AED">
        <w:rPr>
          <w:color w:val="000000" w:themeColor="text1"/>
        </w:rPr>
        <w:t xml:space="preserve"> V </w:t>
      </w:r>
      <w:r w:rsidRPr="00DE650C">
        <w:rPr>
          <w:color w:val="000000" w:themeColor="text1"/>
        </w:rPr>
        <w:t>důsledku toho se zdálo nezbytné právní základ upravit</w:t>
      </w:r>
      <w:r w:rsidR="00CC0AED">
        <w:rPr>
          <w:color w:val="000000" w:themeColor="text1"/>
        </w:rPr>
        <w:t xml:space="preserve"> a </w:t>
      </w:r>
      <w:r w:rsidRPr="00DE650C">
        <w:rPr>
          <w:color w:val="000000" w:themeColor="text1"/>
        </w:rPr>
        <w:t>akt založit pouze na čl. 88 odst. 2 SFEU, tj. vypustit čl. 85 odst. 1</w:t>
      </w:r>
      <w:r w:rsidR="00CC0AED">
        <w:rPr>
          <w:color w:val="000000" w:themeColor="text1"/>
        </w:rPr>
        <w:t xml:space="preserve"> a </w:t>
      </w:r>
      <w:r w:rsidRPr="00DE650C">
        <w:rPr>
          <w:color w:val="000000" w:themeColor="text1"/>
        </w:rPr>
        <w:t>čl. 87 odst. 2 SFEU.</w:t>
      </w:r>
    </w:p>
    <w:p w14:paraId="2B6C8D88" w14:textId="1759CF3E" w:rsidR="00405B0E" w:rsidRPr="00DE650C" w:rsidRDefault="00405B0E" w:rsidP="00FA1413">
      <w:pPr>
        <w:widowControl/>
        <w:spacing w:before="100" w:beforeAutospacing="1" w:after="100" w:afterAutospacing="1"/>
      </w:pPr>
      <w:r w:rsidRPr="00DE650C">
        <w:rPr>
          <w:color w:val="000000" w:themeColor="text1"/>
        </w:rPr>
        <w:t>Výbor LIBE proto</w:t>
      </w:r>
      <w:r w:rsidR="00CC0AED">
        <w:rPr>
          <w:color w:val="000000" w:themeColor="text1"/>
        </w:rPr>
        <w:t xml:space="preserve"> v </w:t>
      </w:r>
      <w:r w:rsidRPr="00DE650C">
        <w:rPr>
          <w:color w:val="000000" w:themeColor="text1"/>
        </w:rPr>
        <w:t>souladu</w:t>
      </w:r>
      <w:r w:rsidR="00CC0AED">
        <w:rPr>
          <w:color w:val="000000" w:themeColor="text1"/>
        </w:rPr>
        <w:t xml:space="preserve"> s </w:t>
      </w:r>
      <w:r w:rsidRPr="00DE650C">
        <w:rPr>
          <w:color w:val="000000" w:themeColor="text1"/>
        </w:rPr>
        <w:t>čl. 41 odst. 2 žádá výbor JURI</w:t>
      </w:r>
      <w:r w:rsidR="00CC0AED">
        <w:rPr>
          <w:color w:val="000000" w:themeColor="text1"/>
        </w:rPr>
        <w:t xml:space="preserve"> o </w:t>
      </w:r>
      <w:r w:rsidRPr="00DE650C">
        <w:rPr>
          <w:color w:val="000000" w:themeColor="text1"/>
        </w:rPr>
        <w:t>stanovisko</w:t>
      </w:r>
      <w:r w:rsidR="00CC0AED">
        <w:rPr>
          <w:color w:val="000000" w:themeColor="text1"/>
        </w:rPr>
        <w:t xml:space="preserve"> k </w:t>
      </w:r>
      <w:r w:rsidRPr="00DE650C">
        <w:rPr>
          <w:color w:val="000000" w:themeColor="text1"/>
        </w:rPr>
        <w:t>vhodnosti takto změněného právního základu.</w:t>
      </w:r>
    </w:p>
    <w:p w14:paraId="7E7E5718" w14:textId="77777777" w:rsidR="00405B0E" w:rsidRPr="00DE650C" w:rsidRDefault="00405B0E" w:rsidP="00FA1413">
      <w:pPr>
        <w:widowControl/>
        <w:tabs>
          <w:tab w:val="left" w:pos="567"/>
          <w:tab w:val="left" w:pos="7014"/>
        </w:tabs>
        <w:spacing w:before="100" w:beforeAutospacing="1" w:after="100" w:afterAutospacing="1"/>
        <w:ind w:left="567" w:hanging="567"/>
        <w:rPr>
          <w:rStyle w:val="Nessuno"/>
          <w:b/>
          <w:bCs/>
        </w:rPr>
      </w:pPr>
      <w:r w:rsidRPr="00DE650C">
        <w:rPr>
          <w:b/>
          <w:u w:val="single"/>
        </w:rPr>
        <w:t>II – Příslušné články Smlouvy</w:t>
      </w:r>
    </w:p>
    <w:p w14:paraId="67F26DF2" w14:textId="39EE4FFA" w:rsidR="00405B0E" w:rsidRPr="008B66F2" w:rsidRDefault="00DE650C" w:rsidP="00FA1413">
      <w:pPr>
        <w:widowControl/>
        <w:tabs>
          <w:tab w:val="left" w:pos="7014"/>
        </w:tabs>
        <w:spacing w:before="100" w:beforeAutospacing="1" w:after="100" w:afterAutospacing="1"/>
        <w:rPr>
          <w:rStyle w:val="Nessuno"/>
          <w:bCs/>
        </w:rPr>
      </w:pPr>
      <w:r w:rsidRPr="00DE650C">
        <w:rPr>
          <w:rStyle w:val="Nessuno"/>
        </w:rPr>
        <w:t>V</w:t>
      </w:r>
      <w:r>
        <w:rPr>
          <w:rStyle w:val="Nessuno"/>
        </w:rPr>
        <w:t> </w:t>
      </w:r>
      <w:r w:rsidR="00405B0E" w:rsidRPr="00DE650C">
        <w:rPr>
          <w:rStyle w:val="Nessuno"/>
        </w:rPr>
        <w:t>části třetí hlavě</w:t>
      </w:r>
      <w:r w:rsidR="00CC0AED">
        <w:rPr>
          <w:rStyle w:val="Nessuno"/>
        </w:rPr>
        <w:t xml:space="preserve"> V </w:t>
      </w:r>
      <w:r w:rsidR="00405B0E" w:rsidRPr="00DE650C">
        <w:rPr>
          <w:rStyle w:val="Nessuno"/>
        </w:rPr>
        <w:t>kapitole 4 („Soudní spolupráce</w:t>
      </w:r>
      <w:r w:rsidR="00CC0AED">
        <w:rPr>
          <w:rStyle w:val="Nessuno"/>
        </w:rPr>
        <w:t xml:space="preserve"> v </w:t>
      </w:r>
      <w:r w:rsidR="00405B0E" w:rsidRPr="00DE650C">
        <w:rPr>
          <w:rStyle w:val="Nessuno"/>
        </w:rPr>
        <w:t>trestních věcech“) se mimo jiné stanoví (zdůraznění doplněno):</w:t>
      </w:r>
    </w:p>
    <w:p w14:paraId="3195B67C" w14:textId="7B0DC9EF" w:rsidR="00405B0E" w:rsidRPr="00DE650C" w:rsidRDefault="00405B0E" w:rsidP="00FA1413">
      <w:pPr>
        <w:widowControl/>
        <w:tabs>
          <w:tab w:val="left" w:pos="7014"/>
        </w:tabs>
        <w:spacing w:before="100" w:beforeAutospacing="1" w:after="100" w:afterAutospacing="1"/>
        <w:jc w:val="center"/>
        <w:rPr>
          <w:rStyle w:val="Nessuno"/>
          <w:bCs/>
          <w:i/>
        </w:rPr>
      </w:pPr>
      <w:r w:rsidRPr="00DE650C">
        <w:rPr>
          <w:rStyle w:val="Nessuno"/>
          <w:i/>
        </w:rPr>
        <w:t>Článek 85</w:t>
      </w:r>
      <w:r w:rsidR="008B66F2">
        <w:rPr>
          <w:rStyle w:val="Nessuno"/>
          <w:i/>
        </w:rPr>
        <w:br/>
      </w:r>
      <w:r w:rsidRPr="00DE650C">
        <w:rPr>
          <w:i/>
        </w:rPr>
        <w:t>(bývalý článek 31 Smlouvy</w:t>
      </w:r>
      <w:r w:rsidR="00CC0AED">
        <w:rPr>
          <w:i/>
        </w:rPr>
        <w:t xml:space="preserve"> o </w:t>
      </w:r>
      <w:r w:rsidRPr="00DE650C">
        <w:rPr>
          <w:i/>
        </w:rPr>
        <w:t>EU)</w:t>
      </w:r>
    </w:p>
    <w:p w14:paraId="2E7998D9" w14:textId="70AA003D" w:rsidR="00405B0E" w:rsidRPr="00DE650C" w:rsidRDefault="00405B0E" w:rsidP="00FA1413">
      <w:pPr>
        <w:widowControl/>
        <w:tabs>
          <w:tab w:val="left" w:pos="7014"/>
        </w:tabs>
        <w:spacing w:before="100" w:beforeAutospacing="1" w:after="100" w:afterAutospacing="1"/>
        <w:ind w:left="426" w:hanging="426"/>
        <w:rPr>
          <w:rStyle w:val="Nessuno"/>
          <w:b/>
          <w:i/>
        </w:rPr>
      </w:pPr>
      <w:r w:rsidRPr="00DE650C">
        <w:rPr>
          <w:rStyle w:val="Nessuno"/>
          <w:b/>
          <w:i/>
        </w:rPr>
        <w:t>1.</w:t>
      </w:r>
      <w:r w:rsidRPr="00DE650C">
        <w:rPr>
          <w:rStyle w:val="Nessuno"/>
          <w:b/>
          <w:i/>
        </w:rPr>
        <w:tab/>
        <w:t xml:space="preserve">Posláním </w:t>
      </w:r>
      <w:proofErr w:type="spellStart"/>
      <w:r w:rsidRPr="00DE650C">
        <w:rPr>
          <w:rStyle w:val="Nessuno"/>
          <w:b/>
          <w:i/>
        </w:rPr>
        <w:t>Eurojustu</w:t>
      </w:r>
      <w:proofErr w:type="spellEnd"/>
      <w:r w:rsidRPr="00DE650C">
        <w:rPr>
          <w:rStyle w:val="Nessuno"/>
          <w:b/>
          <w:i/>
        </w:rPr>
        <w:t xml:space="preserve"> je podporovat</w:t>
      </w:r>
      <w:r w:rsidR="00CC0AED">
        <w:rPr>
          <w:rStyle w:val="Nessuno"/>
          <w:b/>
          <w:i/>
        </w:rPr>
        <w:t xml:space="preserve"> a </w:t>
      </w:r>
      <w:r w:rsidRPr="00DE650C">
        <w:rPr>
          <w:rStyle w:val="Nessuno"/>
          <w:b/>
          <w:i/>
        </w:rPr>
        <w:t>posilovat koordinaci</w:t>
      </w:r>
      <w:r w:rsidR="00CC0AED">
        <w:rPr>
          <w:rStyle w:val="Nessuno"/>
          <w:b/>
          <w:i/>
        </w:rPr>
        <w:t xml:space="preserve"> a </w:t>
      </w:r>
      <w:r w:rsidRPr="00DE650C">
        <w:rPr>
          <w:rStyle w:val="Nessuno"/>
          <w:b/>
          <w:i/>
        </w:rPr>
        <w:t>spolupráci mezi vnitrostátními orgány pověřenými vyšetřováním</w:t>
      </w:r>
      <w:r w:rsidR="00CC0AED">
        <w:rPr>
          <w:rStyle w:val="Nessuno"/>
          <w:b/>
          <w:i/>
        </w:rPr>
        <w:t xml:space="preserve"> a </w:t>
      </w:r>
      <w:r w:rsidRPr="00DE650C">
        <w:rPr>
          <w:rStyle w:val="Nessuno"/>
          <w:b/>
          <w:i/>
        </w:rPr>
        <w:t>stíháním závažné trestné činnosti, která se dotýká dvou nebo více členských států nebo která vyžaduje stíhání na společném základě,</w:t>
      </w:r>
      <w:r w:rsidR="00CC0AED">
        <w:rPr>
          <w:rStyle w:val="Nessuno"/>
          <w:b/>
          <w:i/>
        </w:rPr>
        <w:t xml:space="preserve"> a </w:t>
      </w:r>
      <w:r w:rsidRPr="00DE650C">
        <w:rPr>
          <w:rStyle w:val="Nessuno"/>
          <w:b/>
          <w:i/>
        </w:rPr>
        <w:t>to na základě operací vedených</w:t>
      </w:r>
      <w:r w:rsidR="00CC0AED">
        <w:rPr>
          <w:rStyle w:val="Nessuno"/>
          <w:b/>
          <w:i/>
        </w:rPr>
        <w:t xml:space="preserve"> a </w:t>
      </w:r>
      <w:r w:rsidRPr="00DE650C">
        <w:rPr>
          <w:rStyle w:val="Nessuno"/>
          <w:b/>
          <w:i/>
        </w:rPr>
        <w:t>informací poskytovaných orgány členských států</w:t>
      </w:r>
      <w:r w:rsidR="00CC0AED">
        <w:rPr>
          <w:rStyle w:val="Nessuno"/>
          <w:b/>
          <w:i/>
        </w:rPr>
        <w:t xml:space="preserve"> a </w:t>
      </w:r>
      <w:r w:rsidRPr="00DE650C">
        <w:rPr>
          <w:rStyle w:val="Nessuno"/>
          <w:b/>
          <w:i/>
        </w:rPr>
        <w:t>Europolem.</w:t>
      </w:r>
    </w:p>
    <w:p w14:paraId="09E9776E" w14:textId="3630D2A5" w:rsidR="00405B0E" w:rsidRPr="00DE650C" w:rsidRDefault="00405B0E" w:rsidP="00FA1413">
      <w:pPr>
        <w:widowControl/>
        <w:tabs>
          <w:tab w:val="left" w:pos="7014"/>
        </w:tabs>
        <w:spacing w:before="100" w:beforeAutospacing="1" w:after="100" w:afterAutospacing="1"/>
        <w:ind w:left="426" w:hanging="426"/>
        <w:rPr>
          <w:rStyle w:val="Nessuno"/>
          <w:b/>
          <w:i/>
        </w:rPr>
      </w:pPr>
      <w:r w:rsidRPr="00DE650C">
        <w:rPr>
          <w:rStyle w:val="Nessuno"/>
          <w:b/>
          <w:i/>
        </w:rPr>
        <w:tab/>
      </w:r>
      <w:r w:rsidR="00DE650C" w:rsidRPr="00DE650C">
        <w:rPr>
          <w:rStyle w:val="Nessuno"/>
          <w:b/>
          <w:i/>
        </w:rPr>
        <w:t>V</w:t>
      </w:r>
      <w:r w:rsidR="00DE650C">
        <w:rPr>
          <w:rStyle w:val="Nessuno"/>
          <w:b/>
          <w:i/>
        </w:rPr>
        <w:t> </w:t>
      </w:r>
      <w:r w:rsidRPr="00DE650C">
        <w:rPr>
          <w:rStyle w:val="Nessuno"/>
          <w:b/>
          <w:i/>
        </w:rPr>
        <w:t>této souvislosti Evropský parlament</w:t>
      </w:r>
      <w:r w:rsidR="00CC0AED">
        <w:rPr>
          <w:rStyle w:val="Nessuno"/>
          <w:b/>
          <w:i/>
        </w:rPr>
        <w:t xml:space="preserve"> a </w:t>
      </w:r>
      <w:r w:rsidRPr="00DE650C">
        <w:rPr>
          <w:rStyle w:val="Nessuno"/>
          <w:b/>
          <w:i/>
        </w:rPr>
        <w:t>Rada vymezí řádným legislativním postupem formou nařízení strukturu, fungování, oblast činnosti</w:t>
      </w:r>
      <w:r w:rsidR="00CC0AED">
        <w:rPr>
          <w:rStyle w:val="Nessuno"/>
          <w:b/>
          <w:i/>
        </w:rPr>
        <w:t xml:space="preserve"> a </w:t>
      </w:r>
      <w:r w:rsidRPr="00DE650C">
        <w:rPr>
          <w:rStyle w:val="Nessuno"/>
          <w:b/>
          <w:i/>
        </w:rPr>
        <w:t xml:space="preserve">úkoly </w:t>
      </w:r>
      <w:proofErr w:type="spellStart"/>
      <w:r w:rsidRPr="00DE650C">
        <w:rPr>
          <w:rStyle w:val="Nessuno"/>
          <w:b/>
          <w:i/>
        </w:rPr>
        <w:t>Eurojustu</w:t>
      </w:r>
      <w:proofErr w:type="spellEnd"/>
      <w:r w:rsidRPr="00DE650C">
        <w:rPr>
          <w:rStyle w:val="Nessuno"/>
          <w:b/>
          <w:i/>
        </w:rPr>
        <w:t>. Tyto úkoly mohou zahrnovat:</w:t>
      </w:r>
    </w:p>
    <w:p w14:paraId="381A5984" w14:textId="7975856A" w:rsidR="00405B0E" w:rsidRPr="00DE650C" w:rsidRDefault="00405B0E" w:rsidP="00FA1413">
      <w:pPr>
        <w:widowControl/>
        <w:tabs>
          <w:tab w:val="left" w:pos="7014"/>
        </w:tabs>
        <w:spacing w:before="100" w:beforeAutospacing="1" w:after="100" w:afterAutospacing="1"/>
        <w:ind w:left="851" w:hanging="425"/>
        <w:rPr>
          <w:rStyle w:val="Nessuno"/>
          <w:b/>
          <w:i/>
        </w:rPr>
      </w:pPr>
      <w:r w:rsidRPr="00DE650C">
        <w:rPr>
          <w:rStyle w:val="Nessuno"/>
          <w:b/>
          <w:i/>
        </w:rPr>
        <w:t xml:space="preserve">a) </w:t>
      </w:r>
      <w:r w:rsidRPr="00DE650C">
        <w:rPr>
          <w:rStyle w:val="Nessuno"/>
          <w:b/>
          <w:i/>
        </w:rPr>
        <w:tab/>
        <w:t>zahájení trestních vyšetřování</w:t>
      </w:r>
      <w:r w:rsidR="00CC0AED">
        <w:rPr>
          <w:rStyle w:val="Nessuno"/>
          <w:b/>
          <w:i/>
        </w:rPr>
        <w:t xml:space="preserve"> a </w:t>
      </w:r>
      <w:r w:rsidRPr="00DE650C">
        <w:rPr>
          <w:rStyle w:val="Nessuno"/>
          <w:b/>
          <w:i/>
        </w:rPr>
        <w:t>navrhování zahájení stíhání, která vedou příslušné vnitrostátní orgány, zejména pokud jde</w:t>
      </w:r>
      <w:r w:rsidR="00CC0AED">
        <w:rPr>
          <w:rStyle w:val="Nessuno"/>
          <w:b/>
          <w:i/>
        </w:rPr>
        <w:t xml:space="preserve"> o </w:t>
      </w:r>
      <w:r w:rsidRPr="00DE650C">
        <w:rPr>
          <w:rStyle w:val="Nessuno"/>
          <w:b/>
          <w:i/>
        </w:rPr>
        <w:t>trestné činy proti finančním zájmům Unie;</w:t>
      </w:r>
    </w:p>
    <w:p w14:paraId="3328B440" w14:textId="33DE5B54" w:rsidR="00405B0E" w:rsidRPr="00DE650C" w:rsidRDefault="00405B0E" w:rsidP="00FA1413">
      <w:pPr>
        <w:widowControl/>
        <w:tabs>
          <w:tab w:val="left" w:pos="7014"/>
        </w:tabs>
        <w:spacing w:before="100" w:beforeAutospacing="1" w:after="100" w:afterAutospacing="1"/>
        <w:ind w:left="851" w:hanging="426"/>
        <w:rPr>
          <w:rStyle w:val="Nessuno"/>
          <w:b/>
          <w:i/>
        </w:rPr>
      </w:pPr>
      <w:r w:rsidRPr="00DE650C">
        <w:rPr>
          <w:rStyle w:val="Nessuno"/>
          <w:b/>
          <w:i/>
        </w:rPr>
        <w:t xml:space="preserve">b) </w:t>
      </w:r>
      <w:r w:rsidRPr="00DE650C">
        <w:rPr>
          <w:rStyle w:val="Nessuno"/>
          <w:b/>
          <w:i/>
        </w:rPr>
        <w:tab/>
        <w:t>koordinaci vyšetřování</w:t>
      </w:r>
      <w:r w:rsidR="00CC0AED">
        <w:rPr>
          <w:rStyle w:val="Nessuno"/>
          <w:b/>
          <w:i/>
        </w:rPr>
        <w:t xml:space="preserve"> a </w:t>
      </w:r>
      <w:r w:rsidRPr="00DE650C">
        <w:rPr>
          <w:rStyle w:val="Nessuno"/>
          <w:b/>
          <w:i/>
        </w:rPr>
        <w:t>stíhání uvedených</w:t>
      </w:r>
      <w:r w:rsidR="00CC0AED">
        <w:rPr>
          <w:rStyle w:val="Nessuno"/>
          <w:b/>
          <w:i/>
        </w:rPr>
        <w:t xml:space="preserve"> v </w:t>
      </w:r>
      <w:r w:rsidRPr="00DE650C">
        <w:rPr>
          <w:rStyle w:val="Nessuno"/>
          <w:b/>
          <w:i/>
        </w:rPr>
        <w:t>písmeni a);</w:t>
      </w:r>
    </w:p>
    <w:p w14:paraId="489D7EA2" w14:textId="794F981D" w:rsidR="00405B0E" w:rsidRPr="00DE650C" w:rsidRDefault="00405B0E" w:rsidP="00FA1413">
      <w:pPr>
        <w:widowControl/>
        <w:tabs>
          <w:tab w:val="left" w:pos="7014"/>
        </w:tabs>
        <w:spacing w:before="100" w:beforeAutospacing="1" w:after="100" w:afterAutospacing="1"/>
        <w:ind w:left="851" w:hanging="426"/>
        <w:rPr>
          <w:rStyle w:val="Nessuno"/>
          <w:b/>
          <w:i/>
        </w:rPr>
      </w:pPr>
      <w:r w:rsidRPr="00DE650C">
        <w:rPr>
          <w:rStyle w:val="Nessuno"/>
          <w:b/>
          <w:i/>
        </w:rPr>
        <w:t xml:space="preserve">c) </w:t>
      </w:r>
      <w:r w:rsidRPr="00DE650C">
        <w:rPr>
          <w:rStyle w:val="Nessuno"/>
          <w:b/>
          <w:i/>
        </w:rPr>
        <w:tab/>
        <w:t>posílení justiční spolupráce, včetně řešení střetů příslušností</w:t>
      </w:r>
      <w:r w:rsidR="00CC0AED">
        <w:rPr>
          <w:rStyle w:val="Nessuno"/>
          <w:b/>
          <w:i/>
        </w:rPr>
        <w:t xml:space="preserve"> a </w:t>
      </w:r>
      <w:r w:rsidRPr="00DE650C">
        <w:rPr>
          <w:rStyle w:val="Nessuno"/>
          <w:b/>
          <w:i/>
        </w:rPr>
        <w:t>úzké spolupráce</w:t>
      </w:r>
      <w:r w:rsidR="00CC0AED">
        <w:rPr>
          <w:rStyle w:val="Nessuno"/>
          <w:b/>
          <w:i/>
        </w:rPr>
        <w:t xml:space="preserve"> s </w:t>
      </w:r>
      <w:r w:rsidRPr="00DE650C">
        <w:rPr>
          <w:rStyle w:val="Nessuno"/>
          <w:b/>
          <w:i/>
        </w:rPr>
        <w:t>Evropskou soudní sítí.</w:t>
      </w:r>
    </w:p>
    <w:p w14:paraId="478D54E7" w14:textId="694D2886" w:rsidR="00405B0E" w:rsidRPr="00DE650C" w:rsidRDefault="00FE5DB7" w:rsidP="00FA1413">
      <w:pPr>
        <w:widowControl/>
        <w:tabs>
          <w:tab w:val="left" w:pos="7014"/>
        </w:tabs>
        <w:spacing w:before="100" w:beforeAutospacing="1" w:after="100" w:afterAutospacing="1"/>
        <w:ind w:left="426" w:hanging="426"/>
        <w:rPr>
          <w:rStyle w:val="Nessuno"/>
          <w:b/>
          <w:bCs/>
          <w:i/>
        </w:rPr>
      </w:pPr>
      <w:r>
        <w:rPr>
          <w:rStyle w:val="Nessuno"/>
          <w:b/>
          <w:i/>
        </w:rPr>
        <w:tab/>
      </w:r>
      <w:r w:rsidR="00405B0E" w:rsidRPr="00DE650C">
        <w:rPr>
          <w:rStyle w:val="Nessuno"/>
          <w:b/>
          <w:i/>
        </w:rPr>
        <w:t>Tato nařízení rovněž stanoví způsoby zapojení Evropského parlamentu</w:t>
      </w:r>
      <w:r w:rsidR="00CC0AED">
        <w:rPr>
          <w:rStyle w:val="Nessuno"/>
          <w:b/>
          <w:i/>
        </w:rPr>
        <w:t xml:space="preserve"> a </w:t>
      </w:r>
      <w:r w:rsidR="00405B0E" w:rsidRPr="00DE650C">
        <w:rPr>
          <w:rStyle w:val="Nessuno"/>
          <w:b/>
          <w:i/>
        </w:rPr>
        <w:t>vnitrostátních parlamentů do hodnocení činnosti Eurojustu.</w:t>
      </w:r>
    </w:p>
    <w:p w14:paraId="36F35FD3" w14:textId="2DD03D9E" w:rsidR="00405B0E" w:rsidRPr="00DE650C" w:rsidRDefault="00FE5DB7" w:rsidP="00FA1413">
      <w:pPr>
        <w:widowControl/>
        <w:tabs>
          <w:tab w:val="left" w:pos="7014"/>
        </w:tabs>
        <w:spacing w:before="100" w:beforeAutospacing="1" w:after="100" w:afterAutospacing="1"/>
        <w:ind w:left="426" w:hanging="426"/>
        <w:rPr>
          <w:rStyle w:val="Nessuno"/>
          <w:bCs/>
          <w:i/>
        </w:rPr>
      </w:pPr>
      <w:r>
        <w:rPr>
          <w:rStyle w:val="Nessuno"/>
          <w:i/>
        </w:rPr>
        <w:tab/>
      </w:r>
      <w:r w:rsidR="00405B0E" w:rsidRPr="00DE650C">
        <w:rPr>
          <w:rStyle w:val="Nessuno"/>
          <w:i/>
        </w:rPr>
        <w:t>(...)</w:t>
      </w:r>
    </w:p>
    <w:p w14:paraId="44870285" w14:textId="5323A2E7" w:rsidR="00405B0E" w:rsidRPr="00DE650C" w:rsidRDefault="00DE650C" w:rsidP="00FA1413">
      <w:pPr>
        <w:keepNext/>
        <w:widowControl/>
        <w:tabs>
          <w:tab w:val="left" w:pos="7014"/>
        </w:tabs>
        <w:spacing w:before="100" w:beforeAutospacing="1" w:after="100" w:afterAutospacing="1"/>
        <w:rPr>
          <w:rStyle w:val="Nessuno"/>
          <w:bCs/>
        </w:rPr>
      </w:pPr>
      <w:r w:rsidRPr="00DE650C">
        <w:rPr>
          <w:rStyle w:val="Nessuno"/>
        </w:rPr>
        <w:lastRenderedPageBreak/>
        <w:t>V</w:t>
      </w:r>
      <w:r>
        <w:rPr>
          <w:rStyle w:val="Nessuno"/>
        </w:rPr>
        <w:t> </w:t>
      </w:r>
      <w:r w:rsidR="00405B0E" w:rsidRPr="00DE650C">
        <w:rPr>
          <w:rStyle w:val="Nessuno"/>
        </w:rPr>
        <w:t>části třetí hlavě</w:t>
      </w:r>
      <w:r w:rsidR="00CC0AED">
        <w:rPr>
          <w:rStyle w:val="Nessuno"/>
        </w:rPr>
        <w:t xml:space="preserve"> V </w:t>
      </w:r>
      <w:r w:rsidR="00405B0E" w:rsidRPr="00DE650C">
        <w:rPr>
          <w:rStyle w:val="Nessuno"/>
        </w:rPr>
        <w:t>kapitole 5 („Policejní spolupráce“) se mimo jiné stanoví (zdůraznění doplněno):</w:t>
      </w:r>
    </w:p>
    <w:p w14:paraId="121FAF0F" w14:textId="15CEAB27" w:rsidR="00405B0E" w:rsidRPr="00DE650C" w:rsidRDefault="00405B0E" w:rsidP="00FA1413">
      <w:pPr>
        <w:widowControl/>
        <w:tabs>
          <w:tab w:val="left" w:pos="7014"/>
        </w:tabs>
        <w:spacing w:before="100" w:beforeAutospacing="1" w:after="100" w:afterAutospacing="1"/>
        <w:jc w:val="center"/>
        <w:rPr>
          <w:rStyle w:val="Nessuno"/>
          <w:bCs/>
          <w:i/>
        </w:rPr>
      </w:pPr>
      <w:r w:rsidRPr="00DE650C">
        <w:rPr>
          <w:rStyle w:val="Nessuno"/>
          <w:i/>
        </w:rPr>
        <w:t>Článek 87</w:t>
      </w:r>
      <w:r w:rsidR="00FE5DB7">
        <w:rPr>
          <w:rStyle w:val="Nessuno"/>
          <w:i/>
        </w:rPr>
        <w:br/>
      </w:r>
      <w:r w:rsidRPr="00DE650C">
        <w:rPr>
          <w:rStyle w:val="Nessuno"/>
          <w:i/>
        </w:rPr>
        <w:t>(bývalý článek 30 Smlouvy</w:t>
      </w:r>
      <w:r w:rsidR="00CC0AED">
        <w:rPr>
          <w:rStyle w:val="Nessuno"/>
          <w:i/>
        </w:rPr>
        <w:t xml:space="preserve"> o </w:t>
      </w:r>
      <w:r w:rsidRPr="00DE650C">
        <w:rPr>
          <w:rStyle w:val="Nessuno"/>
          <w:i/>
        </w:rPr>
        <w:t>EU)</w:t>
      </w:r>
    </w:p>
    <w:p w14:paraId="56B4D13E" w14:textId="3601B02E" w:rsidR="00405B0E" w:rsidRPr="00DE650C" w:rsidRDefault="00405B0E" w:rsidP="00FA1413">
      <w:pPr>
        <w:widowControl/>
        <w:tabs>
          <w:tab w:val="left" w:pos="7014"/>
        </w:tabs>
        <w:spacing w:before="100" w:beforeAutospacing="1" w:after="100" w:afterAutospacing="1"/>
        <w:ind w:left="426" w:hanging="426"/>
        <w:rPr>
          <w:rStyle w:val="Nessuno"/>
          <w:bCs/>
          <w:i/>
        </w:rPr>
      </w:pPr>
      <w:r w:rsidRPr="00DE650C">
        <w:rPr>
          <w:rStyle w:val="Nessuno"/>
          <w:i/>
        </w:rPr>
        <w:t>1.</w:t>
      </w:r>
      <w:r w:rsidRPr="00DE650C">
        <w:rPr>
          <w:rStyle w:val="Nessuno"/>
          <w:i/>
        </w:rPr>
        <w:tab/>
        <w:t>Unie vyvíjí policejní spolupráci, do níž jsou zapojeny všechny příslušné orgány členských států, včetně policie, celních orgánů</w:t>
      </w:r>
      <w:r w:rsidR="00CC0AED">
        <w:rPr>
          <w:rStyle w:val="Nessuno"/>
          <w:i/>
        </w:rPr>
        <w:t xml:space="preserve"> a </w:t>
      </w:r>
      <w:r w:rsidRPr="00DE650C">
        <w:rPr>
          <w:rStyle w:val="Nessuno"/>
          <w:i/>
        </w:rPr>
        <w:t>dalších donucovacích orgánů specializovaných na předcházení trestným činům, jejich odhalování</w:t>
      </w:r>
      <w:r w:rsidR="00CC0AED">
        <w:rPr>
          <w:rStyle w:val="Nessuno"/>
          <w:i/>
        </w:rPr>
        <w:t xml:space="preserve"> a </w:t>
      </w:r>
      <w:r w:rsidRPr="00DE650C">
        <w:rPr>
          <w:rStyle w:val="Nessuno"/>
          <w:i/>
        </w:rPr>
        <w:t>objasňování.</w:t>
      </w:r>
    </w:p>
    <w:p w14:paraId="40B9A0CE" w14:textId="55916B39" w:rsidR="00405B0E" w:rsidRPr="00DE650C" w:rsidRDefault="00405B0E" w:rsidP="00FA1413">
      <w:pPr>
        <w:widowControl/>
        <w:tabs>
          <w:tab w:val="left" w:pos="7014"/>
        </w:tabs>
        <w:spacing w:before="100" w:beforeAutospacing="1" w:after="100" w:afterAutospacing="1"/>
        <w:ind w:left="426" w:hanging="426"/>
        <w:rPr>
          <w:rStyle w:val="Nessuno"/>
          <w:b/>
          <w:i/>
        </w:rPr>
      </w:pPr>
      <w:r w:rsidRPr="00DE650C">
        <w:rPr>
          <w:rStyle w:val="Nessuno"/>
          <w:b/>
          <w:i/>
        </w:rPr>
        <w:t xml:space="preserve">2. </w:t>
      </w:r>
      <w:r w:rsidRPr="00DE650C">
        <w:rPr>
          <w:rStyle w:val="Nessuno"/>
          <w:b/>
          <w:i/>
        </w:rPr>
        <w:tab/>
        <w:t>Pro účely odstavce 1 mohou Evropský parlament</w:t>
      </w:r>
      <w:r w:rsidR="00CC0AED">
        <w:rPr>
          <w:rStyle w:val="Nessuno"/>
          <w:b/>
          <w:i/>
        </w:rPr>
        <w:t xml:space="preserve"> a </w:t>
      </w:r>
      <w:r w:rsidRPr="00DE650C">
        <w:rPr>
          <w:rStyle w:val="Nessuno"/>
          <w:b/>
          <w:i/>
        </w:rPr>
        <w:t>Rada řádným legislativním postupem přijmout opatření týkající se:</w:t>
      </w:r>
    </w:p>
    <w:p w14:paraId="349EB1DD" w14:textId="7E7828B3" w:rsidR="00405B0E" w:rsidRPr="00DE650C" w:rsidRDefault="00405B0E" w:rsidP="00FA1413">
      <w:pPr>
        <w:widowControl/>
        <w:tabs>
          <w:tab w:val="left" w:pos="7014"/>
        </w:tabs>
        <w:spacing w:before="100" w:beforeAutospacing="1" w:after="100" w:afterAutospacing="1"/>
        <w:ind w:left="851" w:hanging="425"/>
        <w:rPr>
          <w:rStyle w:val="Nessuno"/>
          <w:b/>
          <w:i/>
        </w:rPr>
      </w:pPr>
      <w:r w:rsidRPr="00DE650C">
        <w:rPr>
          <w:rStyle w:val="Nessuno"/>
          <w:b/>
          <w:i/>
        </w:rPr>
        <w:t>a)</w:t>
      </w:r>
      <w:r w:rsidRPr="00DE650C">
        <w:rPr>
          <w:rStyle w:val="Nessuno"/>
          <w:b/>
          <w:i/>
        </w:rPr>
        <w:tab/>
        <w:t>shromažďování, uchovávání, zpracovávání, analýzy</w:t>
      </w:r>
      <w:r w:rsidR="00CC0AED">
        <w:rPr>
          <w:rStyle w:val="Nessuno"/>
          <w:b/>
          <w:i/>
        </w:rPr>
        <w:t xml:space="preserve"> a </w:t>
      </w:r>
      <w:r w:rsidRPr="00DE650C">
        <w:rPr>
          <w:rStyle w:val="Nessuno"/>
          <w:b/>
          <w:i/>
        </w:rPr>
        <w:t>výměny příslušných informací;</w:t>
      </w:r>
    </w:p>
    <w:p w14:paraId="568CE647" w14:textId="02C9F3AC" w:rsidR="00405B0E" w:rsidRPr="00DE650C" w:rsidRDefault="00405B0E" w:rsidP="00FA1413">
      <w:pPr>
        <w:widowControl/>
        <w:tabs>
          <w:tab w:val="left" w:pos="7014"/>
        </w:tabs>
        <w:spacing w:before="100" w:beforeAutospacing="1" w:after="100" w:afterAutospacing="1"/>
        <w:ind w:left="851" w:hanging="425"/>
        <w:rPr>
          <w:rStyle w:val="Nessuno"/>
          <w:b/>
          <w:i/>
        </w:rPr>
      </w:pPr>
      <w:r w:rsidRPr="00DE650C">
        <w:rPr>
          <w:rStyle w:val="Nessuno"/>
          <w:b/>
          <w:i/>
        </w:rPr>
        <w:t>b)</w:t>
      </w:r>
      <w:r w:rsidRPr="00DE650C">
        <w:rPr>
          <w:rStyle w:val="Nessuno"/>
          <w:b/>
          <w:i/>
        </w:rPr>
        <w:tab/>
        <w:t>podpory vzdělávání zaměstnanců, jakož</w:t>
      </w:r>
      <w:r w:rsidR="00CC0AED">
        <w:rPr>
          <w:rStyle w:val="Nessuno"/>
          <w:b/>
          <w:i/>
        </w:rPr>
        <w:t xml:space="preserve"> i </w:t>
      </w:r>
      <w:r w:rsidRPr="00DE650C">
        <w:rPr>
          <w:rStyle w:val="Nessuno"/>
          <w:b/>
          <w:i/>
        </w:rPr>
        <w:t>spolupráce týkající se výměny zaměstnanců, prostředků</w:t>
      </w:r>
      <w:r w:rsidR="00CC0AED">
        <w:rPr>
          <w:rStyle w:val="Nessuno"/>
          <w:b/>
          <w:i/>
        </w:rPr>
        <w:t xml:space="preserve"> a </w:t>
      </w:r>
      <w:r w:rsidRPr="00DE650C">
        <w:rPr>
          <w:rStyle w:val="Nessuno"/>
          <w:b/>
          <w:i/>
        </w:rPr>
        <w:t>forenzního výzkumu;</w:t>
      </w:r>
    </w:p>
    <w:p w14:paraId="058D01CD" w14:textId="77777777" w:rsidR="00405B0E" w:rsidRPr="00DE650C" w:rsidRDefault="00405B0E" w:rsidP="00FA1413">
      <w:pPr>
        <w:widowControl/>
        <w:tabs>
          <w:tab w:val="left" w:pos="7014"/>
        </w:tabs>
        <w:spacing w:before="100" w:beforeAutospacing="1" w:after="100" w:afterAutospacing="1"/>
        <w:ind w:left="851" w:hanging="425"/>
        <w:rPr>
          <w:rStyle w:val="Nessuno"/>
          <w:b/>
          <w:i/>
        </w:rPr>
      </w:pPr>
      <w:r w:rsidRPr="00DE650C">
        <w:rPr>
          <w:rStyle w:val="Nessuno"/>
          <w:b/>
          <w:i/>
        </w:rPr>
        <w:t>c)</w:t>
      </w:r>
      <w:r w:rsidRPr="00DE650C">
        <w:rPr>
          <w:rStyle w:val="Nessuno"/>
          <w:b/>
          <w:i/>
        </w:rPr>
        <w:tab/>
        <w:t>společných kriminalistických metod při odhalování závažných forem organizované trestné činnosti.</w:t>
      </w:r>
    </w:p>
    <w:p w14:paraId="1FFB6793" w14:textId="28D89E2E" w:rsidR="00405B0E" w:rsidRPr="00DE650C" w:rsidRDefault="00FE5DB7" w:rsidP="00FA1413">
      <w:pPr>
        <w:widowControl/>
        <w:tabs>
          <w:tab w:val="left" w:pos="426"/>
        </w:tabs>
        <w:spacing w:before="100" w:beforeAutospacing="1" w:after="100" w:afterAutospacing="1"/>
        <w:rPr>
          <w:rStyle w:val="Nessuno"/>
          <w:bCs/>
          <w:i/>
        </w:rPr>
      </w:pPr>
      <w:r>
        <w:rPr>
          <w:rStyle w:val="Nessuno"/>
          <w:i/>
        </w:rPr>
        <w:tab/>
      </w:r>
      <w:r w:rsidR="00405B0E" w:rsidRPr="00DE650C">
        <w:rPr>
          <w:rStyle w:val="Nessuno"/>
          <w:i/>
        </w:rPr>
        <w:t>(...)</w:t>
      </w:r>
    </w:p>
    <w:p w14:paraId="2BC493C1" w14:textId="7912F89A" w:rsidR="00405B0E" w:rsidRPr="00DE650C" w:rsidRDefault="00405B0E" w:rsidP="00FA1413">
      <w:pPr>
        <w:widowControl/>
        <w:tabs>
          <w:tab w:val="left" w:pos="7014"/>
        </w:tabs>
        <w:spacing w:before="100" w:beforeAutospacing="1" w:after="100" w:afterAutospacing="1"/>
        <w:jc w:val="center"/>
        <w:rPr>
          <w:rStyle w:val="Nessuno"/>
          <w:bCs/>
          <w:i/>
        </w:rPr>
      </w:pPr>
      <w:r w:rsidRPr="00DE650C">
        <w:rPr>
          <w:rStyle w:val="Nessuno"/>
          <w:i/>
        </w:rPr>
        <w:t>Článek 88</w:t>
      </w:r>
      <w:r w:rsidR="00FE5DB7">
        <w:rPr>
          <w:rStyle w:val="Nessuno"/>
          <w:i/>
        </w:rPr>
        <w:br/>
      </w:r>
      <w:r w:rsidRPr="00DE650C">
        <w:rPr>
          <w:rStyle w:val="Nessuno"/>
          <w:i/>
        </w:rPr>
        <w:t>(bývalý článek 30 Smlouvy</w:t>
      </w:r>
      <w:r w:rsidR="00CC0AED">
        <w:rPr>
          <w:rStyle w:val="Nessuno"/>
          <w:i/>
        </w:rPr>
        <w:t xml:space="preserve"> o </w:t>
      </w:r>
      <w:r w:rsidRPr="00DE650C">
        <w:rPr>
          <w:rStyle w:val="Nessuno"/>
          <w:i/>
        </w:rPr>
        <w:t>EU)</w:t>
      </w:r>
    </w:p>
    <w:p w14:paraId="55A013A6" w14:textId="4507044F" w:rsidR="00405B0E" w:rsidRPr="00DE650C" w:rsidRDefault="00405B0E" w:rsidP="00FA1413">
      <w:pPr>
        <w:widowControl/>
        <w:tabs>
          <w:tab w:val="left" w:pos="7014"/>
        </w:tabs>
        <w:spacing w:before="100" w:beforeAutospacing="1" w:after="100" w:afterAutospacing="1"/>
        <w:ind w:left="426" w:hanging="426"/>
        <w:rPr>
          <w:rStyle w:val="Nessuno"/>
          <w:bCs/>
          <w:i/>
        </w:rPr>
      </w:pPr>
      <w:r w:rsidRPr="00DE650C">
        <w:rPr>
          <w:rStyle w:val="Nessuno"/>
          <w:i/>
        </w:rPr>
        <w:t xml:space="preserve">1. </w:t>
      </w:r>
      <w:r w:rsidRPr="00DE650C">
        <w:rPr>
          <w:rStyle w:val="Nessuno"/>
          <w:i/>
        </w:rPr>
        <w:tab/>
        <w:t>Posláním Europolu je podporovat</w:t>
      </w:r>
      <w:r w:rsidR="00CC0AED">
        <w:rPr>
          <w:rStyle w:val="Nessuno"/>
          <w:i/>
        </w:rPr>
        <w:t xml:space="preserve"> a </w:t>
      </w:r>
      <w:r w:rsidRPr="00DE650C">
        <w:rPr>
          <w:rStyle w:val="Nessuno"/>
          <w:i/>
        </w:rPr>
        <w:t>posilovat činnost policejních orgánů</w:t>
      </w:r>
      <w:r w:rsidR="00CC0AED">
        <w:rPr>
          <w:rStyle w:val="Nessuno"/>
          <w:i/>
        </w:rPr>
        <w:t xml:space="preserve"> a </w:t>
      </w:r>
      <w:r w:rsidRPr="00DE650C">
        <w:rPr>
          <w:rStyle w:val="Nessuno"/>
          <w:i/>
        </w:rPr>
        <w:t>jiných donucovacích orgánů členských států, jakož</w:t>
      </w:r>
      <w:r w:rsidR="00CC0AED">
        <w:rPr>
          <w:rStyle w:val="Nessuno"/>
          <w:i/>
        </w:rPr>
        <w:t xml:space="preserve"> i </w:t>
      </w:r>
      <w:r w:rsidRPr="00DE650C">
        <w:rPr>
          <w:rStyle w:val="Nessuno"/>
          <w:i/>
        </w:rPr>
        <w:t>jejich vzájemnou spolupráci při předcházení závažné trestné činnosti dotýkající se dvou nebo více členských států, terorismu</w:t>
      </w:r>
      <w:r w:rsidR="00CC0AED">
        <w:rPr>
          <w:rStyle w:val="Nessuno"/>
          <w:i/>
        </w:rPr>
        <w:t xml:space="preserve"> a </w:t>
      </w:r>
      <w:r w:rsidRPr="00DE650C">
        <w:rPr>
          <w:rStyle w:val="Nessuno"/>
          <w:i/>
        </w:rPr>
        <w:t>těm formám trestné činnosti, které se dotýkají společného zájmu, jenž je předmětem některé politiky Unie,</w:t>
      </w:r>
      <w:r w:rsidR="00CC0AED">
        <w:rPr>
          <w:rStyle w:val="Nessuno"/>
          <w:i/>
        </w:rPr>
        <w:t xml:space="preserve"> a </w:t>
      </w:r>
      <w:r w:rsidRPr="00DE650C">
        <w:rPr>
          <w:rStyle w:val="Nessuno"/>
          <w:i/>
        </w:rPr>
        <w:t>při boji proti takové trestné činnosti.</w:t>
      </w:r>
    </w:p>
    <w:p w14:paraId="2B320AE9" w14:textId="0FEC8EE9" w:rsidR="00405B0E" w:rsidRPr="00DE650C" w:rsidRDefault="00405B0E" w:rsidP="00FA1413">
      <w:pPr>
        <w:widowControl/>
        <w:tabs>
          <w:tab w:val="left" w:pos="7014"/>
        </w:tabs>
        <w:spacing w:before="100" w:beforeAutospacing="1" w:after="100" w:afterAutospacing="1"/>
        <w:ind w:left="426" w:hanging="426"/>
        <w:rPr>
          <w:rStyle w:val="Nessuno"/>
          <w:b/>
          <w:i/>
        </w:rPr>
      </w:pPr>
      <w:r w:rsidRPr="00DE650C">
        <w:rPr>
          <w:rStyle w:val="Nessuno"/>
          <w:b/>
          <w:i/>
        </w:rPr>
        <w:t xml:space="preserve">2. </w:t>
      </w:r>
      <w:r w:rsidRPr="00DE650C">
        <w:rPr>
          <w:rStyle w:val="Nessuno"/>
          <w:b/>
          <w:i/>
        </w:rPr>
        <w:tab/>
        <w:t>Evropský parlament</w:t>
      </w:r>
      <w:r w:rsidR="00CC0AED">
        <w:rPr>
          <w:rStyle w:val="Nessuno"/>
          <w:b/>
          <w:i/>
        </w:rPr>
        <w:t xml:space="preserve"> a </w:t>
      </w:r>
      <w:r w:rsidRPr="00DE650C">
        <w:rPr>
          <w:rStyle w:val="Nessuno"/>
          <w:b/>
          <w:i/>
        </w:rPr>
        <w:t>Rada vymezí řádným legislativním postupem formou nařízení strukturu, fungování, oblast činnosti</w:t>
      </w:r>
      <w:r w:rsidR="00CC0AED">
        <w:rPr>
          <w:rStyle w:val="Nessuno"/>
          <w:b/>
          <w:i/>
        </w:rPr>
        <w:t xml:space="preserve"> a </w:t>
      </w:r>
      <w:r w:rsidRPr="00DE650C">
        <w:rPr>
          <w:rStyle w:val="Nessuno"/>
          <w:b/>
          <w:i/>
        </w:rPr>
        <w:t>úkoly Europolu. Tyto úkoly mohou zahrnovat:</w:t>
      </w:r>
    </w:p>
    <w:p w14:paraId="62FB8334" w14:textId="228BF025" w:rsidR="00405B0E" w:rsidRPr="00DE650C" w:rsidRDefault="00405B0E" w:rsidP="00FA1413">
      <w:pPr>
        <w:widowControl/>
        <w:tabs>
          <w:tab w:val="left" w:pos="7014"/>
        </w:tabs>
        <w:spacing w:before="100" w:beforeAutospacing="1" w:after="100" w:afterAutospacing="1"/>
        <w:ind w:left="851" w:hanging="425"/>
        <w:rPr>
          <w:rStyle w:val="Nessuno"/>
          <w:b/>
          <w:i/>
        </w:rPr>
      </w:pPr>
      <w:r w:rsidRPr="00DE650C">
        <w:rPr>
          <w:rStyle w:val="Nessuno"/>
          <w:b/>
          <w:i/>
        </w:rPr>
        <w:t>a)</w:t>
      </w:r>
      <w:r w:rsidRPr="00DE650C">
        <w:rPr>
          <w:rStyle w:val="Nessuno"/>
          <w:b/>
          <w:i/>
        </w:rPr>
        <w:tab/>
        <w:t>shromažďování, uchovávání, zpracovávání, analýzu</w:t>
      </w:r>
      <w:r w:rsidR="00CC0AED">
        <w:rPr>
          <w:rStyle w:val="Nessuno"/>
          <w:b/>
          <w:i/>
        </w:rPr>
        <w:t xml:space="preserve"> a </w:t>
      </w:r>
      <w:r w:rsidRPr="00DE650C">
        <w:rPr>
          <w:rStyle w:val="Nessuno"/>
          <w:b/>
          <w:i/>
        </w:rPr>
        <w:t>výměnu informací předávaných zejména orgány členských států nebo třetích zemí či subjektů;</w:t>
      </w:r>
    </w:p>
    <w:p w14:paraId="264E0550" w14:textId="017D5A94" w:rsidR="00405B0E" w:rsidRPr="00DE650C" w:rsidRDefault="00405B0E" w:rsidP="00FA1413">
      <w:pPr>
        <w:widowControl/>
        <w:tabs>
          <w:tab w:val="left" w:pos="7014"/>
        </w:tabs>
        <w:spacing w:before="100" w:beforeAutospacing="1" w:after="100" w:afterAutospacing="1"/>
        <w:ind w:left="851" w:hanging="425"/>
        <w:rPr>
          <w:rStyle w:val="Nessuno"/>
          <w:b/>
          <w:i/>
        </w:rPr>
      </w:pPr>
      <w:r w:rsidRPr="00DE650C">
        <w:rPr>
          <w:rStyle w:val="Nessuno"/>
          <w:b/>
          <w:i/>
        </w:rPr>
        <w:t>b)</w:t>
      </w:r>
      <w:r w:rsidRPr="00DE650C">
        <w:rPr>
          <w:rStyle w:val="Nessuno"/>
          <w:b/>
          <w:i/>
        </w:rPr>
        <w:tab/>
        <w:t>koordinaci, organizaci</w:t>
      </w:r>
      <w:r w:rsidR="00CC0AED">
        <w:rPr>
          <w:rStyle w:val="Nessuno"/>
          <w:b/>
          <w:i/>
        </w:rPr>
        <w:t xml:space="preserve"> a </w:t>
      </w:r>
      <w:r w:rsidRPr="00DE650C">
        <w:rPr>
          <w:rStyle w:val="Nessuno"/>
          <w:b/>
          <w:i/>
        </w:rPr>
        <w:t>provádění vyšetřování</w:t>
      </w:r>
      <w:r w:rsidR="00CC0AED">
        <w:rPr>
          <w:rStyle w:val="Nessuno"/>
          <w:b/>
          <w:i/>
        </w:rPr>
        <w:t xml:space="preserve"> a </w:t>
      </w:r>
      <w:r w:rsidRPr="00DE650C">
        <w:rPr>
          <w:rStyle w:val="Nessuno"/>
          <w:b/>
          <w:i/>
        </w:rPr>
        <w:t>operativních akcí, vedených společně</w:t>
      </w:r>
      <w:r w:rsidR="00CC0AED">
        <w:rPr>
          <w:rStyle w:val="Nessuno"/>
          <w:b/>
          <w:i/>
        </w:rPr>
        <w:t xml:space="preserve"> s </w:t>
      </w:r>
      <w:r w:rsidRPr="00DE650C">
        <w:rPr>
          <w:rStyle w:val="Nessuno"/>
          <w:b/>
          <w:i/>
        </w:rPr>
        <w:t>příslušnými orgány členských států nebo</w:t>
      </w:r>
      <w:r w:rsidR="00CC0AED">
        <w:rPr>
          <w:rStyle w:val="Nessuno"/>
          <w:b/>
          <w:i/>
        </w:rPr>
        <w:t xml:space="preserve"> v </w:t>
      </w:r>
      <w:r w:rsidRPr="00DE650C">
        <w:rPr>
          <w:rStyle w:val="Nessuno"/>
          <w:b/>
          <w:i/>
        </w:rPr>
        <w:t>rámci společných vyšetřovacích týmů, případně ve spojení</w:t>
      </w:r>
      <w:r w:rsidR="00CC0AED">
        <w:rPr>
          <w:rStyle w:val="Nessuno"/>
          <w:b/>
          <w:i/>
        </w:rPr>
        <w:t xml:space="preserve"> s </w:t>
      </w:r>
      <w:proofErr w:type="spellStart"/>
      <w:r w:rsidRPr="00DE650C">
        <w:rPr>
          <w:rStyle w:val="Nessuno"/>
          <w:b/>
          <w:i/>
        </w:rPr>
        <w:t>Eurojustem</w:t>
      </w:r>
      <w:proofErr w:type="spellEnd"/>
      <w:r w:rsidRPr="00DE650C">
        <w:rPr>
          <w:rStyle w:val="Nessuno"/>
          <w:b/>
          <w:i/>
        </w:rPr>
        <w:t>.</w:t>
      </w:r>
    </w:p>
    <w:p w14:paraId="0A6DA049" w14:textId="77777777" w:rsidR="00405B0E" w:rsidRPr="00DE650C" w:rsidRDefault="00405B0E" w:rsidP="00FA1413">
      <w:pPr>
        <w:widowControl/>
        <w:tabs>
          <w:tab w:val="left" w:pos="7014"/>
        </w:tabs>
        <w:spacing w:before="100" w:beforeAutospacing="1" w:after="100" w:afterAutospacing="1"/>
        <w:ind w:left="426" w:hanging="426"/>
        <w:rPr>
          <w:rStyle w:val="Nessuno"/>
          <w:b/>
          <w:i/>
        </w:rPr>
      </w:pPr>
      <w:r w:rsidRPr="00DE650C">
        <w:rPr>
          <w:rStyle w:val="Nessuno"/>
          <w:b/>
          <w:i/>
        </w:rPr>
        <w:tab/>
        <w:t>Tato nařízení rovněž stanoví způsoby kontroly činností Europolu Evropským parlamentem, do které jsou zapojeny vnitrostátní parlamenty.</w:t>
      </w:r>
    </w:p>
    <w:p w14:paraId="728A3230" w14:textId="18A66C4D" w:rsidR="00405B0E" w:rsidRPr="00DE650C" w:rsidRDefault="00405B0E" w:rsidP="00FA1413">
      <w:pPr>
        <w:widowControl/>
        <w:spacing w:before="100" w:beforeAutospacing="1" w:after="100" w:afterAutospacing="1"/>
        <w:ind w:left="425" w:hanging="425"/>
        <w:rPr>
          <w:rStyle w:val="Nessuno"/>
          <w:b/>
          <w:bCs/>
          <w:i/>
        </w:rPr>
      </w:pPr>
      <w:r w:rsidRPr="00DE650C">
        <w:rPr>
          <w:rStyle w:val="Nessuno"/>
          <w:i/>
        </w:rPr>
        <w:t>3.</w:t>
      </w:r>
      <w:r w:rsidRPr="00DE650C">
        <w:rPr>
          <w:rStyle w:val="Nessuno"/>
          <w:i/>
        </w:rPr>
        <w:tab/>
        <w:t>Jakákoli operativní akce Europolu musí být vedena ve spojení</w:t>
      </w:r>
      <w:r w:rsidR="00CC0AED">
        <w:rPr>
          <w:rStyle w:val="Nessuno"/>
          <w:i/>
        </w:rPr>
        <w:t xml:space="preserve"> a </w:t>
      </w:r>
      <w:r w:rsidRPr="00DE650C">
        <w:rPr>
          <w:rStyle w:val="Nessuno"/>
          <w:i/>
        </w:rPr>
        <w:t>po dohodě</w:t>
      </w:r>
      <w:r w:rsidR="00CC0AED">
        <w:rPr>
          <w:rStyle w:val="Nessuno"/>
          <w:i/>
        </w:rPr>
        <w:t xml:space="preserve"> s </w:t>
      </w:r>
      <w:r w:rsidRPr="00DE650C">
        <w:rPr>
          <w:rStyle w:val="Nessuno"/>
          <w:i/>
        </w:rPr>
        <w:t>orgány členských států, jejichž území se týká. Používání donucovacích opatření spadá výlučně do pravomoci příslušných vnitrostátních orgánů.</w:t>
      </w:r>
    </w:p>
    <w:p w14:paraId="4A41F6E1" w14:textId="77777777" w:rsidR="00405B0E" w:rsidRPr="00DE650C" w:rsidRDefault="00405B0E" w:rsidP="00FA1413">
      <w:pPr>
        <w:keepNext/>
        <w:widowControl/>
        <w:spacing w:before="100" w:beforeAutospacing="1" w:after="100" w:afterAutospacing="1"/>
        <w:jc w:val="both"/>
        <w:rPr>
          <w:b/>
          <w:u w:val="single"/>
        </w:rPr>
      </w:pPr>
      <w:r w:rsidRPr="00DE650C">
        <w:rPr>
          <w:b/>
          <w:u w:val="single"/>
        </w:rPr>
        <w:t>III – Judikatura Soudního dvora EU ve věci volby právního základu</w:t>
      </w:r>
    </w:p>
    <w:p w14:paraId="5FA8EDA1" w14:textId="6BD1D796" w:rsidR="00405B0E" w:rsidRPr="00DE650C" w:rsidRDefault="00405B0E" w:rsidP="00FA1413">
      <w:pPr>
        <w:pStyle w:val="Point123"/>
        <w:numPr>
          <w:ilvl w:val="0"/>
          <w:numId w:val="0"/>
        </w:numPr>
        <w:spacing w:before="100" w:beforeAutospacing="1" w:after="100" w:afterAutospacing="1" w:line="240" w:lineRule="auto"/>
        <w:rPr>
          <w:color w:val="000000" w:themeColor="text1"/>
        </w:rPr>
      </w:pPr>
      <w:r w:rsidRPr="00DE650C">
        <w:rPr>
          <w:color w:val="000000" w:themeColor="text1"/>
        </w:rPr>
        <w:t>Soudní dvůr otázku vhodného právního základu tradičně vnímá jako věc ústavního významu, jež má zaručit dodržování zásady svěřených pravomocí (článek 5 Smlouvy</w:t>
      </w:r>
      <w:r w:rsidR="00CC0AED">
        <w:rPr>
          <w:color w:val="000000" w:themeColor="text1"/>
        </w:rPr>
        <w:t xml:space="preserve"> o </w:t>
      </w:r>
      <w:r w:rsidRPr="00DE650C">
        <w:rPr>
          <w:color w:val="000000" w:themeColor="text1"/>
        </w:rPr>
        <w:t>Evropské unii)</w:t>
      </w:r>
      <w:r w:rsidR="00CC0AED">
        <w:rPr>
          <w:color w:val="000000" w:themeColor="text1"/>
        </w:rPr>
        <w:t xml:space="preserve"> a </w:t>
      </w:r>
      <w:r w:rsidRPr="00DE650C">
        <w:rPr>
          <w:color w:val="000000" w:themeColor="text1"/>
        </w:rPr>
        <w:t>stanovit charakter</w:t>
      </w:r>
      <w:r w:rsidR="00CC0AED">
        <w:rPr>
          <w:color w:val="000000" w:themeColor="text1"/>
        </w:rPr>
        <w:t xml:space="preserve"> a </w:t>
      </w:r>
      <w:r w:rsidRPr="00DE650C">
        <w:rPr>
          <w:color w:val="000000" w:themeColor="text1"/>
        </w:rPr>
        <w:t>rozsah kompetence Unie</w:t>
      </w:r>
      <w:r w:rsidRPr="00DE650C">
        <w:rPr>
          <w:color w:val="000000" w:themeColor="text1"/>
          <w:vertAlign w:val="superscript"/>
        </w:rPr>
        <w:footnoteReference w:id="2"/>
      </w:r>
      <w:r w:rsidRPr="00DE650C">
        <w:rPr>
          <w:color w:val="000000" w:themeColor="text1"/>
        </w:rPr>
        <w:t>.</w:t>
      </w:r>
    </w:p>
    <w:p w14:paraId="1A9E2AEC" w14:textId="030AEBEC" w:rsidR="00405B0E" w:rsidRPr="00DE650C" w:rsidRDefault="00405B0E" w:rsidP="00FA1413">
      <w:pPr>
        <w:pStyle w:val="Point123"/>
        <w:numPr>
          <w:ilvl w:val="0"/>
          <w:numId w:val="0"/>
        </w:numPr>
        <w:spacing w:before="100" w:beforeAutospacing="1" w:after="100" w:afterAutospacing="1" w:line="240" w:lineRule="auto"/>
        <w:rPr>
          <w:color w:val="000000" w:themeColor="text1"/>
          <w:vertAlign w:val="superscript"/>
        </w:rPr>
      </w:pPr>
      <w:r w:rsidRPr="00DE650C">
        <w:rPr>
          <w:color w:val="000000" w:themeColor="text1"/>
        </w:rPr>
        <w:t>Podle ustálené judikatury nezávisí právní základ aktu Unie na přesvědčení orgánu ohledně sledovaného cíle, nýbrž musí být stanoven</w:t>
      </w:r>
      <w:r w:rsidR="00CC0AED">
        <w:rPr>
          <w:color w:val="000000" w:themeColor="text1"/>
        </w:rPr>
        <w:t xml:space="preserve"> v </w:t>
      </w:r>
      <w:r w:rsidRPr="00DE650C">
        <w:rPr>
          <w:color w:val="000000" w:themeColor="text1"/>
        </w:rPr>
        <w:t>souladu</w:t>
      </w:r>
      <w:r w:rsidR="00CC0AED">
        <w:rPr>
          <w:color w:val="000000" w:themeColor="text1"/>
        </w:rPr>
        <w:t xml:space="preserve"> s </w:t>
      </w:r>
      <w:r w:rsidRPr="00DE650C">
        <w:rPr>
          <w:color w:val="000000" w:themeColor="text1"/>
        </w:rPr>
        <w:t>objektivními kritérii, která mohou být předmětem soudního přezkumu,</w:t>
      </w:r>
      <w:r w:rsidR="00CC0AED">
        <w:rPr>
          <w:color w:val="000000" w:themeColor="text1"/>
        </w:rPr>
        <w:t xml:space="preserve"> a </w:t>
      </w:r>
      <w:r w:rsidRPr="00DE650C">
        <w:rPr>
          <w:color w:val="000000" w:themeColor="text1"/>
        </w:rPr>
        <w:t>to zejména včetně cíle</w:t>
      </w:r>
      <w:r w:rsidR="00CC0AED">
        <w:rPr>
          <w:color w:val="000000" w:themeColor="text1"/>
        </w:rPr>
        <w:t xml:space="preserve"> a </w:t>
      </w:r>
      <w:r w:rsidRPr="00DE650C">
        <w:rPr>
          <w:color w:val="000000" w:themeColor="text1"/>
        </w:rPr>
        <w:t>obsahu opatření</w:t>
      </w:r>
      <w:r w:rsidRPr="00DE650C">
        <w:rPr>
          <w:color w:val="000000" w:themeColor="text1"/>
          <w:vertAlign w:val="superscript"/>
        </w:rPr>
        <w:footnoteReference w:id="3"/>
      </w:r>
      <w:r w:rsidRPr="00DE650C">
        <w:rPr>
          <w:color w:val="000000" w:themeColor="text1"/>
        </w:rPr>
        <w:t>.</w:t>
      </w:r>
      <w:r w:rsidRPr="00DE650C">
        <w:rPr>
          <w:color w:val="000000" w:themeColor="text1"/>
          <w:vertAlign w:val="superscript"/>
        </w:rPr>
        <w:t xml:space="preserve"> </w:t>
      </w:r>
    </w:p>
    <w:p w14:paraId="21D172CE" w14:textId="28CCE9F8" w:rsidR="00405B0E" w:rsidRPr="00DE650C" w:rsidRDefault="00405B0E" w:rsidP="00FA1413">
      <w:pPr>
        <w:pStyle w:val="Point123"/>
        <w:numPr>
          <w:ilvl w:val="0"/>
          <w:numId w:val="0"/>
        </w:numPr>
        <w:tabs>
          <w:tab w:val="left" w:pos="720"/>
        </w:tabs>
        <w:spacing w:before="100" w:beforeAutospacing="1" w:after="100" w:afterAutospacing="1" w:line="240" w:lineRule="auto"/>
      </w:pPr>
      <w:r w:rsidRPr="00DE650C">
        <w:rPr>
          <w:color w:val="000000" w:themeColor="text1"/>
        </w:rPr>
        <w:t>Pokud přezkum ukáže, že opatření sleduje dvojí účel nebo že má dvě složky</w:t>
      </w:r>
      <w:r w:rsidR="00CC0AED">
        <w:rPr>
          <w:color w:val="000000" w:themeColor="text1"/>
        </w:rPr>
        <w:t xml:space="preserve"> a </w:t>
      </w:r>
      <w:r w:rsidRPr="00DE650C">
        <w:rPr>
          <w:color w:val="000000" w:themeColor="text1"/>
        </w:rPr>
        <w:t>jeden</w:t>
      </w:r>
      <w:r w:rsidR="00CC0AED">
        <w:rPr>
          <w:color w:val="000000" w:themeColor="text1"/>
        </w:rPr>
        <w:t xml:space="preserve"> z </w:t>
      </w:r>
      <w:r w:rsidRPr="00DE650C">
        <w:rPr>
          <w:color w:val="000000" w:themeColor="text1"/>
        </w:rPr>
        <w:t>těchto účelů nebo jednu</w:t>
      </w:r>
      <w:r w:rsidR="00CC0AED">
        <w:rPr>
          <w:color w:val="000000" w:themeColor="text1"/>
        </w:rPr>
        <w:t xml:space="preserve"> z </w:t>
      </w:r>
      <w:r w:rsidRPr="00DE650C">
        <w:rPr>
          <w:color w:val="000000" w:themeColor="text1"/>
        </w:rPr>
        <w:t>těchto složek je možné označit za hlavní nebo převažující, zatímco druhý účel nebo složka je pouze vedlejší, musí být toto opatření založeno na jediném právním základu,</w:t>
      </w:r>
      <w:r w:rsidR="00CC0AED">
        <w:rPr>
          <w:color w:val="000000" w:themeColor="text1"/>
        </w:rPr>
        <w:t xml:space="preserve"> a </w:t>
      </w:r>
      <w:r w:rsidRPr="00DE650C">
        <w:rPr>
          <w:color w:val="000000" w:themeColor="text1"/>
        </w:rPr>
        <w:t>sice na tom, který je vyžadován hlavním nebo převažujícím účelem nebo složkou</w:t>
      </w:r>
      <w:r w:rsidRPr="00DE650C">
        <w:rPr>
          <w:color w:val="000000" w:themeColor="text1"/>
          <w:vertAlign w:val="superscript"/>
        </w:rPr>
        <w:footnoteReference w:id="4"/>
      </w:r>
      <w:r w:rsidRPr="00DE650C">
        <w:rPr>
          <w:color w:val="000000" w:themeColor="text1"/>
        </w:rPr>
        <w:t>. Pouze výjimečně, pokud se ukáže, že akt sleduje současně řadu cílů, které jsou neoddělitelně spjaty, aniž by jeden</w:t>
      </w:r>
      <w:r w:rsidR="00CC0AED">
        <w:rPr>
          <w:color w:val="000000" w:themeColor="text1"/>
        </w:rPr>
        <w:t xml:space="preserve"> z </w:t>
      </w:r>
      <w:r w:rsidRPr="00DE650C">
        <w:rPr>
          <w:color w:val="000000" w:themeColor="text1"/>
        </w:rPr>
        <w:t>nich byl ve vztahu</w:t>
      </w:r>
      <w:r w:rsidR="00CC0AED">
        <w:rPr>
          <w:color w:val="000000" w:themeColor="text1"/>
        </w:rPr>
        <w:t xml:space="preserve"> k </w:t>
      </w:r>
      <w:r w:rsidRPr="00DE650C">
        <w:rPr>
          <w:color w:val="000000" w:themeColor="text1"/>
        </w:rPr>
        <w:t>ostatním druhotný</w:t>
      </w:r>
      <w:r w:rsidR="00CC0AED">
        <w:rPr>
          <w:color w:val="000000" w:themeColor="text1"/>
        </w:rPr>
        <w:t xml:space="preserve"> a </w:t>
      </w:r>
      <w:r w:rsidRPr="00DE650C">
        <w:rPr>
          <w:color w:val="000000" w:themeColor="text1"/>
        </w:rPr>
        <w:t>nepřímý, může být akt založen na několika různých odpovídajících právních základech</w:t>
      </w:r>
      <w:r w:rsidRPr="00DE650C">
        <w:rPr>
          <w:color w:val="000000" w:themeColor="text1"/>
          <w:vertAlign w:val="superscript"/>
        </w:rPr>
        <w:footnoteReference w:id="5"/>
      </w:r>
      <w:r w:rsidRPr="00DE650C">
        <w:rPr>
          <w:color w:val="000000" w:themeColor="text1"/>
        </w:rPr>
        <w:t>. To je však možné pouze tehdy, pokud postupy stanovené pro příslušné právní základy nejsou neslučitelné</w:t>
      </w:r>
      <w:r w:rsidR="00CC0AED">
        <w:rPr>
          <w:color w:val="000000" w:themeColor="text1"/>
        </w:rPr>
        <w:t xml:space="preserve"> s </w:t>
      </w:r>
      <w:r w:rsidRPr="00DE650C">
        <w:rPr>
          <w:color w:val="000000" w:themeColor="text1"/>
        </w:rPr>
        <w:t>právem Evropského parlamentu</w:t>
      </w:r>
      <w:r w:rsidR="00CC0AED">
        <w:rPr>
          <w:color w:val="000000" w:themeColor="text1"/>
        </w:rPr>
        <w:t xml:space="preserve"> a </w:t>
      </w:r>
      <w:r w:rsidRPr="00DE650C">
        <w:rPr>
          <w:color w:val="000000" w:themeColor="text1"/>
        </w:rPr>
        <w:t>toto právo by se jimi neporušilo</w:t>
      </w:r>
      <w:r w:rsidRPr="00DE650C">
        <w:rPr>
          <w:color w:val="000000" w:themeColor="text1"/>
          <w:vertAlign w:val="superscript"/>
        </w:rPr>
        <w:footnoteReference w:id="6"/>
      </w:r>
      <w:r w:rsidRPr="00DE650C">
        <w:rPr>
          <w:color w:val="000000" w:themeColor="text1"/>
        </w:rPr>
        <w:t>.</w:t>
      </w:r>
    </w:p>
    <w:p w14:paraId="310F79E3" w14:textId="0D027D28" w:rsidR="00405B0E" w:rsidRPr="00DE650C" w:rsidRDefault="00405B0E" w:rsidP="00FA1413">
      <w:pPr>
        <w:widowControl/>
        <w:spacing w:before="100" w:beforeAutospacing="1" w:after="100" w:afterAutospacing="1"/>
        <w:ind w:left="567" w:hanging="567"/>
        <w:jc w:val="both"/>
      </w:pPr>
      <w:r w:rsidRPr="00DE650C">
        <w:rPr>
          <w:b/>
          <w:u w:val="single"/>
        </w:rPr>
        <w:t>IV – Cíl</w:t>
      </w:r>
      <w:r w:rsidR="00CC0AED">
        <w:rPr>
          <w:b/>
          <w:u w:val="single"/>
        </w:rPr>
        <w:t xml:space="preserve"> a </w:t>
      </w:r>
      <w:r w:rsidRPr="00DE650C">
        <w:rPr>
          <w:b/>
          <w:u w:val="single"/>
        </w:rPr>
        <w:t>obsah návrhu nařízení</w:t>
      </w:r>
    </w:p>
    <w:p w14:paraId="39C3C7EA" w14:textId="62BC2495" w:rsidR="00405B0E" w:rsidRPr="00DE650C" w:rsidRDefault="00405B0E" w:rsidP="00FA1413">
      <w:pPr>
        <w:widowControl/>
        <w:spacing w:before="100" w:beforeAutospacing="1" w:after="100" w:afterAutospacing="1"/>
      </w:pPr>
      <w:r w:rsidRPr="00DE650C">
        <w:t>Cílem navrhovaného nařízení</w:t>
      </w:r>
      <w:r w:rsidR="00CC0AED">
        <w:t xml:space="preserve"> v </w:t>
      </w:r>
      <w:r w:rsidRPr="00DE650C">
        <w:t>podobě navržené Komisí bylo posílit úlohu Europolu</w:t>
      </w:r>
      <w:r w:rsidR="00CC0AED">
        <w:t xml:space="preserve"> v </w:t>
      </w:r>
      <w:r w:rsidRPr="00DE650C">
        <w:t>boji proti převaděčství migrantů</w:t>
      </w:r>
      <w:r w:rsidR="00CC0AED">
        <w:t xml:space="preserve"> a </w:t>
      </w:r>
      <w:r w:rsidRPr="00DE650C">
        <w:t>obchodování</w:t>
      </w:r>
      <w:r w:rsidR="00CC0AED">
        <w:t xml:space="preserve"> s </w:t>
      </w:r>
      <w:r w:rsidRPr="00DE650C">
        <w:t>lidmi</w:t>
      </w:r>
      <w:r w:rsidR="00CC0AED">
        <w:t xml:space="preserve"> a </w:t>
      </w:r>
      <w:r w:rsidRPr="00DE650C">
        <w:t>úlohu Evropského střediska pro boj proti převaděčství</w:t>
      </w:r>
      <w:r w:rsidR="00CC0AED">
        <w:t xml:space="preserve"> a </w:t>
      </w:r>
      <w:r w:rsidRPr="00DE650C">
        <w:t>dále posílit spolupráci mezi členskými státy</w:t>
      </w:r>
      <w:r w:rsidR="00CC0AED">
        <w:t xml:space="preserve"> a </w:t>
      </w:r>
      <w:r w:rsidRPr="00DE650C">
        <w:t>Europolem</w:t>
      </w:r>
      <w:r w:rsidR="00CC0AED">
        <w:t xml:space="preserve"> v </w:t>
      </w:r>
      <w:r w:rsidRPr="00DE650C">
        <w:t>oblasti předcházení převaděčství migrantů</w:t>
      </w:r>
      <w:r w:rsidR="00CC0AED">
        <w:t xml:space="preserve"> a </w:t>
      </w:r>
      <w:r w:rsidRPr="00DE650C">
        <w:t>obchodování</w:t>
      </w:r>
      <w:r w:rsidR="00CC0AED">
        <w:t xml:space="preserve"> s </w:t>
      </w:r>
      <w:r w:rsidRPr="00DE650C">
        <w:t>lidmi</w:t>
      </w:r>
      <w:r w:rsidR="00CC0AED">
        <w:t xml:space="preserve"> a </w:t>
      </w:r>
      <w:r w:rsidRPr="00DE650C">
        <w:t>boje proti nim.</w:t>
      </w:r>
    </w:p>
    <w:p w14:paraId="76F92BBB" w14:textId="7C716508" w:rsidR="00405B0E" w:rsidRPr="00DE650C" w:rsidRDefault="00405B0E" w:rsidP="00FA1413">
      <w:pPr>
        <w:widowControl/>
        <w:spacing w:before="100" w:beforeAutospacing="1" w:after="100" w:afterAutospacing="1" w:line="257" w:lineRule="auto"/>
      </w:pPr>
      <w:r w:rsidRPr="00DE650C">
        <w:t>Za účelem dosažení těchto cílů Komise navrhla stanovit pravidla týkající se: a) zřízení Evropského střediska pro boj proti převaděčství (dále jen „středisko“)</w:t>
      </w:r>
      <w:r w:rsidR="00CC0AED">
        <w:t xml:space="preserve"> v </w:t>
      </w:r>
      <w:r w:rsidRPr="00DE650C">
        <w:t>rámci Europolu</w:t>
      </w:r>
      <w:r w:rsidR="00CC0AED">
        <w:t xml:space="preserve"> a </w:t>
      </w:r>
      <w:r w:rsidRPr="00DE650C">
        <w:t>vytvoření rámce správy pro regulaci</w:t>
      </w:r>
      <w:r w:rsidR="00CC0AED">
        <w:t xml:space="preserve"> a </w:t>
      </w:r>
      <w:r w:rsidRPr="00DE650C">
        <w:t>podporu jeho činnosti; b) posílení spolupráce</w:t>
      </w:r>
      <w:r w:rsidR="00CC0AED">
        <w:t xml:space="preserve"> a </w:t>
      </w:r>
      <w:r w:rsidRPr="00DE650C">
        <w:t>koordinace mezi členskými státy, Europolem</w:t>
      </w:r>
      <w:r w:rsidR="00CC0AED">
        <w:t xml:space="preserve"> a </w:t>
      </w:r>
      <w:r w:rsidRPr="00DE650C">
        <w:t>dalšími agenturami Unie; c) posílení výměny informací mezi členskými státy</w:t>
      </w:r>
      <w:r w:rsidR="00CC0AED">
        <w:t xml:space="preserve"> a s </w:t>
      </w:r>
      <w:r w:rsidRPr="00DE650C">
        <w:t>Europolem; d) poskytnutí Europolu nástrojů nezbytných</w:t>
      </w:r>
      <w:r w:rsidR="00CC0AED">
        <w:t xml:space="preserve"> k </w:t>
      </w:r>
      <w:r w:rsidRPr="00DE650C">
        <w:t>podpoře</w:t>
      </w:r>
      <w:r w:rsidR="00CC0AED">
        <w:t xml:space="preserve"> a </w:t>
      </w:r>
      <w:r w:rsidRPr="00DE650C">
        <w:t>posílení činností příslušných orgánů členských států</w:t>
      </w:r>
      <w:r w:rsidR="00CC0AED">
        <w:t xml:space="preserve"> a </w:t>
      </w:r>
      <w:r w:rsidRPr="00DE650C">
        <w:t>jejich vzájemné spolupráce při předcházení trestným činům spadajícím do cílů Europolu</w:t>
      </w:r>
      <w:r w:rsidR="00CC0AED">
        <w:t xml:space="preserve"> a </w:t>
      </w:r>
      <w:r w:rsidRPr="00DE650C">
        <w:t>při boji proti nim; e) posílení spolupráce mezi Europolem</w:t>
      </w:r>
      <w:r w:rsidR="00CC0AED">
        <w:t xml:space="preserve"> a </w:t>
      </w:r>
      <w:r w:rsidRPr="00DE650C">
        <w:t>třetími zeměmi.</w:t>
      </w:r>
    </w:p>
    <w:p w14:paraId="0478534B" w14:textId="528196A0" w:rsidR="00405B0E" w:rsidRPr="00DE650C" w:rsidRDefault="00405B0E" w:rsidP="00FA1413">
      <w:pPr>
        <w:widowControl/>
        <w:autoSpaceDE w:val="0"/>
        <w:autoSpaceDN w:val="0"/>
        <w:adjustRightInd w:val="0"/>
        <w:spacing w:before="100" w:beforeAutospacing="1" w:after="100" w:afterAutospacing="1"/>
      </w:pPr>
      <w:r w:rsidRPr="00DE650C">
        <w:t>Za tímto účelem se navrhované nařízení původně skládalo ze „samostatného nařízení“, kterým se zřizuje středisko</w:t>
      </w:r>
      <w:r w:rsidR="00CC0AED">
        <w:t xml:space="preserve"> v </w:t>
      </w:r>
      <w:r w:rsidRPr="00DE650C">
        <w:t>rámci Europolu</w:t>
      </w:r>
      <w:r w:rsidR="00CC0AED">
        <w:t xml:space="preserve"> a </w:t>
      </w:r>
      <w:r w:rsidRPr="00DE650C">
        <w:t>stanoví podrobná pravidla týkající se jeho složení</w:t>
      </w:r>
      <w:r w:rsidR="00CC0AED">
        <w:t xml:space="preserve"> a </w:t>
      </w:r>
      <w:r w:rsidRPr="00DE650C">
        <w:t>úkolů</w:t>
      </w:r>
      <w:r w:rsidR="00CC0AED">
        <w:t xml:space="preserve"> a </w:t>
      </w:r>
      <w:r w:rsidRPr="00DE650C">
        <w:t>které dále obsahuje ustanovení</w:t>
      </w:r>
      <w:r w:rsidR="00CC0AED">
        <w:t xml:space="preserve"> o </w:t>
      </w:r>
      <w:r w:rsidRPr="00DE650C">
        <w:t>sdílení informací</w:t>
      </w:r>
      <w:r w:rsidR="00CC0AED">
        <w:t xml:space="preserve"> a o </w:t>
      </w:r>
      <w:r w:rsidRPr="00DE650C">
        <w:t>vnitrostátních specializovaných službách pro účely předcházení převaděčství migrantů</w:t>
      </w:r>
      <w:r w:rsidR="00CC0AED">
        <w:t xml:space="preserve"> a </w:t>
      </w:r>
      <w:r w:rsidRPr="00DE650C">
        <w:t>obchodování</w:t>
      </w:r>
      <w:r w:rsidR="00CC0AED">
        <w:t xml:space="preserve"> s </w:t>
      </w:r>
      <w:r w:rsidRPr="00DE650C">
        <w:t>lidmi</w:t>
      </w:r>
      <w:r w:rsidR="00CC0AED">
        <w:t xml:space="preserve"> a </w:t>
      </w:r>
      <w:r w:rsidRPr="00DE650C">
        <w:t>boje proti nim. Vedle toho obsahovalo navrhované nařízení změny nařízení</w:t>
      </w:r>
      <w:r w:rsidR="00CC0AED">
        <w:t xml:space="preserve"> o </w:t>
      </w:r>
      <w:r w:rsidRPr="00DE650C">
        <w:t>Europolu.</w:t>
      </w:r>
    </w:p>
    <w:p w14:paraId="46D5F363" w14:textId="4CD4275C" w:rsidR="00405B0E" w:rsidRPr="00DE650C" w:rsidRDefault="00405B0E" w:rsidP="00FA1413">
      <w:pPr>
        <w:widowControl/>
        <w:spacing w:before="100" w:beforeAutospacing="1" w:after="100" w:afterAutospacing="1"/>
      </w:pPr>
      <w:r w:rsidRPr="00DE650C">
        <w:t>Během interinstitucionálních jednání bylo</w:t>
      </w:r>
      <w:r w:rsidR="00CC0AED">
        <w:t xml:space="preserve"> v </w:t>
      </w:r>
      <w:r w:rsidRPr="00DE650C">
        <w:t>souladu</w:t>
      </w:r>
      <w:r w:rsidR="00CC0AED">
        <w:t xml:space="preserve"> s </w:t>
      </w:r>
      <w:r w:rsidRPr="00DE650C">
        <w:t>příslušnými mandáty Parlamentu</w:t>
      </w:r>
      <w:r w:rsidR="00CC0AED">
        <w:t xml:space="preserve"> a </w:t>
      </w:r>
      <w:r w:rsidRPr="00DE650C">
        <w:t>Rady dohodnuto ty části navrhovaného nařízení, jejichž cílem je vytvořit „samostatné nařízení“, vypustit,</w:t>
      </w:r>
      <w:r w:rsidR="00CC0AED">
        <w:t xml:space="preserve"> a </w:t>
      </w:r>
      <w:r w:rsidRPr="00DE650C">
        <w:t>navrhované nařízení tak přeměnit pouze</w:t>
      </w:r>
      <w:r w:rsidR="00CC0AED">
        <w:t xml:space="preserve"> v </w:t>
      </w:r>
      <w:r w:rsidRPr="00DE650C">
        <w:t>akt, jímž se mění nařízení</w:t>
      </w:r>
      <w:r w:rsidR="00CC0AED">
        <w:t xml:space="preserve"> o </w:t>
      </w:r>
      <w:r w:rsidRPr="00DE650C">
        <w:t xml:space="preserve">Europolu. </w:t>
      </w:r>
    </w:p>
    <w:p w14:paraId="6D720735" w14:textId="04EBDC20" w:rsidR="00405B0E" w:rsidRPr="00DE650C" w:rsidRDefault="00405B0E" w:rsidP="00FA1413">
      <w:pPr>
        <w:pStyle w:val="Point123"/>
        <w:numPr>
          <w:ilvl w:val="0"/>
          <w:numId w:val="0"/>
        </w:numPr>
        <w:tabs>
          <w:tab w:val="left" w:pos="720"/>
        </w:tabs>
        <w:spacing w:before="100" w:beforeAutospacing="1" w:after="100" w:afterAutospacing="1" w:line="240" w:lineRule="auto"/>
      </w:pPr>
      <w:r w:rsidRPr="00DE650C">
        <w:t>Navrhované nařízení ve znění pozměněném spolunormotvůrci se tedy týká výhradně struktury, fungování, oblasti činnosti</w:t>
      </w:r>
      <w:r w:rsidR="00CC0AED">
        <w:t xml:space="preserve"> a </w:t>
      </w:r>
      <w:r w:rsidRPr="00DE650C">
        <w:t>úkolů Europolu. Hlavní cíle navrhovaného nařízení ve znění pozměněném</w:t>
      </w:r>
      <w:r w:rsidR="00CC0AED">
        <w:t xml:space="preserve"> a </w:t>
      </w:r>
      <w:r w:rsidRPr="00DE650C">
        <w:t xml:space="preserve">předběžně dohodnutém </w:t>
      </w:r>
      <w:proofErr w:type="spellStart"/>
      <w:r w:rsidRPr="00DE650C">
        <w:t>spolunormotvůrci</w:t>
      </w:r>
      <w:proofErr w:type="spellEnd"/>
      <w:r w:rsidRPr="00DE650C">
        <w:t xml:space="preserve"> jsou nyní tyto: posílit Europol</w:t>
      </w:r>
      <w:r w:rsidR="00CC0AED">
        <w:t xml:space="preserve"> s </w:t>
      </w:r>
      <w:r w:rsidRPr="00DE650C">
        <w:t>cílem posílit reakci donucovacích orgánů na převaděčství migrantů</w:t>
      </w:r>
      <w:r w:rsidR="00CC0AED">
        <w:t xml:space="preserve"> a </w:t>
      </w:r>
      <w:r w:rsidRPr="00DE650C">
        <w:t>obchodování</w:t>
      </w:r>
      <w:r w:rsidR="00CC0AED">
        <w:t xml:space="preserve"> s </w:t>
      </w:r>
      <w:r w:rsidRPr="00DE650C">
        <w:t>lidmi, posílit úlohu Europolu jako centra Unie pro informace</w:t>
      </w:r>
      <w:r w:rsidR="00CC0AED">
        <w:t xml:space="preserve"> o </w:t>
      </w:r>
      <w:r w:rsidRPr="00DE650C">
        <w:t>trestné činnosti</w:t>
      </w:r>
      <w:r w:rsidR="00CC0AED">
        <w:t xml:space="preserve"> a </w:t>
      </w:r>
      <w:r w:rsidRPr="00DE650C">
        <w:t>jako poskytovatele služeb, zejména poskytnutím zabezpečené sítě pro výměnu údajů, jako je aplikace sítě pro bezpečnou výměnu informací, zajistit, aby si členské státy</w:t>
      </w:r>
      <w:r w:rsidR="00CC0AED">
        <w:t xml:space="preserve"> s </w:t>
      </w:r>
      <w:r w:rsidRPr="00DE650C">
        <w:t>Europolem vyměňovaly informace,</w:t>
      </w:r>
      <w:r w:rsidR="00CC0AED">
        <w:t xml:space="preserve"> a </w:t>
      </w:r>
      <w:r w:rsidRPr="00DE650C">
        <w:t>vyjasnit, že cíle Europolu rovněž výslovně zahrnují porušování omezujících opatření Unie.</w:t>
      </w:r>
    </w:p>
    <w:p w14:paraId="615B270B" w14:textId="77777777" w:rsidR="00405B0E" w:rsidRPr="00DE650C" w:rsidRDefault="00405B0E" w:rsidP="00FA1413">
      <w:pPr>
        <w:widowControl/>
        <w:spacing w:before="100" w:beforeAutospacing="1" w:after="100" w:afterAutospacing="1"/>
        <w:jc w:val="both"/>
        <w:rPr>
          <w:b/>
          <w:u w:val="single"/>
        </w:rPr>
      </w:pPr>
      <w:r w:rsidRPr="00DE650C">
        <w:rPr>
          <w:b/>
          <w:u w:val="single"/>
        </w:rPr>
        <w:t xml:space="preserve">V – Analýza </w:t>
      </w:r>
    </w:p>
    <w:p w14:paraId="00F5BF25" w14:textId="0CB098CC" w:rsidR="00405B0E" w:rsidRPr="00DE650C" w:rsidRDefault="00DE650C" w:rsidP="00FA1413">
      <w:pPr>
        <w:widowControl/>
        <w:spacing w:before="100" w:beforeAutospacing="1" w:after="100" w:afterAutospacing="1"/>
      </w:pPr>
      <w:r w:rsidRPr="00DE650C">
        <w:t>Z</w:t>
      </w:r>
      <w:r>
        <w:t> </w:t>
      </w:r>
      <w:r w:rsidR="00405B0E" w:rsidRPr="00DE650C">
        <w:t>výše uvedeného</w:t>
      </w:r>
      <w:r w:rsidR="00CC0AED">
        <w:t xml:space="preserve"> a z </w:t>
      </w:r>
      <w:r w:rsidR="00405B0E" w:rsidRPr="00DE650C">
        <w:t>přezkumu bodů odůvodnění</w:t>
      </w:r>
      <w:r w:rsidR="00CC0AED">
        <w:t xml:space="preserve"> a </w:t>
      </w:r>
      <w:r w:rsidR="00405B0E" w:rsidRPr="00DE650C">
        <w:t>ustanovení normativní části navrhovaného nařízení, na nichž se spolunormotvůrci předběžně dohodli, vyplývá, že nařízení bylo omezeno tak, aby účinně obsahovalo pouze změny nařízení</w:t>
      </w:r>
      <w:r w:rsidR="00CC0AED">
        <w:t xml:space="preserve"> o </w:t>
      </w:r>
      <w:r w:rsidR="00405B0E" w:rsidRPr="00DE650C">
        <w:t>Europolu. Jeho cíl</w:t>
      </w:r>
      <w:r w:rsidR="00CC0AED">
        <w:t xml:space="preserve"> a </w:t>
      </w:r>
      <w:r w:rsidR="00405B0E" w:rsidRPr="00DE650C">
        <w:t>obsah se tedy nyní týkají pouze struktury, fungování, oblasti činnosti</w:t>
      </w:r>
      <w:r w:rsidR="00CC0AED">
        <w:t xml:space="preserve"> a </w:t>
      </w:r>
      <w:r w:rsidR="00405B0E" w:rsidRPr="00DE650C">
        <w:t>úkolů Europolu.</w:t>
      </w:r>
    </w:p>
    <w:p w14:paraId="560BC544" w14:textId="2ACAC2AA" w:rsidR="00405B0E" w:rsidRPr="00DE650C" w:rsidRDefault="00DE650C" w:rsidP="00FA1413">
      <w:pPr>
        <w:widowControl/>
        <w:spacing w:before="100" w:beforeAutospacing="1" w:after="100" w:afterAutospacing="1"/>
      </w:pPr>
      <w:r w:rsidRPr="00DE650C">
        <w:t>V</w:t>
      </w:r>
      <w:r>
        <w:t> </w:t>
      </w:r>
      <w:r w:rsidR="00405B0E" w:rsidRPr="00DE650C">
        <w:t>souladu</w:t>
      </w:r>
      <w:r w:rsidR="00CC0AED">
        <w:t xml:space="preserve"> s </w:t>
      </w:r>
      <w:r w:rsidR="00405B0E" w:rsidRPr="00DE650C">
        <w:t>čl. 88 odst. 2 SFEU určují Parlament</w:t>
      </w:r>
      <w:r w:rsidR="00CC0AED">
        <w:t xml:space="preserve"> a </w:t>
      </w:r>
      <w:r w:rsidR="00405B0E" w:rsidRPr="00DE650C">
        <w:t>Rada strukturu, fungování, oblast činnosti</w:t>
      </w:r>
      <w:r w:rsidR="00CC0AED">
        <w:t xml:space="preserve"> a </w:t>
      </w:r>
      <w:r w:rsidR="00405B0E" w:rsidRPr="00DE650C">
        <w:t>úkoly Europolu prostřednictvím nařízení přijatých řádným legislativním postupem.</w:t>
      </w:r>
    </w:p>
    <w:p w14:paraId="1C5F8A7E" w14:textId="2D673F71" w:rsidR="00405B0E" w:rsidRPr="00DE650C" w:rsidRDefault="00DE650C" w:rsidP="00FA1413">
      <w:pPr>
        <w:pStyle w:val="Point123"/>
        <w:numPr>
          <w:ilvl w:val="0"/>
          <w:numId w:val="0"/>
        </w:numPr>
        <w:tabs>
          <w:tab w:val="left" w:pos="720"/>
        </w:tabs>
        <w:spacing w:before="100" w:beforeAutospacing="1" w:after="100" w:afterAutospacing="1" w:line="240" w:lineRule="auto"/>
      </w:pPr>
      <w:r w:rsidRPr="00DE650C">
        <w:t>V</w:t>
      </w:r>
      <w:r>
        <w:t> </w:t>
      </w:r>
      <w:r w:rsidR="00405B0E" w:rsidRPr="00DE650C">
        <w:t>souladu</w:t>
      </w:r>
      <w:r w:rsidR="00CC0AED">
        <w:t xml:space="preserve"> s </w:t>
      </w:r>
      <w:r w:rsidR="00405B0E" w:rsidRPr="00DE650C">
        <w:t>výše uvedenou ustálenou judikaturou Soudního dvora musí být tedy opatření založeno na jediném právním základu,</w:t>
      </w:r>
      <w:r w:rsidR="00CC0AED">
        <w:t xml:space="preserve"> a </w:t>
      </w:r>
      <w:r w:rsidR="00405B0E" w:rsidRPr="00DE650C">
        <w:t>sice na tom, který si žádá jeho hlavní účel nebo složka.</w:t>
      </w:r>
    </w:p>
    <w:p w14:paraId="6EAC403A" w14:textId="52B83436" w:rsidR="00405B0E" w:rsidRPr="00DE650C" w:rsidRDefault="00405B0E" w:rsidP="00FA1413">
      <w:pPr>
        <w:widowControl/>
        <w:spacing w:before="100" w:beforeAutospacing="1" w:after="100" w:afterAutospacing="1"/>
        <w:jc w:val="both"/>
        <w:rPr>
          <w:b/>
          <w:u w:val="single"/>
        </w:rPr>
      </w:pPr>
      <w:r w:rsidRPr="00DE650C">
        <w:rPr>
          <w:b/>
          <w:u w:val="single"/>
        </w:rPr>
        <w:t>VI – Závěry</w:t>
      </w:r>
      <w:r w:rsidR="00CC0AED">
        <w:rPr>
          <w:b/>
          <w:u w:val="single"/>
        </w:rPr>
        <w:t xml:space="preserve"> a </w:t>
      </w:r>
      <w:r w:rsidRPr="00DE650C">
        <w:rPr>
          <w:b/>
          <w:u w:val="single"/>
        </w:rPr>
        <w:t>doporučení</w:t>
      </w:r>
    </w:p>
    <w:p w14:paraId="6128D7F2" w14:textId="6BFCD708" w:rsidR="00405B0E" w:rsidRPr="00DE650C" w:rsidRDefault="00405B0E" w:rsidP="00FA1413">
      <w:pPr>
        <w:pStyle w:val="Normal12a"/>
        <w:widowControl/>
        <w:spacing w:before="100" w:beforeAutospacing="1" w:after="100" w:afterAutospacing="1"/>
      </w:pPr>
      <w:r w:rsidRPr="00DE650C">
        <w:t>Výbor pro právní záležitosti proto na své schůzi dne 13. října 2025 jednomyslně (25 hlasy pro) rozhodl</w:t>
      </w:r>
      <w:r w:rsidRPr="00DE650C">
        <w:rPr>
          <w:vertAlign w:val="superscript"/>
        </w:rPr>
        <w:footnoteReference w:id="7"/>
      </w:r>
      <w:r w:rsidRPr="00DE650C">
        <w:t>doporučit Výboru pro občanské svobody, spravedlnost</w:t>
      </w:r>
      <w:r w:rsidR="00CC0AED">
        <w:t xml:space="preserve"> a </w:t>
      </w:r>
      <w:r w:rsidRPr="00DE650C">
        <w:t>vnitřní věci, že jediným vhodným právním základem navrhovaného nařízení ve znění pozměněném</w:t>
      </w:r>
      <w:r w:rsidR="00CC0AED">
        <w:t xml:space="preserve"> a </w:t>
      </w:r>
      <w:r w:rsidRPr="00DE650C">
        <w:t xml:space="preserve">předběžně dohodnutém </w:t>
      </w:r>
      <w:proofErr w:type="spellStart"/>
      <w:r w:rsidRPr="00DE650C">
        <w:t>spolunormotvůrci</w:t>
      </w:r>
      <w:proofErr w:type="spellEnd"/>
      <w:r w:rsidRPr="00DE650C">
        <w:t xml:space="preserve"> během interinstitucionálních jednání je čl. 88 odst. 2 SFEU.</w:t>
      </w:r>
    </w:p>
    <w:p w14:paraId="0BC8AF47" w14:textId="6D2C647E" w:rsidR="007179A7" w:rsidRPr="00DE650C" w:rsidRDefault="00DE650C" w:rsidP="009670F3">
      <w:pPr>
        <w:pStyle w:val="Normal12a"/>
        <w:keepNext/>
      </w:pPr>
      <w:r w:rsidRPr="00DE650C">
        <w:t>S</w:t>
      </w:r>
      <w:r>
        <w:t> </w:t>
      </w:r>
      <w:r w:rsidR="005128DF" w:rsidRPr="00DE650C">
        <w:t>pozdravem</w:t>
      </w:r>
    </w:p>
    <w:p w14:paraId="2CF8DD3C" w14:textId="3E9735C1" w:rsidR="007179A7" w:rsidRPr="00DE650C" w:rsidRDefault="00A5598E">
      <w:pPr>
        <w:pStyle w:val="LetterSignature66b"/>
      </w:pPr>
      <w:r w:rsidRPr="00DE650C">
        <w:t>Ilhan Kyuchyuk</w:t>
      </w:r>
    </w:p>
    <w:sectPr w:rsidR="007179A7" w:rsidRPr="00DE650C" w:rsidSect="00644FA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2C6111" w14:textId="77777777" w:rsidR="005128DF" w:rsidRPr="00EB7BE7" w:rsidRDefault="005128DF">
      <w:r w:rsidRPr="00EB7BE7">
        <w:separator/>
      </w:r>
    </w:p>
  </w:endnote>
  <w:endnote w:type="continuationSeparator" w:id="0">
    <w:p w14:paraId="3D8E9BF9" w14:textId="77777777" w:rsidR="005128DF" w:rsidRPr="00EB7BE7" w:rsidRDefault="005128DF">
      <w:r w:rsidRPr="00EB7B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066C5" w14:textId="77777777" w:rsidR="00644FA1" w:rsidRPr="00EB7BE7" w:rsidRDefault="00644FA1" w:rsidP="00644FA1">
    <w:pPr>
      <w:pStyle w:val="EPFooter"/>
    </w:pPr>
    <w:r w:rsidRPr="00EB7BE7">
      <w:t>PE</w:t>
    </w:r>
    <w:r w:rsidRPr="00EB7BE7">
      <w:rPr>
        <w:rStyle w:val="HideTWBExt"/>
      </w:rPr>
      <w:t>&lt;NoPE&gt;</w:t>
    </w:r>
    <w:r w:rsidRPr="00EB7BE7">
      <w:t>778.317</w:t>
    </w:r>
    <w:r w:rsidRPr="00EB7BE7">
      <w:rPr>
        <w:rStyle w:val="HideTWBExt"/>
      </w:rPr>
      <w:t>&lt;/NoPE&gt;&lt;Version&gt;</w:t>
    </w:r>
    <w:r w:rsidRPr="00EB7BE7">
      <w:t>v02-00</w:t>
    </w:r>
    <w:r w:rsidRPr="00EB7BE7">
      <w:rPr>
        <w:rStyle w:val="HideTWBExt"/>
      </w:rPr>
      <w:t>&lt;/Version&gt;</w:t>
    </w:r>
    <w:r w:rsidRPr="00EB7BE7">
      <w:tab/>
    </w:r>
    <w:r w:rsidRPr="00EB7BE7">
      <w:fldChar w:fldCharType="begin"/>
    </w:r>
    <w:r w:rsidRPr="00EB7BE7">
      <w:instrText xml:space="preserve"> PAGE  \* MERGEFORMAT </w:instrText>
    </w:r>
    <w:r w:rsidRPr="00EB7BE7">
      <w:fldChar w:fldCharType="separate"/>
    </w:r>
    <w:r w:rsidRPr="00EB7BE7">
      <w:rPr>
        <w:noProof/>
      </w:rPr>
      <w:t>2</w:t>
    </w:r>
    <w:r w:rsidRPr="00EB7BE7">
      <w:fldChar w:fldCharType="end"/>
    </w:r>
    <w:r w:rsidRPr="00EB7BE7">
      <w:t>/</w:t>
    </w:r>
    <w:fldSimple w:instr=" NUMPAGES  \* MERGEFORMAT ">
      <w:r w:rsidRPr="00EB7BE7">
        <w:rPr>
          <w:noProof/>
        </w:rPr>
        <w:t>6</w:t>
      </w:r>
    </w:fldSimple>
    <w:r w:rsidRPr="00EB7BE7">
      <w:tab/>
    </w:r>
    <w:r w:rsidRPr="00EB7BE7">
      <w:rPr>
        <w:rStyle w:val="HideTWBExt"/>
      </w:rPr>
      <w:t>&lt;PathFdR&gt;</w:t>
    </w:r>
    <w:r w:rsidRPr="00EB7BE7">
      <w:t>AL\1330969CS.docx</w:t>
    </w:r>
    <w:r w:rsidRPr="00EB7BE7">
      <w:rPr>
        <w:rStyle w:val="HideTWBExt"/>
      </w:rPr>
      <w:t>&lt;/PathFdR&gt;</w:t>
    </w:r>
  </w:p>
  <w:p w14:paraId="0A1C2ED2" w14:textId="3A18865B" w:rsidR="00000C7D" w:rsidRPr="00EB7BE7" w:rsidRDefault="00644FA1" w:rsidP="00644FA1">
    <w:pPr>
      <w:pStyle w:val="EPFooter2"/>
    </w:pPr>
    <w:r w:rsidRPr="00EB7BE7">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D0235" w14:textId="77777777" w:rsidR="00644FA1" w:rsidRPr="00EB7BE7" w:rsidRDefault="00644FA1" w:rsidP="00644FA1">
    <w:pPr>
      <w:pStyle w:val="EPFooter"/>
    </w:pPr>
    <w:r w:rsidRPr="00EB7BE7">
      <w:rPr>
        <w:rStyle w:val="HideTWBExt"/>
      </w:rPr>
      <w:t>&lt;PathFdR&gt;</w:t>
    </w:r>
    <w:r w:rsidRPr="00EB7BE7">
      <w:t>AL\1330969CS.docx</w:t>
    </w:r>
    <w:r w:rsidRPr="00EB7BE7">
      <w:rPr>
        <w:rStyle w:val="HideTWBExt"/>
      </w:rPr>
      <w:t>&lt;/PathFdR&gt;</w:t>
    </w:r>
    <w:r w:rsidRPr="00EB7BE7">
      <w:tab/>
    </w:r>
    <w:r w:rsidRPr="00EB7BE7">
      <w:fldChar w:fldCharType="begin"/>
    </w:r>
    <w:r w:rsidRPr="00EB7BE7">
      <w:instrText xml:space="preserve"> PAGE  \* MERGEFORMAT </w:instrText>
    </w:r>
    <w:r w:rsidRPr="00EB7BE7">
      <w:fldChar w:fldCharType="separate"/>
    </w:r>
    <w:r w:rsidRPr="00EB7BE7">
      <w:rPr>
        <w:noProof/>
      </w:rPr>
      <w:t>3</w:t>
    </w:r>
    <w:r w:rsidRPr="00EB7BE7">
      <w:fldChar w:fldCharType="end"/>
    </w:r>
    <w:r w:rsidRPr="00EB7BE7">
      <w:t>/</w:t>
    </w:r>
    <w:fldSimple w:instr=" NUMPAGES  \* MERGEFORMAT ">
      <w:r w:rsidRPr="00EB7BE7">
        <w:rPr>
          <w:noProof/>
        </w:rPr>
        <w:t>6</w:t>
      </w:r>
    </w:fldSimple>
    <w:r w:rsidRPr="00EB7BE7">
      <w:tab/>
      <w:t>PE</w:t>
    </w:r>
    <w:r w:rsidRPr="00EB7BE7">
      <w:rPr>
        <w:rStyle w:val="HideTWBExt"/>
      </w:rPr>
      <w:t>&lt;NoPE&gt;</w:t>
    </w:r>
    <w:r w:rsidRPr="00EB7BE7">
      <w:t>778.317</w:t>
    </w:r>
    <w:r w:rsidRPr="00EB7BE7">
      <w:rPr>
        <w:rStyle w:val="HideTWBExt"/>
      </w:rPr>
      <w:t>&lt;/NoPE&gt;&lt;Version&gt;</w:t>
    </w:r>
    <w:r w:rsidRPr="00EB7BE7">
      <w:t>v02-00</w:t>
    </w:r>
    <w:r w:rsidRPr="00EB7BE7">
      <w:rPr>
        <w:rStyle w:val="HideTWBExt"/>
      </w:rPr>
      <w:t>&lt;/Version&gt;</w:t>
    </w:r>
  </w:p>
  <w:p w14:paraId="1A800D0D" w14:textId="0A92DBF9" w:rsidR="00000C7D" w:rsidRPr="00EB7BE7" w:rsidRDefault="00644FA1" w:rsidP="00644FA1">
    <w:pPr>
      <w:pStyle w:val="EPFooter2"/>
    </w:pPr>
    <w:r w:rsidRPr="00EB7BE7">
      <w:tab/>
    </w:r>
    <w:r w:rsidRPr="00EB7BE7">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4D033" w14:textId="77777777" w:rsidR="00644FA1" w:rsidRPr="00EB7BE7" w:rsidRDefault="00644FA1" w:rsidP="00644FA1">
    <w:pPr>
      <w:pStyle w:val="EPFooter"/>
    </w:pPr>
    <w:r w:rsidRPr="00EB7BE7">
      <w:rPr>
        <w:rStyle w:val="HideTWBExt"/>
      </w:rPr>
      <w:t>&lt;PathFdR&gt;</w:t>
    </w:r>
    <w:r w:rsidRPr="00EB7BE7">
      <w:t>AL\1330969CS.docx</w:t>
    </w:r>
    <w:r w:rsidRPr="00EB7BE7">
      <w:rPr>
        <w:rStyle w:val="HideTWBExt"/>
      </w:rPr>
      <w:t>&lt;/PathFdR&gt;</w:t>
    </w:r>
    <w:r w:rsidRPr="00EB7BE7">
      <w:tab/>
    </w:r>
    <w:r w:rsidRPr="00EB7BE7">
      <w:tab/>
      <w:t>PE</w:t>
    </w:r>
    <w:r w:rsidRPr="00EB7BE7">
      <w:rPr>
        <w:rStyle w:val="HideTWBExt"/>
      </w:rPr>
      <w:t>&lt;NoPE&gt;</w:t>
    </w:r>
    <w:r w:rsidRPr="00EB7BE7">
      <w:t>778.317</w:t>
    </w:r>
    <w:r w:rsidRPr="00EB7BE7">
      <w:rPr>
        <w:rStyle w:val="HideTWBExt"/>
      </w:rPr>
      <w:t>&lt;/NoPE&gt;&lt;Version&gt;</w:t>
    </w:r>
    <w:r w:rsidRPr="00EB7BE7">
      <w:t>v02-00</w:t>
    </w:r>
    <w:r w:rsidRPr="00EB7BE7">
      <w:rPr>
        <w:rStyle w:val="HideTWBExt"/>
      </w:rPr>
      <w:t>&lt;/Version&gt;</w:t>
    </w:r>
  </w:p>
  <w:p w14:paraId="77E28449" w14:textId="3C4DFFA9" w:rsidR="00000C7D" w:rsidRPr="00EB7BE7" w:rsidRDefault="00644FA1" w:rsidP="00644FA1">
    <w:pPr>
      <w:pStyle w:val="EPFooter2"/>
    </w:pPr>
    <w:r w:rsidRPr="00EB7BE7">
      <w:t>CS</w:t>
    </w:r>
    <w:r w:rsidRPr="00EB7BE7">
      <w:tab/>
    </w:r>
    <w:r w:rsidRPr="00EB7BE7">
      <w:rPr>
        <w:b w:val="0"/>
        <w:i/>
        <w:color w:val="C0C0C0"/>
        <w:sz w:val="22"/>
      </w:rPr>
      <w:t>Jednotná v rozmanitosti</w:t>
    </w:r>
    <w:r w:rsidRPr="00EB7BE7">
      <w:tab/>
      <w:t>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385E1B" w14:textId="77777777" w:rsidR="005128DF" w:rsidRPr="00EB7BE7" w:rsidRDefault="005128DF">
      <w:r w:rsidRPr="00EB7BE7">
        <w:separator/>
      </w:r>
    </w:p>
  </w:footnote>
  <w:footnote w:type="continuationSeparator" w:id="0">
    <w:p w14:paraId="7A1920FE" w14:textId="77777777" w:rsidR="005128DF" w:rsidRPr="00EB7BE7" w:rsidRDefault="005128DF">
      <w:r w:rsidRPr="00EB7BE7">
        <w:continuationSeparator/>
      </w:r>
    </w:p>
  </w:footnote>
  <w:footnote w:id="1">
    <w:p w14:paraId="76F147E3" w14:textId="06BA6321" w:rsidR="00405B0E" w:rsidRPr="00DE650C" w:rsidRDefault="00405B0E" w:rsidP="00405B0E">
      <w:pPr>
        <w:rPr>
          <w:sz w:val="20"/>
        </w:rPr>
      </w:pPr>
      <w:r w:rsidRPr="00DE650C">
        <w:rPr>
          <w:sz w:val="20"/>
          <w:vertAlign w:val="superscript"/>
        </w:rPr>
        <w:footnoteRef/>
      </w:r>
      <w:r w:rsidRPr="00DE650C">
        <w:rPr>
          <w:sz w:val="20"/>
        </w:rPr>
        <w:t xml:space="preserve"> Nařízení Evropského parlamentu </w:t>
      </w:r>
      <w:r w:rsidR="00DE650C" w:rsidRPr="00DE650C">
        <w:rPr>
          <w:sz w:val="20"/>
        </w:rPr>
        <w:t>a </w:t>
      </w:r>
      <w:r w:rsidRPr="00DE650C">
        <w:rPr>
          <w:sz w:val="20"/>
        </w:rPr>
        <w:t xml:space="preserve">Rady (EU) 2016/794 ze dne 11. května 2016 </w:t>
      </w:r>
      <w:r w:rsidR="00DE650C" w:rsidRPr="00DE650C">
        <w:rPr>
          <w:sz w:val="20"/>
        </w:rPr>
        <w:t>o </w:t>
      </w:r>
      <w:r w:rsidRPr="00DE650C">
        <w:rPr>
          <w:sz w:val="20"/>
        </w:rPr>
        <w:t xml:space="preserve">Agentuře Evropské unie pro spolupráci </w:t>
      </w:r>
      <w:r w:rsidR="00DE650C" w:rsidRPr="00DE650C">
        <w:rPr>
          <w:sz w:val="20"/>
        </w:rPr>
        <w:t>v </w:t>
      </w:r>
      <w:r w:rsidRPr="00DE650C">
        <w:rPr>
          <w:sz w:val="20"/>
        </w:rPr>
        <w:t xml:space="preserve">oblasti prosazování práva (Europol) </w:t>
      </w:r>
      <w:r w:rsidR="00DE650C" w:rsidRPr="00DE650C">
        <w:rPr>
          <w:sz w:val="20"/>
        </w:rPr>
        <w:t>a o </w:t>
      </w:r>
      <w:r w:rsidRPr="00DE650C">
        <w:rPr>
          <w:sz w:val="20"/>
        </w:rPr>
        <w:t xml:space="preserve">zrušení </w:t>
      </w:r>
      <w:r w:rsidR="00DE650C" w:rsidRPr="00DE650C">
        <w:rPr>
          <w:sz w:val="20"/>
        </w:rPr>
        <w:t>a </w:t>
      </w:r>
      <w:r w:rsidRPr="00DE650C">
        <w:rPr>
          <w:sz w:val="20"/>
        </w:rPr>
        <w:t xml:space="preserve">nahrazení rozhodnutí 2009/371/SVV, 2009/934/SVV, 2009/935/SVV, 2009/936/SVV </w:t>
      </w:r>
      <w:r w:rsidR="00DE650C" w:rsidRPr="00DE650C">
        <w:rPr>
          <w:sz w:val="20"/>
        </w:rPr>
        <w:t>a </w:t>
      </w:r>
      <w:r w:rsidRPr="00DE650C">
        <w:rPr>
          <w:sz w:val="20"/>
        </w:rPr>
        <w:t>2009/968/SVV (Úř. věst. L 135, 24.5.2016, s. 53).</w:t>
      </w:r>
    </w:p>
  </w:footnote>
  <w:footnote w:id="2">
    <w:p w14:paraId="215FBBAA" w14:textId="77777777" w:rsidR="00405B0E" w:rsidRPr="00DE650C" w:rsidRDefault="00405B0E" w:rsidP="00405B0E">
      <w:pPr>
        <w:rPr>
          <w:sz w:val="20"/>
        </w:rPr>
      </w:pPr>
      <w:r w:rsidRPr="00DE650C">
        <w:rPr>
          <w:sz w:val="20"/>
          <w:vertAlign w:val="superscript"/>
        </w:rPr>
        <w:footnoteRef/>
      </w:r>
      <w:r w:rsidRPr="00DE650C">
        <w:rPr>
          <w:sz w:val="20"/>
        </w:rPr>
        <w:t xml:space="preserve"> Posudek 2/00, („Cartagenský protokol“), ECLI:EU:C:2001:664, bod 5.</w:t>
      </w:r>
    </w:p>
  </w:footnote>
  <w:footnote w:id="3">
    <w:p w14:paraId="70AF2752" w14:textId="77777777" w:rsidR="00405B0E" w:rsidRPr="00DE650C" w:rsidRDefault="00405B0E" w:rsidP="00405B0E">
      <w:pPr>
        <w:rPr>
          <w:sz w:val="20"/>
        </w:rPr>
      </w:pPr>
      <w:r w:rsidRPr="00DE650C">
        <w:rPr>
          <w:sz w:val="20"/>
          <w:vertAlign w:val="superscript"/>
        </w:rPr>
        <w:footnoteRef/>
      </w:r>
      <w:r w:rsidRPr="00DE650C">
        <w:rPr>
          <w:sz w:val="20"/>
        </w:rPr>
        <w:t xml:space="preserve"> Věc C-300/89, Komise v. Rada („Oxid titaničitý“), ECLI:EU:C:1991:244, bod 10.</w:t>
      </w:r>
    </w:p>
  </w:footnote>
  <w:footnote w:id="4">
    <w:p w14:paraId="0A846855" w14:textId="77777777" w:rsidR="00405B0E" w:rsidRPr="00DE650C" w:rsidRDefault="00405B0E" w:rsidP="00405B0E">
      <w:pPr>
        <w:rPr>
          <w:sz w:val="20"/>
        </w:rPr>
      </w:pPr>
      <w:r w:rsidRPr="00DE650C">
        <w:rPr>
          <w:sz w:val="20"/>
          <w:vertAlign w:val="superscript"/>
        </w:rPr>
        <w:footnoteRef/>
      </w:r>
      <w:r w:rsidRPr="00DE650C">
        <w:rPr>
          <w:sz w:val="20"/>
        </w:rPr>
        <w:t xml:space="preserve"> Tamtéž, bod 30, a věc C-137/12, Komise v. Rada, ECLI:EU:C:2013:675, bod 53 a citovaná judikatura.</w:t>
      </w:r>
    </w:p>
  </w:footnote>
  <w:footnote w:id="5">
    <w:p w14:paraId="14A33BF4" w14:textId="03E2A8B5" w:rsidR="00405B0E" w:rsidRPr="00DE650C" w:rsidRDefault="00405B0E" w:rsidP="00405B0E">
      <w:pPr>
        <w:rPr>
          <w:sz w:val="20"/>
        </w:rPr>
      </w:pPr>
      <w:r w:rsidRPr="00DE650C">
        <w:rPr>
          <w:sz w:val="20"/>
          <w:vertAlign w:val="superscript"/>
        </w:rPr>
        <w:footnoteRef/>
      </w:r>
      <w:r w:rsidRPr="00DE650C">
        <w:rPr>
          <w:sz w:val="20"/>
        </w:rPr>
        <w:t xml:space="preserve"> Věc C-300/89, body 13 </w:t>
      </w:r>
      <w:r w:rsidR="00DE650C" w:rsidRPr="00DE650C">
        <w:rPr>
          <w:sz w:val="20"/>
        </w:rPr>
        <w:t>a </w:t>
      </w:r>
      <w:r w:rsidRPr="00DE650C">
        <w:rPr>
          <w:sz w:val="20"/>
        </w:rPr>
        <w:t xml:space="preserve">17; věc C-42/97, Parlament v. Rada, ECLI:EU:C:1999:81, bod 38; posudek 2/00, bod 23; věc C-94/03, Komise v. Rada („Rotterdamská úmluva“), ECLI:EU:C:2006:2 </w:t>
      </w:r>
      <w:r w:rsidR="00DE650C" w:rsidRPr="00DE650C">
        <w:rPr>
          <w:sz w:val="20"/>
        </w:rPr>
        <w:t>a </w:t>
      </w:r>
      <w:r w:rsidRPr="00DE650C">
        <w:rPr>
          <w:sz w:val="20"/>
        </w:rPr>
        <w:t>věc C-178/03, Komise v. Parlament a Rada, ECLI:EU:C:2006:4, body 36 a 43.</w:t>
      </w:r>
    </w:p>
  </w:footnote>
  <w:footnote w:id="6">
    <w:p w14:paraId="553FC686" w14:textId="77777777" w:rsidR="00405B0E" w:rsidRPr="00DE650C" w:rsidRDefault="00405B0E" w:rsidP="00405B0E">
      <w:pPr>
        <w:rPr>
          <w:sz w:val="20"/>
        </w:rPr>
      </w:pPr>
      <w:r w:rsidRPr="00DE650C">
        <w:rPr>
          <w:sz w:val="20"/>
          <w:vertAlign w:val="superscript"/>
        </w:rPr>
        <w:footnoteRef/>
      </w:r>
      <w:r w:rsidRPr="00DE650C">
        <w:rPr>
          <w:sz w:val="20"/>
        </w:rPr>
        <w:t xml:space="preserve"> Věc C-300/89, body 17–25; věc C-268/94, Portugalsko v. Rada, ECLI:EU:C:1996:461.</w:t>
      </w:r>
    </w:p>
  </w:footnote>
  <w:footnote w:id="7">
    <w:p w14:paraId="0AAFD614" w14:textId="77777777" w:rsidR="00405B0E" w:rsidRPr="00DE650C" w:rsidRDefault="00405B0E" w:rsidP="00405B0E">
      <w:pPr>
        <w:rPr>
          <w:sz w:val="20"/>
        </w:rPr>
      </w:pPr>
      <w:r w:rsidRPr="00DE650C">
        <w:rPr>
          <w:sz w:val="20"/>
          <w:vertAlign w:val="superscript"/>
        </w:rPr>
        <w:footnoteRef/>
      </w:r>
      <w:r w:rsidRPr="00DE650C">
        <w:rPr>
          <w:sz w:val="20"/>
        </w:rPr>
        <w:t xml:space="preserve"> Konečného hlasování se zúčastnili: Ilhan Kyuchyuk (předseda), Marion Walsmann (místopředsedkyně), Mario Mantovani (místopředseda), Lara Wolters (místopředsedkyně), Maravillas Abadía Jover, Tobiasz Bocheński, Pascal Canfin, José Cepeda, Henrik Dahl, Ton Diepeveen, Sebastian Everding (za Maria Furoreho podle čl. 216 odst. 7 jednacího řádu), Enikő Győri (za Juana Carlose Girautu Vidala podle čl. 216 odst. 7 jednacího řádu), Mary Khan, Ana Catarina Mendes (za Victora Negrescua podle čl. 216 odst. 7 jednacího řádu), Javier Moreno Sánchez (za Krzysztofa Śmiszeka podle čl. 216 odst. 7 jednacího řádu), Angelika Niebler, Pascale Piera, Kira Marie Peter-Hansen, René Repasi, Tomas Tobé, Axel Voss, Adrián Vázquez Lázara, Jörgen Warborn, Maciej Wąsik (za Dominika Tarczyńskiho podle čl. 216 odst. 7 jednacího řádu), Michał Wawrykiewicz, Dainius Žalimas.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5B9D3" w14:textId="77777777" w:rsidR="00405B0E" w:rsidRDefault="00405B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E8C56" w14:textId="77777777" w:rsidR="00405B0E" w:rsidRDefault="00405B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04AE5" w14:textId="77777777" w:rsidR="00405B0E" w:rsidRDefault="00405B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40A28"/>
    <w:multiLevelType w:val="singleLevel"/>
    <w:tmpl w:val="A01CE988"/>
    <w:lvl w:ilvl="0">
      <w:start w:val="352"/>
      <w:numFmt w:val="bullet"/>
      <w:lvlText w:val="–"/>
      <w:lvlJc w:val="left"/>
      <w:pPr>
        <w:tabs>
          <w:tab w:val="num" w:pos="360"/>
        </w:tabs>
        <w:ind w:left="360" w:hanging="360"/>
      </w:pPr>
      <w:rPr>
        <w:rFonts w:hint="default"/>
      </w:rPr>
    </w:lvl>
  </w:abstractNum>
  <w:abstractNum w:abstractNumId="11" w15:restartNumberingAfterBreak="0">
    <w:nsid w:val="06495604"/>
    <w:multiLevelType w:val="multilevel"/>
    <w:tmpl w:val="B8A4F914"/>
    <w:lvl w:ilvl="0">
      <w:start w:val="1"/>
      <w:numFmt w:val="decimal"/>
      <w:pStyle w:val="Point123"/>
      <w:lvlText w:val="%1."/>
      <w:lvlJc w:val="left"/>
      <w:pPr>
        <w:tabs>
          <w:tab w:val="num" w:pos="567"/>
        </w:tabs>
        <w:ind w:left="567" w:hanging="567"/>
      </w:pPr>
      <w:rPr>
        <w:i w:val="0"/>
        <w:iCs w:val="0"/>
      </w:r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2" w15:restartNumberingAfterBreak="0">
    <w:nsid w:val="3A866D9D"/>
    <w:multiLevelType w:val="singleLevel"/>
    <w:tmpl w:val="88A23CC4"/>
    <w:lvl w:ilvl="0">
      <w:start w:val="4"/>
      <w:numFmt w:val="decimal"/>
      <w:lvlText w:val="%1."/>
      <w:lvlJc w:val="left"/>
      <w:pPr>
        <w:tabs>
          <w:tab w:val="num" w:pos="360"/>
        </w:tabs>
        <w:ind w:left="360" w:hanging="360"/>
      </w:pPr>
      <w:rPr>
        <w:rFonts w:hint="default"/>
      </w:rPr>
    </w:lvl>
  </w:abstractNum>
  <w:abstractNum w:abstractNumId="13" w15:restartNumberingAfterBreak="0">
    <w:nsid w:val="4C092F15"/>
    <w:multiLevelType w:val="singleLevel"/>
    <w:tmpl w:val="08090015"/>
    <w:lvl w:ilvl="0">
      <w:start w:val="1"/>
      <w:numFmt w:val="upperLetter"/>
      <w:lvlText w:val="%1."/>
      <w:lvlJc w:val="left"/>
      <w:pPr>
        <w:tabs>
          <w:tab w:val="num" w:pos="360"/>
        </w:tabs>
        <w:ind w:left="360" w:hanging="360"/>
      </w:pPr>
    </w:lvl>
  </w:abstractNum>
  <w:num w:numId="1" w16cid:durableId="440616231">
    <w:abstractNumId w:val="9"/>
  </w:num>
  <w:num w:numId="2" w16cid:durableId="772167769">
    <w:abstractNumId w:val="9"/>
  </w:num>
  <w:num w:numId="3" w16cid:durableId="29034908">
    <w:abstractNumId w:val="7"/>
  </w:num>
  <w:num w:numId="4" w16cid:durableId="1388643379">
    <w:abstractNumId w:val="7"/>
  </w:num>
  <w:num w:numId="5" w16cid:durableId="307326626">
    <w:abstractNumId w:val="6"/>
  </w:num>
  <w:num w:numId="6" w16cid:durableId="1677463083">
    <w:abstractNumId w:val="6"/>
  </w:num>
  <w:num w:numId="7" w16cid:durableId="230968266">
    <w:abstractNumId w:val="5"/>
  </w:num>
  <w:num w:numId="8" w16cid:durableId="1727685796">
    <w:abstractNumId w:val="5"/>
  </w:num>
  <w:num w:numId="9" w16cid:durableId="227034811">
    <w:abstractNumId w:val="4"/>
  </w:num>
  <w:num w:numId="10" w16cid:durableId="457266054">
    <w:abstractNumId w:val="4"/>
  </w:num>
  <w:num w:numId="11" w16cid:durableId="77793848">
    <w:abstractNumId w:val="8"/>
  </w:num>
  <w:num w:numId="12" w16cid:durableId="46537957">
    <w:abstractNumId w:val="8"/>
  </w:num>
  <w:num w:numId="13" w16cid:durableId="308902554">
    <w:abstractNumId w:val="3"/>
  </w:num>
  <w:num w:numId="14" w16cid:durableId="98986697">
    <w:abstractNumId w:val="3"/>
  </w:num>
  <w:num w:numId="15" w16cid:durableId="550730975">
    <w:abstractNumId w:val="2"/>
  </w:num>
  <w:num w:numId="16" w16cid:durableId="1310984911">
    <w:abstractNumId w:val="2"/>
  </w:num>
  <w:num w:numId="17" w16cid:durableId="1062948360">
    <w:abstractNumId w:val="1"/>
  </w:num>
  <w:num w:numId="18" w16cid:durableId="1067803187">
    <w:abstractNumId w:val="1"/>
  </w:num>
  <w:num w:numId="19" w16cid:durableId="282855259">
    <w:abstractNumId w:val="0"/>
  </w:num>
  <w:num w:numId="20" w16cid:durableId="1093089120">
    <w:abstractNumId w:val="0"/>
  </w:num>
  <w:num w:numId="21" w16cid:durableId="1045643793">
    <w:abstractNumId w:val="9"/>
  </w:num>
  <w:num w:numId="22" w16cid:durableId="1450511026">
    <w:abstractNumId w:val="7"/>
  </w:num>
  <w:num w:numId="23" w16cid:durableId="285623353">
    <w:abstractNumId w:val="6"/>
  </w:num>
  <w:num w:numId="24" w16cid:durableId="38674812">
    <w:abstractNumId w:val="5"/>
  </w:num>
  <w:num w:numId="25" w16cid:durableId="1034160003">
    <w:abstractNumId w:val="4"/>
  </w:num>
  <w:num w:numId="26" w16cid:durableId="590751">
    <w:abstractNumId w:val="8"/>
  </w:num>
  <w:num w:numId="27" w16cid:durableId="1847132709">
    <w:abstractNumId w:val="3"/>
  </w:num>
  <w:num w:numId="28" w16cid:durableId="630288162">
    <w:abstractNumId w:val="2"/>
  </w:num>
  <w:num w:numId="29" w16cid:durableId="1414012552">
    <w:abstractNumId w:val="1"/>
  </w:num>
  <w:num w:numId="30" w16cid:durableId="1063913982">
    <w:abstractNumId w:val="0"/>
  </w:num>
  <w:num w:numId="31" w16cid:durableId="545148127">
    <w:abstractNumId w:val="9"/>
  </w:num>
  <w:num w:numId="32" w16cid:durableId="184485940">
    <w:abstractNumId w:val="7"/>
  </w:num>
  <w:num w:numId="33" w16cid:durableId="1128596016">
    <w:abstractNumId w:val="6"/>
  </w:num>
  <w:num w:numId="34" w16cid:durableId="759374161">
    <w:abstractNumId w:val="5"/>
  </w:num>
  <w:num w:numId="35" w16cid:durableId="1055154115">
    <w:abstractNumId w:val="4"/>
  </w:num>
  <w:num w:numId="36" w16cid:durableId="806049862">
    <w:abstractNumId w:val="8"/>
  </w:num>
  <w:num w:numId="37" w16cid:durableId="1282422568">
    <w:abstractNumId w:val="3"/>
  </w:num>
  <w:num w:numId="38" w16cid:durableId="1294405556">
    <w:abstractNumId w:val="2"/>
  </w:num>
  <w:num w:numId="39" w16cid:durableId="768699585">
    <w:abstractNumId w:val="1"/>
  </w:num>
  <w:num w:numId="40" w16cid:durableId="2143569269">
    <w:abstractNumId w:val="0"/>
  </w:num>
  <w:num w:numId="41" w16cid:durableId="2123644695">
    <w:abstractNumId w:val="10"/>
  </w:num>
  <w:num w:numId="42" w16cid:durableId="1174151129">
    <w:abstractNumId w:val="13"/>
  </w:num>
  <w:num w:numId="43" w16cid:durableId="1599869755">
    <w:abstractNumId w:val="12"/>
  </w:num>
  <w:num w:numId="44" w16cid:durableId="13252838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DRESSMNU" w:val=" 1"/>
    <w:docVar w:name="DDATE" w:val="17/10/2025"/>
    <w:docVar w:name="DOCDT" w:val="17/10/2025"/>
    <w:docVar w:name="LastEditedSection" w:val=" 1"/>
    <w:docVar w:name="strDocTypeID" w:val="AL_JURI"/>
    <w:docVar w:name="strSubDir" w:val="1330"/>
    <w:docVar w:name="TXTLANGUE" w:val="CS"/>
    <w:docVar w:name="TXTLANGUEMIN" w:val="cs"/>
    <w:docVar w:name="TXTNRC" w:val="0431/2023"/>
    <w:docVar w:name="TXTNRCOM" w:val="(2023)0754"/>
    <w:docVar w:name="TXTNRPE" w:val="778.317"/>
    <w:docVar w:name="TXTNRPROC" w:val="2023/0438"/>
    <w:docVar w:name="TXTPE" w:val="778.317"/>
    <w:docVar w:name="TXTPEorAP" w:val="PE"/>
    <w:docVar w:name="TXTROUTE" w:val="AL\1330969CS.docx"/>
    <w:docVar w:name="TXTVERSION" w:val="02-00"/>
  </w:docVars>
  <w:rsids>
    <w:rsidRoot w:val="005128DF"/>
    <w:rsid w:val="00000C7D"/>
    <w:rsid w:val="0000696F"/>
    <w:rsid w:val="00035402"/>
    <w:rsid w:val="000C3F41"/>
    <w:rsid w:val="0012665B"/>
    <w:rsid w:val="001422AE"/>
    <w:rsid w:val="001701D6"/>
    <w:rsid w:val="001D1646"/>
    <w:rsid w:val="00250DDD"/>
    <w:rsid w:val="00332170"/>
    <w:rsid w:val="00340E7E"/>
    <w:rsid w:val="003524CC"/>
    <w:rsid w:val="003666DE"/>
    <w:rsid w:val="003763A3"/>
    <w:rsid w:val="003C6D88"/>
    <w:rsid w:val="00405B0E"/>
    <w:rsid w:val="0044087B"/>
    <w:rsid w:val="00463119"/>
    <w:rsid w:val="00482DA5"/>
    <w:rsid w:val="00493031"/>
    <w:rsid w:val="004D0D33"/>
    <w:rsid w:val="004D0D4E"/>
    <w:rsid w:val="004E5B27"/>
    <w:rsid w:val="004F676F"/>
    <w:rsid w:val="00501E47"/>
    <w:rsid w:val="005128DF"/>
    <w:rsid w:val="00595C9D"/>
    <w:rsid w:val="00644FA1"/>
    <w:rsid w:val="0064564A"/>
    <w:rsid w:val="006914FD"/>
    <w:rsid w:val="007179A7"/>
    <w:rsid w:val="007829F6"/>
    <w:rsid w:val="007A4ACE"/>
    <w:rsid w:val="007E6351"/>
    <w:rsid w:val="00802D65"/>
    <w:rsid w:val="008249C6"/>
    <w:rsid w:val="0084209A"/>
    <w:rsid w:val="00853AFA"/>
    <w:rsid w:val="0089677B"/>
    <w:rsid w:val="008A7815"/>
    <w:rsid w:val="008B66F2"/>
    <w:rsid w:val="008E2161"/>
    <w:rsid w:val="009670F3"/>
    <w:rsid w:val="009957FA"/>
    <w:rsid w:val="009D564F"/>
    <w:rsid w:val="009F796C"/>
    <w:rsid w:val="00A04228"/>
    <w:rsid w:val="00A34105"/>
    <w:rsid w:val="00A37F67"/>
    <w:rsid w:val="00A5598E"/>
    <w:rsid w:val="00AC0580"/>
    <w:rsid w:val="00AE6929"/>
    <w:rsid w:val="00B157FD"/>
    <w:rsid w:val="00B66634"/>
    <w:rsid w:val="00C127ED"/>
    <w:rsid w:val="00CA55B4"/>
    <w:rsid w:val="00CC0AED"/>
    <w:rsid w:val="00CE1655"/>
    <w:rsid w:val="00D478EA"/>
    <w:rsid w:val="00D77B8C"/>
    <w:rsid w:val="00D92A83"/>
    <w:rsid w:val="00DD3031"/>
    <w:rsid w:val="00DE650C"/>
    <w:rsid w:val="00E71F4C"/>
    <w:rsid w:val="00EB7BE7"/>
    <w:rsid w:val="00F501D2"/>
    <w:rsid w:val="00F70D50"/>
    <w:rsid w:val="00FA1413"/>
    <w:rsid w:val="00FD6D4B"/>
    <w:rsid w:val="00FE5DB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3D5308"/>
  <w15:chartTrackingRefBased/>
  <w15:docId w15:val="{5469EA26-C46B-4F59-8762-BB5766577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2665B"/>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Normal12a">
    <w:name w:val="Normal12a"/>
    <w:basedOn w:val="Normal"/>
    <w:pPr>
      <w:spacing w:after="240"/>
    </w:pPr>
  </w:style>
  <w:style w:type="paragraph" w:customStyle="1" w:styleId="EPFooter2">
    <w:name w:val="EPFooter2"/>
    <w:basedOn w:val="Normal"/>
    <w:next w:val="Normal"/>
    <w:rsid w:val="00A04228"/>
    <w:pPr>
      <w:widowControl/>
      <w:tabs>
        <w:tab w:val="center" w:pos="4535"/>
        <w:tab w:val="right" w:pos="9921"/>
      </w:tabs>
      <w:ind w:left="-850" w:right="-850"/>
    </w:pPr>
    <w:rPr>
      <w:rFonts w:ascii="Arial" w:hAnsi="Arial" w:cs="Arial"/>
      <w:b/>
      <w:sz w:val="48"/>
    </w:rPr>
  </w:style>
  <w:style w:type="paragraph" w:customStyle="1" w:styleId="LetterDate">
    <w:name w:val="LetterDate"/>
    <w:basedOn w:val="Normal"/>
    <w:rsid w:val="00A04228"/>
    <w:pPr>
      <w:spacing w:before="720" w:after="240"/>
    </w:pPr>
  </w:style>
  <w:style w:type="character" w:customStyle="1" w:styleId="HideTWBInt">
    <w:name w:val="HideTWBInt"/>
    <w:rPr>
      <w:rFonts w:ascii="Arial" w:hAnsi="Arial" w:cs="Arial"/>
      <w:vanish/>
      <w:color w:val="808080"/>
      <w:sz w:val="20"/>
    </w:rPr>
  </w:style>
  <w:style w:type="paragraph" w:customStyle="1" w:styleId="EPName">
    <w:name w:val="EPName"/>
    <w:basedOn w:val="Normal"/>
    <w:rsid w:val="00CE1655"/>
    <w:pPr>
      <w:spacing w:before="80" w:after="80"/>
    </w:pPr>
    <w:rPr>
      <w:rFonts w:ascii="Arial Narrow" w:hAnsi="Arial Narrow" w:cs="Arial"/>
      <w:b/>
      <w:sz w:val="32"/>
      <w:szCs w:val="22"/>
    </w:rPr>
  </w:style>
  <w:style w:type="paragraph" w:customStyle="1" w:styleId="EPTerm">
    <w:name w:val="EPTerm"/>
    <w:basedOn w:val="Normal"/>
    <w:next w:val="Normal"/>
    <w:rsid w:val="00CE1655"/>
    <w:pPr>
      <w:spacing w:after="80"/>
    </w:pPr>
    <w:rPr>
      <w:rFonts w:ascii="Arial" w:hAnsi="Arial" w:cs="Arial"/>
      <w:sz w:val="20"/>
      <w:szCs w:val="22"/>
    </w:rPr>
  </w:style>
  <w:style w:type="paragraph" w:customStyle="1" w:styleId="EPLogo">
    <w:name w:val="EPLogo"/>
    <w:basedOn w:val="Normal"/>
    <w:qFormat/>
    <w:rsid w:val="00CE1655"/>
    <w:pPr>
      <w:jc w:val="right"/>
    </w:pPr>
  </w:style>
  <w:style w:type="paragraph" w:customStyle="1" w:styleId="LetterSubject">
    <w:name w:val="LetterSubject"/>
    <w:basedOn w:val="Normal"/>
    <w:rsid w:val="00463119"/>
    <w:pPr>
      <w:spacing w:before="480"/>
      <w:ind w:left="1134" w:hanging="1134"/>
    </w:pPr>
  </w:style>
  <w:style w:type="paragraph" w:customStyle="1" w:styleId="LetterSignature66b">
    <w:name w:val="LetterSignature66b"/>
    <w:basedOn w:val="Normal"/>
    <w:next w:val="Normal"/>
    <w:rsid w:val="00595C9D"/>
    <w:pPr>
      <w:spacing w:before="1320"/>
    </w:pPr>
  </w:style>
  <w:style w:type="table" w:styleId="TableGrid">
    <w:name w:val="Table Grid"/>
    <w:basedOn w:val="TableNormal"/>
    <w:rsid w:val="00000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A04228"/>
    <w:pPr>
      <w:jc w:val="center"/>
    </w:pPr>
    <w:rPr>
      <w:rFonts w:ascii="Arial" w:hAnsi="Arial" w:cs="Arial"/>
      <w:i/>
      <w:sz w:val="22"/>
      <w:szCs w:val="22"/>
    </w:rPr>
  </w:style>
  <w:style w:type="paragraph" w:customStyle="1" w:styleId="LineTop">
    <w:name w:val="LineTop"/>
    <w:basedOn w:val="Normal"/>
    <w:next w:val="Normal"/>
    <w:rsid w:val="00000C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0696F"/>
    <w:pPr>
      <w:pBdr>
        <w:bottom w:val="single" w:sz="4" w:space="1" w:color="auto"/>
      </w:pBdr>
      <w:spacing w:after="240"/>
      <w:jc w:val="center"/>
    </w:pPr>
    <w:rPr>
      <w:rFonts w:ascii="Arial" w:hAnsi="Arial" w:cs="Arial"/>
      <w:sz w:val="16"/>
      <w:szCs w:val="16"/>
    </w:rPr>
  </w:style>
  <w:style w:type="paragraph" w:customStyle="1" w:styleId="LetterSalutation">
    <w:name w:val="LetterSalutation"/>
    <w:basedOn w:val="Normal"/>
    <w:rsid w:val="008A7815"/>
    <w:pPr>
      <w:spacing w:before="600" w:after="360"/>
    </w:pPr>
  </w:style>
  <w:style w:type="paragraph" w:customStyle="1" w:styleId="EPFooter">
    <w:name w:val="EPFooter"/>
    <w:basedOn w:val="Normal"/>
    <w:rsid w:val="000C3F41"/>
    <w:pPr>
      <w:tabs>
        <w:tab w:val="center" w:pos="4535"/>
        <w:tab w:val="right" w:pos="9071"/>
      </w:tabs>
      <w:spacing w:before="240" w:after="240"/>
    </w:pPr>
    <w:rPr>
      <w:color w:val="010000"/>
      <w:sz w:val="22"/>
    </w:rPr>
  </w:style>
  <w:style w:type="paragraph" w:styleId="Header">
    <w:name w:val="header"/>
    <w:basedOn w:val="Normal"/>
    <w:link w:val="HeaderChar"/>
    <w:semiHidden/>
    <w:rsid w:val="000C3F41"/>
    <w:pPr>
      <w:tabs>
        <w:tab w:val="center" w:pos="4513"/>
        <w:tab w:val="right" w:pos="9026"/>
      </w:tabs>
    </w:pPr>
  </w:style>
  <w:style w:type="character" w:customStyle="1" w:styleId="HeaderChar">
    <w:name w:val="Header Char"/>
    <w:basedOn w:val="DefaultParagraphFont"/>
    <w:link w:val="Header"/>
    <w:semiHidden/>
    <w:rsid w:val="00332170"/>
    <w:rPr>
      <w:sz w:val="24"/>
    </w:rPr>
  </w:style>
  <w:style w:type="paragraph" w:styleId="TOCHeading">
    <w:name w:val="TOC Heading"/>
    <w:basedOn w:val="Normal"/>
    <w:next w:val="Normal"/>
    <w:uiPriority w:val="39"/>
    <w:semiHidden/>
    <w:unhideWhenUsed/>
    <w:qFormat/>
    <w:rsid w:val="00802D65"/>
    <w:pPr>
      <w:keepLines/>
      <w:spacing w:after="240"/>
    </w:pPr>
    <w:rPr>
      <w:rFonts w:asciiTheme="majorHAnsi" w:eastAsiaTheme="majorEastAsia" w:hAnsiTheme="majorHAnsi" w:cstheme="majorBidi"/>
      <w:b/>
      <w:color w:val="2E74B5" w:themeColor="accent1" w:themeShade="BF"/>
      <w:sz w:val="32"/>
      <w:szCs w:val="32"/>
    </w:rPr>
  </w:style>
  <w:style w:type="paragraph" w:customStyle="1" w:styleId="Pointabc">
    <w:name w:val="Point abc"/>
    <w:basedOn w:val="Normal"/>
    <w:rsid w:val="00A5598E"/>
    <w:pPr>
      <w:widowControl/>
      <w:numPr>
        <w:ilvl w:val="1"/>
        <w:numId w:val="44"/>
      </w:numPr>
      <w:spacing w:before="120" w:after="120" w:line="360" w:lineRule="auto"/>
    </w:pPr>
    <w:rPr>
      <w:rFonts w:eastAsiaTheme="minorHAnsi"/>
      <w:szCs w:val="22"/>
      <w:lang w:eastAsia="en-US"/>
    </w:rPr>
  </w:style>
  <w:style w:type="paragraph" w:customStyle="1" w:styleId="Pointabc1">
    <w:name w:val="Point abc (1)"/>
    <w:basedOn w:val="Normal"/>
    <w:rsid w:val="00A5598E"/>
    <w:pPr>
      <w:widowControl/>
      <w:numPr>
        <w:ilvl w:val="3"/>
        <w:numId w:val="44"/>
      </w:numPr>
      <w:spacing w:before="120" w:after="120" w:line="360" w:lineRule="auto"/>
    </w:pPr>
    <w:rPr>
      <w:rFonts w:eastAsiaTheme="minorHAnsi"/>
      <w:szCs w:val="22"/>
      <w:lang w:eastAsia="en-US"/>
    </w:rPr>
  </w:style>
  <w:style w:type="paragraph" w:customStyle="1" w:styleId="Pointabc2">
    <w:name w:val="Point abc (2)"/>
    <w:basedOn w:val="Normal"/>
    <w:rsid w:val="00A5598E"/>
    <w:pPr>
      <w:widowControl/>
      <w:numPr>
        <w:ilvl w:val="5"/>
        <w:numId w:val="44"/>
      </w:numPr>
      <w:spacing w:before="120" w:after="120" w:line="360" w:lineRule="auto"/>
    </w:pPr>
    <w:rPr>
      <w:rFonts w:eastAsiaTheme="minorHAnsi"/>
      <w:szCs w:val="22"/>
      <w:lang w:eastAsia="en-US"/>
    </w:rPr>
  </w:style>
  <w:style w:type="paragraph" w:customStyle="1" w:styleId="Pointabc3">
    <w:name w:val="Point abc (3)"/>
    <w:basedOn w:val="Normal"/>
    <w:rsid w:val="00A5598E"/>
    <w:pPr>
      <w:widowControl/>
      <w:numPr>
        <w:ilvl w:val="7"/>
        <w:numId w:val="44"/>
      </w:numPr>
      <w:spacing w:before="120" w:after="120" w:line="360" w:lineRule="auto"/>
    </w:pPr>
    <w:rPr>
      <w:rFonts w:eastAsiaTheme="minorHAnsi"/>
      <w:szCs w:val="22"/>
      <w:lang w:eastAsia="en-US"/>
    </w:rPr>
  </w:style>
  <w:style w:type="paragraph" w:customStyle="1" w:styleId="Pointabc4">
    <w:name w:val="Point abc (4)"/>
    <w:basedOn w:val="Normal"/>
    <w:rsid w:val="00A5598E"/>
    <w:pPr>
      <w:widowControl/>
      <w:numPr>
        <w:ilvl w:val="8"/>
        <w:numId w:val="44"/>
      </w:numPr>
      <w:spacing w:before="120" w:after="120" w:line="360" w:lineRule="auto"/>
    </w:pPr>
    <w:rPr>
      <w:rFonts w:eastAsiaTheme="minorHAnsi"/>
      <w:szCs w:val="22"/>
      <w:lang w:eastAsia="en-US"/>
    </w:rPr>
  </w:style>
  <w:style w:type="paragraph" w:customStyle="1" w:styleId="Point123">
    <w:name w:val="Point 123"/>
    <w:basedOn w:val="Normal"/>
    <w:rsid w:val="00A5598E"/>
    <w:pPr>
      <w:widowControl/>
      <w:numPr>
        <w:numId w:val="44"/>
      </w:numPr>
      <w:spacing w:before="120" w:after="120" w:line="360" w:lineRule="auto"/>
    </w:pPr>
    <w:rPr>
      <w:rFonts w:eastAsiaTheme="minorHAnsi"/>
      <w:szCs w:val="22"/>
      <w:lang w:eastAsia="en-US"/>
    </w:rPr>
  </w:style>
  <w:style w:type="paragraph" w:customStyle="1" w:styleId="Point1231">
    <w:name w:val="Point 123 (1)"/>
    <w:basedOn w:val="Normal"/>
    <w:rsid w:val="00A5598E"/>
    <w:pPr>
      <w:widowControl/>
      <w:numPr>
        <w:ilvl w:val="2"/>
        <w:numId w:val="44"/>
      </w:numPr>
      <w:spacing w:before="120" w:after="120" w:line="360" w:lineRule="auto"/>
    </w:pPr>
    <w:rPr>
      <w:rFonts w:eastAsiaTheme="minorHAnsi"/>
      <w:szCs w:val="22"/>
      <w:lang w:eastAsia="en-US"/>
    </w:rPr>
  </w:style>
  <w:style w:type="paragraph" w:customStyle="1" w:styleId="Point1232">
    <w:name w:val="Point 123 (2)"/>
    <w:basedOn w:val="Normal"/>
    <w:rsid w:val="00A5598E"/>
    <w:pPr>
      <w:widowControl/>
      <w:numPr>
        <w:ilvl w:val="4"/>
        <w:numId w:val="44"/>
      </w:numPr>
      <w:spacing w:before="120" w:after="120" w:line="360" w:lineRule="auto"/>
    </w:pPr>
    <w:rPr>
      <w:rFonts w:eastAsiaTheme="minorHAnsi"/>
      <w:szCs w:val="22"/>
      <w:lang w:eastAsia="en-US"/>
    </w:rPr>
  </w:style>
  <w:style w:type="paragraph" w:customStyle="1" w:styleId="Point1233">
    <w:name w:val="Point 123 (3)"/>
    <w:basedOn w:val="Normal"/>
    <w:rsid w:val="00A5598E"/>
    <w:pPr>
      <w:widowControl/>
      <w:numPr>
        <w:ilvl w:val="6"/>
        <w:numId w:val="44"/>
      </w:numPr>
      <w:spacing w:before="120" w:after="120" w:line="360" w:lineRule="auto"/>
    </w:pPr>
    <w:rPr>
      <w:rFonts w:eastAsiaTheme="minorHAnsi"/>
      <w:szCs w:val="22"/>
      <w:lang w:eastAsia="en-US"/>
    </w:rPr>
  </w:style>
  <w:style w:type="character" w:customStyle="1" w:styleId="Nessuno">
    <w:name w:val="Nessuno"/>
    <w:rsid w:val="00A5598E"/>
  </w:style>
  <w:style w:type="character" w:customStyle="1" w:styleId="outputecliaff">
    <w:name w:val="outputecliaff"/>
    <w:basedOn w:val="DefaultParagraphFont"/>
    <w:rsid w:val="00A5598E"/>
  </w:style>
  <w:style w:type="character" w:customStyle="1" w:styleId="affairetitle">
    <w:name w:val="affaire_title"/>
    <w:basedOn w:val="DefaultParagraphFont"/>
    <w:rsid w:val="00A5598E"/>
  </w:style>
  <w:style w:type="paragraph" w:styleId="Footer">
    <w:name w:val="footer"/>
    <w:basedOn w:val="Normal"/>
    <w:link w:val="FooterChar"/>
    <w:semiHidden/>
    <w:rsid w:val="00A5598E"/>
    <w:pPr>
      <w:tabs>
        <w:tab w:val="center" w:pos="4513"/>
        <w:tab w:val="right" w:pos="9026"/>
      </w:tabs>
    </w:pPr>
  </w:style>
  <w:style w:type="character" w:customStyle="1" w:styleId="FooterChar">
    <w:name w:val="Footer Char"/>
    <w:basedOn w:val="DefaultParagraphFont"/>
    <w:link w:val="Footer"/>
    <w:semiHidden/>
    <w:rsid w:val="00A5598E"/>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1519</Words>
  <Characters>9076</Characters>
  <Application>Microsoft Office Word</Application>
  <DocSecurity>0</DocSecurity>
  <Lines>163</Lines>
  <Paragraphs>61</Paragraphs>
  <ScaleCrop>false</ScaleCrop>
  <HeadingPairs>
    <vt:vector size="2" baseType="variant">
      <vt:variant>
        <vt:lpstr>Title</vt:lpstr>
      </vt:variant>
      <vt:variant>
        <vt:i4>1</vt:i4>
      </vt:variant>
    </vt:vector>
  </HeadingPairs>
  <TitlesOfParts>
    <vt:vector size="1" baseType="lpstr">
      <vt:lpstr>AL_JURI</vt:lpstr>
    </vt:vector>
  </TitlesOfParts>
  <Company/>
  <LinksUpToDate>false</LinksUpToDate>
  <CharactersWithSpaces>10550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AL_JURI</dc:title>
  <dc:subject/>
  <dc:creator>SMAKALOVA Sona</dc:creator>
  <cp:keywords/>
  <dc:description/>
  <cp:lastModifiedBy>SODOMKOVA Renata</cp:lastModifiedBy>
  <cp:revision>2</cp:revision>
  <cp:lastPrinted>2004-06-24T10:04:00Z</cp:lastPrinted>
  <dcterms:created xsi:type="dcterms:W3CDTF">2025-10-31T10:45:00Z</dcterms:created>
  <dcterms:modified xsi:type="dcterms:W3CDTF">2025-10-31T10:45:00Z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10.1.2 Build [20250817]</vt:lpwstr>
  </property>
  <property fmtid="{D5CDD505-2E9C-101B-9397-08002B2CF9AE}" pid="4" name="LastEdited with">
    <vt:lpwstr>10.2.0 Build [20251001]</vt:lpwstr>
  </property>
  <property fmtid="{D5CDD505-2E9C-101B-9397-08002B2CF9AE}" pid="5" name="&lt;FdR&gt;">
    <vt:lpwstr>1330969</vt:lpwstr>
  </property>
  <property fmtid="{D5CDD505-2E9C-101B-9397-08002B2CF9AE}" pid="6" name="&lt;Type&gt;">
    <vt:lpwstr>AL</vt:lpwstr>
  </property>
  <property fmtid="{D5CDD505-2E9C-101B-9397-08002B2CF9AE}" pid="7" name="&lt;ModelCod&gt;">
    <vt:lpwstr>\\eiciLUXpr1\pdocep$\DocEP\DOCS\General\AL\AL_JURI.dotx(20/01/2023 22:25:05)</vt:lpwstr>
  </property>
  <property fmtid="{D5CDD505-2E9C-101B-9397-08002B2CF9AE}" pid="8" name="&lt;ModelTra&gt;">
    <vt:lpwstr>\\eiciLUXpr1\pdocep$\DocEP\TRANSFIL\CS\AL_JURI.CS(11/09/2024 11:48:01)</vt:lpwstr>
  </property>
  <property fmtid="{D5CDD505-2E9C-101B-9397-08002B2CF9AE}" pid="9" name="&lt;Model&gt;">
    <vt:lpwstr>AL_JURI</vt:lpwstr>
  </property>
  <property fmtid="{D5CDD505-2E9C-101B-9397-08002B2CF9AE}" pid="10" name="FooterPath">
    <vt:lpwstr>AL\1330969CS.docx</vt:lpwstr>
  </property>
  <property fmtid="{D5CDD505-2E9C-101B-9397-08002B2CF9AE}" pid="11" name="PE number">
    <vt:lpwstr>778.317</vt:lpwstr>
  </property>
  <property fmtid="{D5CDD505-2E9C-101B-9397-08002B2CF9AE}" pid="12" name="Bookout">
    <vt:lpwstr>OK - 2025/10/31 11:45</vt:lpwstr>
  </property>
  <property fmtid="{D5CDD505-2E9C-101B-9397-08002B2CF9AE}" pid="13" name="SDLStudio">
    <vt:lpwstr/>
  </property>
</Properties>
</file>