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3666DE" w:rsidRPr="00131089" w14:paraId="375F8AE0" w14:textId="77777777" w:rsidTr="00C85D0F">
        <w:trPr>
          <w:trHeight w:hRule="exact" w:val="1418"/>
        </w:trPr>
        <w:tc>
          <w:tcPr>
            <w:tcW w:w="6804" w:type="dxa"/>
            <w:shd w:val="clear" w:color="auto" w:fill="auto"/>
            <w:vAlign w:val="center"/>
          </w:tcPr>
          <w:p w14:paraId="39D9B27F" w14:textId="77777777" w:rsidR="003666DE" w:rsidRPr="00131089" w:rsidRDefault="005C4B56" w:rsidP="00C85D0F">
            <w:pPr>
              <w:pStyle w:val="EPName"/>
            </w:pPr>
            <w:r w:rsidRPr="00131089">
              <w:t>Ευρωπαϊκό Κοινοβούλιο</w:t>
            </w:r>
          </w:p>
          <w:p w14:paraId="6FA17B0A" w14:textId="77777777" w:rsidR="003666DE" w:rsidRPr="00131089" w:rsidRDefault="00324EAF" w:rsidP="00324EAF">
            <w:pPr>
              <w:pStyle w:val="EPTerm"/>
            </w:pPr>
            <w:r w:rsidRPr="00131089">
              <w:t>2024-2029</w:t>
            </w:r>
          </w:p>
        </w:tc>
        <w:tc>
          <w:tcPr>
            <w:tcW w:w="2268" w:type="dxa"/>
            <w:shd w:val="clear" w:color="auto" w:fill="auto"/>
          </w:tcPr>
          <w:p w14:paraId="20FA24B9" w14:textId="77777777" w:rsidR="003666DE" w:rsidRPr="00131089" w:rsidRDefault="003666DE" w:rsidP="00C85D0F">
            <w:pPr>
              <w:pStyle w:val="EPLogo"/>
            </w:pPr>
            <w:r w:rsidRPr="00131089">
              <w:rPr>
                <w:noProof/>
              </w:rPr>
              <w:drawing>
                <wp:inline distT="0" distB="0" distL="0" distR="0" wp14:anchorId="7D9E3E00" wp14:editId="3ABD84A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75F79A8" w14:textId="77777777" w:rsidR="00000C7D" w:rsidRPr="00131089" w:rsidRDefault="00000C7D" w:rsidP="00000C7D">
      <w:pPr>
        <w:pStyle w:val="LineTop"/>
      </w:pPr>
    </w:p>
    <w:p w14:paraId="54CB0A68" w14:textId="77777777" w:rsidR="00000C7D" w:rsidRPr="00131089" w:rsidRDefault="00000C7D" w:rsidP="00000C7D">
      <w:pPr>
        <w:pStyle w:val="EPBody"/>
      </w:pPr>
      <w:r w:rsidRPr="00131089">
        <w:rPr>
          <w:rStyle w:val="HideTWBExt"/>
        </w:rPr>
        <w:t>&lt;</w:t>
      </w:r>
      <w:r w:rsidRPr="00131089">
        <w:rPr>
          <w:rStyle w:val="HideTWBExt"/>
          <w:i w:val="0"/>
        </w:rPr>
        <w:t>Commission</w:t>
      </w:r>
      <w:r w:rsidRPr="00131089">
        <w:rPr>
          <w:rStyle w:val="HideTWBExt"/>
        </w:rPr>
        <w:t>&gt;</w:t>
      </w:r>
      <w:r w:rsidRPr="00131089">
        <w:rPr>
          <w:rStyle w:val="HideTWBInt"/>
        </w:rPr>
        <w:t>{JURI}</w:t>
      </w:r>
      <w:r w:rsidRPr="00131089">
        <w:t>Επιτροπή Νομικών Θεμάτων</w:t>
      </w:r>
      <w:r w:rsidRPr="00131089">
        <w:rPr>
          <w:rStyle w:val="HideTWBExt"/>
        </w:rPr>
        <w:t>&lt;/</w:t>
      </w:r>
      <w:r w:rsidRPr="00131089">
        <w:rPr>
          <w:rStyle w:val="HideTWBExt"/>
          <w:i w:val="0"/>
        </w:rPr>
        <w:t>Commission</w:t>
      </w:r>
      <w:r w:rsidRPr="00131089">
        <w:rPr>
          <w:rStyle w:val="HideTWBExt"/>
        </w:rPr>
        <w:t>&gt;</w:t>
      </w:r>
    </w:p>
    <w:p w14:paraId="0C5B1299" w14:textId="77777777" w:rsidR="00000C7D" w:rsidRPr="00131089" w:rsidRDefault="005C4B56" w:rsidP="00000C7D">
      <w:pPr>
        <w:pStyle w:val="EPBody"/>
      </w:pPr>
      <w:r w:rsidRPr="00131089">
        <w:t>Ο Πρόεδρος</w:t>
      </w:r>
    </w:p>
    <w:p w14:paraId="1CE530C1" w14:textId="77777777" w:rsidR="00000C7D" w:rsidRPr="00131089" w:rsidRDefault="00000C7D" w:rsidP="00000C7D">
      <w:pPr>
        <w:pStyle w:val="LineBottom"/>
      </w:pPr>
    </w:p>
    <w:p w14:paraId="1F8C264B" w14:textId="77777777" w:rsidR="00E71F4C" w:rsidRPr="00131089" w:rsidRDefault="00501E47" w:rsidP="00A04228">
      <w:pPr>
        <w:pStyle w:val="LetterDate"/>
      </w:pPr>
      <w:r w:rsidRPr="00131089">
        <w:rPr>
          <w:rStyle w:val="HideTWBExt"/>
        </w:rPr>
        <w:t>&lt;Date&gt;</w:t>
      </w:r>
      <w:r w:rsidRPr="00131089">
        <w:rPr>
          <w:rStyle w:val="HideTWBInt"/>
        </w:rPr>
        <w:t>{17/10/2025}</w:t>
      </w:r>
      <w:r w:rsidRPr="00131089">
        <w:t>17.10.2025</w:t>
      </w:r>
      <w:r w:rsidRPr="00131089">
        <w:rPr>
          <w:rStyle w:val="HideTWBExt"/>
        </w:rPr>
        <w:t>&lt;/Date&gt;</w:t>
      </w:r>
    </w:p>
    <w:p w14:paraId="5EA5DE57" w14:textId="77777777" w:rsidR="007179A7" w:rsidRPr="00131089" w:rsidRDefault="00324EAF">
      <w:r w:rsidRPr="00131089">
        <w:t xml:space="preserve">Κύριο </w:t>
      </w:r>
      <w:proofErr w:type="spellStart"/>
      <w:r w:rsidRPr="00131089">
        <w:t>Javier</w:t>
      </w:r>
      <w:proofErr w:type="spellEnd"/>
      <w:r w:rsidRPr="00131089">
        <w:t xml:space="preserve"> </w:t>
      </w:r>
      <w:proofErr w:type="spellStart"/>
      <w:r w:rsidRPr="00131089">
        <w:t>Zarzalejos</w:t>
      </w:r>
      <w:proofErr w:type="spellEnd"/>
    </w:p>
    <w:p w14:paraId="1C4F9A4E" w14:textId="77777777" w:rsidR="007179A7" w:rsidRPr="00131089" w:rsidRDefault="005C4B56">
      <w:r w:rsidRPr="00131089">
        <w:t>Πρόεδρο</w:t>
      </w:r>
    </w:p>
    <w:p w14:paraId="34DF6EFD" w14:textId="77777777" w:rsidR="007179A7" w:rsidRPr="00131089" w:rsidRDefault="00324EAF">
      <w:r w:rsidRPr="00131089">
        <w:t>Επιτροπή Πολιτικών Ελευθεριών, Δικαιοσύνης και Εσωτερικών Υποθέσεων</w:t>
      </w:r>
    </w:p>
    <w:p w14:paraId="7AB1B2C7" w14:textId="77777777" w:rsidR="007179A7" w:rsidRPr="00131089" w:rsidRDefault="005C4B56">
      <w:r w:rsidRPr="00131089">
        <w:t>ΒΡΥΞΕΛΛΕΣ</w:t>
      </w:r>
    </w:p>
    <w:p w14:paraId="0E247874" w14:textId="77777777" w:rsidR="009F796C" w:rsidRPr="00131089" w:rsidRDefault="005C4B56" w:rsidP="009F796C">
      <w:pPr>
        <w:pStyle w:val="LetterSubject"/>
      </w:pPr>
      <w:r w:rsidRPr="00131089">
        <w:t>Θέμα:</w:t>
      </w:r>
      <w:r w:rsidRPr="00131089">
        <w:tab/>
      </w:r>
      <w:r w:rsidRPr="00131089">
        <w:rPr>
          <w:rStyle w:val="HideTWBExt"/>
        </w:rPr>
        <w:t>&lt;Titre&gt;</w:t>
      </w:r>
      <w:r w:rsidRPr="00131089">
        <w:t xml:space="preserve">Γνωμοδότηση σχετικά με τη νομική βάση της πρότασης κανονισμού του Ευρωπαϊκού Κοινοβουλίου και του Συμβουλίου για την ενίσχυση της αστυνομικής συνεργασίας όσον αφορά την πρόληψη, τον εντοπισμό και τη διερεύνηση της παράνομης διακίνησης μεταναστών και της εμπορίας ανθρώπων, και για την ενίσχυση της στήριξης της </w:t>
      </w:r>
      <w:proofErr w:type="spellStart"/>
      <w:r w:rsidRPr="00131089">
        <w:t>Ευρωπόλ</w:t>
      </w:r>
      <w:proofErr w:type="spellEnd"/>
      <w:r w:rsidRPr="00131089">
        <w:t xml:space="preserve"> στην πρόληψη και την καταπολέμηση εγκλημάτων αυτής της μορφής, καθώς και για την τροποποίηση του κανονισμού (ΕΕ) 2016/794</w:t>
      </w:r>
      <w:r w:rsidRPr="00131089">
        <w:rPr>
          <w:rStyle w:val="HideTWBExt"/>
        </w:rPr>
        <w:t>&lt;/Titre&gt;</w:t>
      </w:r>
      <w:r w:rsidRPr="00131089">
        <w:t xml:space="preserve"> </w:t>
      </w:r>
      <w:r w:rsidRPr="00131089">
        <w:rPr>
          <w:rStyle w:val="HideTWBExt"/>
        </w:rPr>
        <w:t>&lt;DocRef&gt;</w:t>
      </w:r>
      <w:r w:rsidRPr="00131089">
        <w:t>(COM(2023)0754 – C9</w:t>
      </w:r>
      <w:r w:rsidRPr="00131089">
        <w:noBreakHyphen/>
        <w:t>0431/2023 – 2023/0438(COD))</w:t>
      </w:r>
      <w:r w:rsidRPr="00131089">
        <w:rPr>
          <w:rStyle w:val="HideTWBExt"/>
        </w:rPr>
        <w:t>&lt;/DocRef&gt;</w:t>
      </w:r>
    </w:p>
    <w:p w14:paraId="282DACDE" w14:textId="77777777" w:rsidR="00FC1E12" w:rsidRPr="00131089" w:rsidRDefault="007F3C4A" w:rsidP="00FC1E12">
      <w:pPr>
        <w:pStyle w:val="LetterSalutation"/>
      </w:pPr>
      <w:r w:rsidRPr="00131089">
        <w:t>Κύριε Πρόεδρε,</w:t>
      </w:r>
    </w:p>
    <w:p w14:paraId="7B4D995C" w14:textId="77777777" w:rsidR="00FC1E12" w:rsidRPr="00131089" w:rsidRDefault="00FC1E12" w:rsidP="006A4CE5">
      <w:pPr>
        <w:pStyle w:val="Normal12a"/>
      </w:pPr>
      <w:r w:rsidRPr="00131089">
        <w:t xml:space="preserve">Με επιστολή που ελήφθη στις 12 Σεπτεμβρίου 2025, ως πρόεδρος της Επιτροπής Πολιτικών Ελευθεριών, Δικαιοσύνης και Εσωτερικών Υποθέσεων (LIBE) ζητήσατε από την Επιτροπή Νομικών Θεμάτων (JURI), σύμφωνα με το άρθρο 41 παράγραφος 2 του Κανονισμού, να γνωμοδοτήσει σχετικά με την </w:t>
      </w:r>
      <w:proofErr w:type="spellStart"/>
      <w:r w:rsidRPr="00131089">
        <w:t>καταλληλότητα</w:t>
      </w:r>
      <w:proofErr w:type="spellEnd"/>
      <w:r w:rsidRPr="00131089">
        <w:t xml:space="preserve"> της νομικής βάσης για την πρόταση κανονισμού του Ευρωπαϊκού Κοινοβουλίου και του Συμβουλίου για την ενίσχυση της αστυνομικής συνεργασίας όσον αφορά την πρόληψη, τον εντοπισμό και τη διερεύνηση της παράνομης διακίνησης μεταναστών και της εμπορίας ανθρώπων, και για την ενίσχυση της στήριξης της </w:t>
      </w:r>
      <w:proofErr w:type="spellStart"/>
      <w:r w:rsidRPr="00131089">
        <w:t>Ευρωπόλ</w:t>
      </w:r>
      <w:proofErr w:type="spellEnd"/>
      <w:r w:rsidRPr="00131089">
        <w:t xml:space="preserve"> στην πρόληψη και την καταπολέμηση εγκλημάτων αυτής της μορφής, καθώς και για την τροποποίηση του κανονισμού (ΕΕ) 2016/794 (2023/0438 (COD)) (εφεξής «ο προτεινόμενος κανονισμός»).</w:t>
      </w:r>
    </w:p>
    <w:p w14:paraId="6B016105" w14:textId="77777777" w:rsidR="00FC1E12" w:rsidRPr="00131089" w:rsidRDefault="00FC1E12" w:rsidP="00FC1E12">
      <w:pPr>
        <w:pStyle w:val="Normal12a"/>
      </w:pPr>
      <w:r w:rsidRPr="00131089">
        <w:t>Η επιτροπή JURI εξέτασε το ανωτέρω ζήτημα κατά τη συνεδρίασή της στις 13 Οκτωβρίου 2025.</w:t>
      </w:r>
    </w:p>
    <w:p w14:paraId="2EF3EDBC" w14:textId="77777777" w:rsidR="00FC1E12" w:rsidRPr="00131089" w:rsidRDefault="00FC1E12" w:rsidP="00FC1E12">
      <w:pPr>
        <w:spacing w:after="240"/>
        <w:jc w:val="both"/>
        <w:rPr>
          <w:b/>
          <w:u w:val="single"/>
        </w:rPr>
      </w:pPr>
      <w:r w:rsidRPr="00131089">
        <w:rPr>
          <w:b/>
          <w:u w:val="single"/>
        </w:rPr>
        <w:t>I – Ιστορικό</w:t>
      </w:r>
    </w:p>
    <w:p w14:paraId="5EF414F2" w14:textId="77777777" w:rsidR="00FC1E12" w:rsidRPr="00131089" w:rsidRDefault="00FC1E12" w:rsidP="006A4CE5">
      <w:r w:rsidRPr="00131089">
        <w:rPr>
          <w:color w:val="000000" w:themeColor="text1"/>
        </w:rPr>
        <w:t xml:space="preserve">Η επιτροπή LIBE βρίσκεται σε διοργανικές διαπραγματεύσεις σχετικά με τον προτεινόμενο </w:t>
      </w:r>
      <w:r w:rsidRPr="00131089">
        <w:rPr>
          <w:color w:val="000000" w:themeColor="text1"/>
        </w:rPr>
        <w:lastRenderedPageBreak/>
        <w:t>κανονισμό.</w:t>
      </w:r>
      <w:r w:rsidRPr="00131089">
        <w:t xml:space="preserve"> </w:t>
      </w:r>
    </w:p>
    <w:p w14:paraId="54D464F9" w14:textId="77777777" w:rsidR="00FC1E12" w:rsidRPr="00131089" w:rsidRDefault="00FC1E12" w:rsidP="00FC1E12">
      <w:pPr>
        <w:jc w:val="both"/>
      </w:pPr>
    </w:p>
    <w:p w14:paraId="73329539" w14:textId="77777777" w:rsidR="00FC1E12" w:rsidRPr="00131089" w:rsidRDefault="00FC1E12" w:rsidP="006A4CE5">
      <w:pPr>
        <w:spacing w:after="240"/>
        <w:rPr>
          <w:color w:val="000000" w:themeColor="text1"/>
        </w:rPr>
      </w:pPr>
      <w:r w:rsidRPr="00131089">
        <w:rPr>
          <w:color w:val="000000" w:themeColor="text1"/>
        </w:rPr>
        <w:t xml:space="preserve">Ο προτεινόμενος κανονισμός περιλάμβανε αρχικά έναν νέο «αυτόνομο κανονισμό» για την ίδρυση, μεταξύ άλλων, του Ευρωπαϊκού Κέντρου κατά της Παράνομης Διακίνησης Μεταναστών, καθώς και </w:t>
      </w:r>
      <w:proofErr w:type="spellStart"/>
      <w:r w:rsidRPr="00131089">
        <w:rPr>
          <w:color w:val="000000" w:themeColor="text1"/>
        </w:rPr>
        <w:t>στοχευμένες</w:t>
      </w:r>
      <w:proofErr w:type="spellEnd"/>
      <w:r w:rsidRPr="00131089">
        <w:rPr>
          <w:color w:val="000000" w:themeColor="text1"/>
        </w:rPr>
        <w:t xml:space="preserve"> τροποποιήσεις της υφιστάμενης εντολής της </w:t>
      </w:r>
      <w:proofErr w:type="spellStart"/>
      <w:r w:rsidRPr="00131089">
        <w:rPr>
          <w:color w:val="000000" w:themeColor="text1"/>
        </w:rPr>
        <w:t>Ευρωπόλ</w:t>
      </w:r>
      <w:proofErr w:type="spellEnd"/>
      <w:r w:rsidRPr="00131089">
        <w:rPr>
          <w:color w:val="000000" w:themeColor="text1"/>
        </w:rPr>
        <w:t xml:space="preserve"> [κανονισμός (ΕΕ) 2016/794</w:t>
      </w:r>
      <w:r w:rsidRPr="00131089">
        <w:rPr>
          <w:color w:val="000000" w:themeColor="text1"/>
          <w:vertAlign w:val="superscript"/>
        </w:rPr>
        <w:footnoteReference w:id="1"/>
      </w:r>
      <w:r w:rsidRPr="00131089">
        <w:rPr>
          <w:color w:val="000000" w:themeColor="text1"/>
        </w:rPr>
        <w:t xml:space="preserve">, εφεξής «κανονισμός για την </w:t>
      </w:r>
      <w:proofErr w:type="spellStart"/>
      <w:r w:rsidRPr="00131089">
        <w:rPr>
          <w:color w:val="000000" w:themeColor="text1"/>
        </w:rPr>
        <w:t>Ευρωπόλ</w:t>
      </w:r>
      <w:proofErr w:type="spellEnd"/>
      <w:r w:rsidRPr="00131089">
        <w:rPr>
          <w:color w:val="000000" w:themeColor="text1"/>
        </w:rPr>
        <w:t>»]. Ο προτεινόμενος κανονισμός βασίζεται στο άρθρο </w:t>
      </w:r>
      <w:r w:rsidRPr="00131089">
        <w:t xml:space="preserve">85 παράγραφος 1, το άρθρο 87 παράγραφος 2 και το άρθρο 88 παράγραφος 2 </w:t>
      </w:r>
      <w:r w:rsidRPr="00131089">
        <w:rPr>
          <w:color w:val="000000" w:themeColor="text1"/>
        </w:rPr>
        <w:t>της Συνθήκης για τη λειτουργία της Ευρωπαϊκής Ένωσης (ΣΛΕΕ)</w:t>
      </w:r>
      <w:r w:rsidRPr="00131089">
        <w:t>.</w:t>
      </w:r>
      <w:r w:rsidRPr="00131089">
        <w:rPr>
          <w:color w:val="000000" w:themeColor="text1"/>
        </w:rPr>
        <w:t xml:space="preserve"> Η επιτροπή LIBE δεν τροποποίησε τη νομική βάση που πρότεινε η Επιτροπή.</w:t>
      </w:r>
    </w:p>
    <w:p w14:paraId="769393B4" w14:textId="77777777" w:rsidR="00FC1E12" w:rsidRPr="00131089" w:rsidRDefault="00FC1E12" w:rsidP="006A4CE5">
      <w:pPr>
        <w:rPr>
          <w:color w:val="000000" w:themeColor="text1"/>
        </w:rPr>
      </w:pPr>
      <w:r w:rsidRPr="00131089">
        <w:rPr>
          <w:color w:val="000000" w:themeColor="text1"/>
        </w:rPr>
        <w:t xml:space="preserve">Στις αντίστοιχες εντολές τους για διοργανικές διαπραγματεύσεις, τόσο το Κοινοβούλιο όσο και το Συμβούλιο επέλεξαν να περιορίσουν το πεδίο εφαρμογής του προτεινόμενου κανονισμού σε τροποποιήσεις της υφιστάμενης εντολής της </w:t>
      </w:r>
      <w:proofErr w:type="spellStart"/>
      <w:r w:rsidRPr="00131089">
        <w:rPr>
          <w:color w:val="000000" w:themeColor="text1"/>
        </w:rPr>
        <w:t>Ευρωπόλ</w:t>
      </w:r>
      <w:proofErr w:type="spellEnd"/>
      <w:r w:rsidRPr="00131089">
        <w:rPr>
          <w:color w:val="000000" w:themeColor="text1"/>
        </w:rPr>
        <w:t>, αλλά άφησαν αμετάβλητη τη νομική βάση. Ο περιορισμός του σκοπού και του περιεχομένου του προτεινόμενου κανονισμού κατ’ αυτόν τον τρόπο συμφωνήθηκε στη συνέχεια προσωρινά κατά τη διάρκεια των διοργανικών διαπραγματεύσεων. Επομένως, κρίθηκε αναγκαίο να προσαρμοστεί η νομική βάση και να βασιστεί η πράξη αποκλειστικά στο άρθρο 88 παράγραφος 2 ΣΛΕΕ, δηλαδή να διαγραφούν τα άρθρα 85 παράγραφος 1 και 87 παράγραφος 2 ΣΛΕΕ.</w:t>
      </w:r>
    </w:p>
    <w:p w14:paraId="16966517" w14:textId="77777777" w:rsidR="00FC1E12" w:rsidRPr="00131089" w:rsidRDefault="00FC1E12" w:rsidP="00FC1E12">
      <w:pPr>
        <w:jc w:val="both"/>
        <w:rPr>
          <w:color w:val="000000" w:themeColor="text1"/>
        </w:rPr>
      </w:pPr>
    </w:p>
    <w:p w14:paraId="22B0F135" w14:textId="77777777" w:rsidR="00FC1E12" w:rsidRPr="00131089" w:rsidRDefault="00FC1E12" w:rsidP="006A4CE5">
      <w:pPr>
        <w:spacing w:after="240"/>
      </w:pPr>
      <w:r w:rsidRPr="00131089">
        <w:rPr>
          <w:color w:val="000000" w:themeColor="text1"/>
        </w:rPr>
        <w:t xml:space="preserve">Ως εκ τούτου, σύμφωνα με το άρθρο 41 παράγραφος 2, η επιτροπή LIBE ζητεί από την επιτροπή JURI να γνωμοδοτήσει σχετικά με την </w:t>
      </w:r>
      <w:proofErr w:type="spellStart"/>
      <w:r w:rsidRPr="00131089">
        <w:rPr>
          <w:color w:val="000000" w:themeColor="text1"/>
        </w:rPr>
        <w:t>καταλληλότητα</w:t>
      </w:r>
      <w:proofErr w:type="spellEnd"/>
      <w:r w:rsidRPr="00131089">
        <w:rPr>
          <w:color w:val="000000" w:themeColor="text1"/>
        </w:rPr>
        <w:t xml:space="preserve"> της νομικής βάσης που τροποποιήθηκε κατ’ αυτόν τον τρόπο.</w:t>
      </w:r>
    </w:p>
    <w:p w14:paraId="79224D86" w14:textId="77777777" w:rsidR="00FC1E12" w:rsidRPr="00131089" w:rsidRDefault="00FC1E12" w:rsidP="00FC1E12">
      <w:pPr>
        <w:tabs>
          <w:tab w:val="left" w:pos="567"/>
          <w:tab w:val="left" w:pos="7014"/>
        </w:tabs>
        <w:spacing w:after="240"/>
        <w:ind w:left="567" w:hanging="567"/>
        <w:rPr>
          <w:rStyle w:val="Nessuno"/>
          <w:b/>
          <w:bCs/>
        </w:rPr>
      </w:pPr>
      <w:r w:rsidRPr="00131089">
        <w:rPr>
          <w:b/>
          <w:u w:val="single"/>
        </w:rPr>
        <w:t>ΙΙ – Τα συναφή άρθρα της Συνθήκης</w:t>
      </w:r>
    </w:p>
    <w:p w14:paraId="340514A0" w14:textId="77777777" w:rsidR="00FC1E12" w:rsidRPr="00131089" w:rsidRDefault="00FC1E12" w:rsidP="006A4CE5">
      <w:pPr>
        <w:tabs>
          <w:tab w:val="left" w:pos="7014"/>
        </w:tabs>
        <w:rPr>
          <w:rStyle w:val="Nessuno"/>
          <w:bCs/>
        </w:rPr>
      </w:pPr>
      <w:r w:rsidRPr="00131089">
        <w:rPr>
          <w:rStyle w:val="Nessuno"/>
        </w:rPr>
        <w:t>Το κεφάλαιο 4 («Δικαστική συνεργασία σε ποινικές υποθέσεις») του τίτλου V του τρίτου μέρους της ΣΛΕΕ ορίζει, μεταξύ άλλων (η επισήμανση του συντάκτη):</w:t>
      </w:r>
    </w:p>
    <w:p w14:paraId="41F51D36" w14:textId="77777777" w:rsidR="00FC1E12" w:rsidRPr="00131089" w:rsidRDefault="00FC1E12" w:rsidP="00FC1E12">
      <w:pPr>
        <w:tabs>
          <w:tab w:val="left" w:pos="7014"/>
        </w:tabs>
        <w:rPr>
          <w:rStyle w:val="Nessuno"/>
          <w:bCs/>
          <w:i/>
        </w:rPr>
      </w:pPr>
    </w:p>
    <w:p w14:paraId="736E6759" w14:textId="77777777" w:rsidR="00FC1E12" w:rsidRPr="00131089" w:rsidRDefault="00FC1E12" w:rsidP="00FC1E12">
      <w:pPr>
        <w:tabs>
          <w:tab w:val="left" w:pos="7014"/>
        </w:tabs>
        <w:jc w:val="center"/>
        <w:rPr>
          <w:rStyle w:val="Nessuno"/>
          <w:bCs/>
          <w:i/>
        </w:rPr>
      </w:pPr>
      <w:r w:rsidRPr="00131089">
        <w:rPr>
          <w:rStyle w:val="Nessuno"/>
          <w:i/>
        </w:rPr>
        <w:t>Άρθρο 85</w:t>
      </w:r>
    </w:p>
    <w:p w14:paraId="6D7FAD27" w14:textId="77777777" w:rsidR="00FC1E12" w:rsidRPr="00131089" w:rsidRDefault="00FC1E12" w:rsidP="00FC1E12">
      <w:pPr>
        <w:tabs>
          <w:tab w:val="left" w:pos="7014"/>
        </w:tabs>
        <w:jc w:val="center"/>
        <w:rPr>
          <w:rStyle w:val="Nessuno"/>
          <w:bCs/>
          <w:i/>
        </w:rPr>
      </w:pPr>
      <w:r w:rsidRPr="00131089">
        <w:rPr>
          <w:i/>
        </w:rPr>
        <w:t>(πρώην άρθρο 31 ΣΕΕ)</w:t>
      </w:r>
    </w:p>
    <w:p w14:paraId="562299B1" w14:textId="77777777" w:rsidR="00FC1E12" w:rsidRPr="00131089" w:rsidRDefault="00FC1E12" w:rsidP="00FC1E12">
      <w:pPr>
        <w:tabs>
          <w:tab w:val="left" w:pos="7014"/>
        </w:tabs>
        <w:jc w:val="both"/>
        <w:rPr>
          <w:rStyle w:val="Nessuno"/>
          <w:bCs/>
          <w:i/>
        </w:rPr>
      </w:pPr>
    </w:p>
    <w:p w14:paraId="086F0421" w14:textId="77777777" w:rsidR="00FC1E12" w:rsidRPr="00131089" w:rsidRDefault="00FC1E12" w:rsidP="00C82F7E">
      <w:pPr>
        <w:tabs>
          <w:tab w:val="left" w:pos="7014"/>
        </w:tabs>
        <w:ind w:left="426" w:hanging="426"/>
        <w:jc w:val="both"/>
        <w:rPr>
          <w:rStyle w:val="Nessuno"/>
          <w:b/>
          <w:bCs/>
          <w:i/>
        </w:rPr>
      </w:pPr>
    </w:p>
    <w:p w14:paraId="25FE1DE3" w14:textId="77777777" w:rsidR="00571C42" w:rsidRPr="00131089" w:rsidRDefault="00571C42" w:rsidP="00C82F7E">
      <w:pPr>
        <w:tabs>
          <w:tab w:val="left" w:pos="7014"/>
        </w:tabs>
        <w:ind w:left="426" w:hanging="426"/>
        <w:jc w:val="both"/>
        <w:rPr>
          <w:rStyle w:val="Nessuno"/>
          <w:b/>
          <w:bCs/>
          <w:i/>
        </w:rPr>
      </w:pPr>
    </w:p>
    <w:p w14:paraId="20CD5446" w14:textId="77777777" w:rsidR="00571C42" w:rsidRPr="00131089" w:rsidRDefault="00571C42" w:rsidP="00C82F7E">
      <w:pPr>
        <w:tabs>
          <w:tab w:val="left" w:pos="7014"/>
        </w:tabs>
        <w:ind w:left="360" w:hanging="360"/>
        <w:jc w:val="both"/>
        <w:rPr>
          <w:rStyle w:val="Nessuno"/>
          <w:b/>
          <w:i/>
        </w:rPr>
      </w:pPr>
      <w:r w:rsidRPr="00131089">
        <w:rPr>
          <w:rStyle w:val="Nessuno"/>
          <w:b/>
          <w:i/>
        </w:rPr>
        <w:t>1.</w:t>
      </w:r>
      <w:r w:rsidRPr="00131089">
        <w:rPr>
          <w:rStyle w:val="Nessuno"/>
          <w:b/>
          <w:i/>
        </w:rPr>
        <w:tab/>
        <w:t>Αποστολή της Ευρωπαϊκής Μονάδας Δικαστικής Συνεργασίας (</w:t>
      </w:r>
      <w:proofErr w:type="spellStart"/>
      <w:r w:rsidRPr="00131089">
        <w:rPr>
          <w:rStyle w:val="Nessuno"/>
          <w:b/>
          <w:i/>
        </w:rPr>
        <w:t>Eurojust</w:t>
      </w:r>
      <w:proofErr w:type="spellEnd"/>
      <w:r w:rsidRPr="00131089">
        <w:rPr>
          <w:rStyle w:val="Nessuno"/>
          <w:b/>
          <w:i/>
        </w:rPr>
        <w:t xml:space="preserve">) είναι η στήριξη και η ενίσχυση του συντονισμού και της συνεργασίας μεταξύ των αρμόδιων εθνικών αρχών για την έρευνα και τη δίωξη σοβαρών εγκλημάτων που έχουν επιπτώσεις σε δύο ή περισσότερα κράτη μέλη ή απαιτούν δίωξη σε κοινές βάσεις, βάσει επιχειρήσεων που διεξάγονται και πληροφοριών που παρέχονται από τις αρχές των κρατών μελών και την </w:t>
      </w:r>
      <w:proofErr w:type="spellStart"/>
      <w:r w:rsidRPr="00131089">
        <w:rPr>
          <w:rStyle w:val="Nessuno"/>
          <w:b/>
          <w:i/>
        </w:rPr>
        <w:t>Ευρωπόλ</w:t>
      </w:r>
      <w:proofErr w:type="spellEnd"/>
      <w:r w:rsidRPr="00131089">
        <w:rPr>
          <w:rStyle w:val="Nessuno"/>
          <w:b/>
          <w:i/>
        </w:rPr>
        <w:t>.</w:t>
      </w:r>
    </w:p>
    <w:p w14:paraId="0026CDDC" w14:textId="77777777" w:rsidR="00571C42" w:rsidRPr="00131089" w:rsidRDefault="00571C42" w:rsidP="00571C42">
      <w:pPr>
        <w:tabs>
          <w:tab w:val="left" w:pos="7014"/>
        </w:tabs>
        <w:ind w:left="426" w:hanging="426"/>
        <w:jc w:val="both"/>
        <w:rPr>
          <w:rStyle w:val="Nessuno"/>
          <w:b/>
          <w:i/>
        </w:rPr>
      </w:pPr>
      <w:r w:rsidRPr="00131089">
        <w:rPr>
          <w:rStyle w:val="Nessuno"/>
          <w:b/>
          <w:i/>
        </w:rPr>
        <w:tab/>
        <w:t xml:space="preserve">Σε αυτή τη συνάρτηση, το Ευρωπαϊκό Κοινοβούλιο και το Συμβούλιο, αποφασίζοντας σύμφωνα με τη συνήθη νομοθετική διαδικασία, μέσω κανονισμών, μπορούν να καθορίζουν τη δομή, τη λειτουργία, το πεδίο δράσης και τα καθήκοντα της </w:t>
      </w:r>
      <w:proofErr w:type="spellStart"/>
      <w:r w:rsidRPr="00131089">
        <w:rPr>
          <w:rStyle w:val="Nessuno"/>
          <w:b/>
          <w:i/>
        </w:rPr>
        <w:t>Eurojust</w:t>
      </w:r>
      <w:proofErr w:type="spellEnd"/>
      <w:r w:rsidRPr="00131089">
        <w:rPr>
          <w:rStyle w:val="Nessuno"/>
          <w:b/>
          <w:i/>
        </w:rPr>
        <w:t>. Τα καθήκοντα αυτά μπορούν να περιλαμβάνουν:</w:t>
      </w:r>
    </w:p>
    <w:p w14:paraId="6BB42EE3" w14:textId="77777777" w:rsidR="00571C42" w:rsidRPr="00131089" w:rsidRDefault="00571C42" w:rsidP="00571C42">
      <w:pPr>
        <w:tabs>
          <w:tab w:val="left" w:pos="7014"/>
        </w:tabs>
        <w:ind w:left="426" w:hanging="426"/>
        <w:jc w:val="both"/>
        <w:rPr>
          <w:rStyle w:val="Nessuno"/>
          <w:b/>
          <w:i/>
        </w:rPr>
      </w:pPr>
    </w:p>
    <w:p w14:paraId="7A779C9E" w14:textId="77777777" w:rsidR="00571C42" w:rsidRPr="00131089" w:rsidRDefault="00571C42" w:rsidP="00571C42">
      <w:pPr>
        <w:tabs>
          <w:tab w:val="left" w:pos="7014"/>
        </w:tabs>
        <w:ind w:left="851" w:hanging="426"/>
        <w:jc w:val="both"/>
        <w:rPr>
          <w:rStyle w:val="Nessuno"/>
          <w:b/>
          <w:i/>
        </w:rPr>
      </w:pPr>
      <w:r w:rsidRPr="00131089">
        <w:rPr>
          <w:rStyle w:val="Nessuno"/>
          <w:b/>
          <w:i/>
        </w:rPr>
        <w:t xml:space="preserve">α) </w:t>
      </w:r>
      <w:r w:rsidRPr="00131089">
        <w:rPr>
          <w:rStyle w:val="Nessuno"/>
          <w:b/>
          <w:i/>
        </w:rPr>
        <w:tab/>
        <w:t>την έναρξη ποινικών ερευνών καθώς και την εισήγηση για την κίνηση ποινικών διώξεων που διεξάγονται από τις αρμόδιες εθνικές αρχές, και ειδικότερα των διώξεων που αφορούν αδικήματα κατά των οικονομικών συμφερόντων της Ένωσης,</w:t>
      </w:r>
    </w:p>
    <w:p w14:paraId="59C0660A" w14:textId="77777777" w:rsidR="00571C42" w:rsidRPr="00131089" w:rsidRDefault="00571C42" w:rsidP="00571C42">
      <w:pPr>
        <w:tabs>
          <w:tab w:val="left" w:pos="7014"/>
        </w:tabs>
        <w:ind w:left="851" w:hanging="426"/>
        <w:jc w:val="both"/>
        <w:rPr>
          <w:rStyle w:val="Nessuno"/>
          <w:b/>
          <w:i/>
        </w:rPr>
      </w:pPr>
    </w:p>
    <w:p w14:paraId="45176539" w14:textId="77777777" w:rsidR="00571C42" w:rsidRPr="00131089" w:rsidRDefault="00571C42" w:rsidP="00571C42">
      <w:pPr>
        <w:tabs>
          <w:tab w:val="left" w:pos="7014"/>
        </w:tabs>
        <w:ind w:left="851" w:hanging="426"/>
        <w:jc w:val="both"/>
        <w:rPr>
          <w:rStyle w:val="Nessuno"/>
          <w:b/>
          <w:i/>
        </w:rPr>
      </w:pPr>
      <w:r w:rsidRPr="00131089">
        <w:rPr>
          <w:rStyle w:val="Nessuno"/>
          <w:b/>
          <w:i/>
        </w:rPr>
        <w:t xml:space="preserve">β) </w:t>
      </w:r>
      <w:r w:rsidRPr="00131089">
        <w:rPr>
          <w:rStyle w:val="Nessuno"/>
          <w:b/>
          <w:i/>
        </w:rPr>
        <w:tab/>
        <w:t>τον συντονισμό των ερευνών και των διώξεων του στοιχείου α),</w:t>
      </w:r>
    </w:p>
    <w:p w14:paraId="2D932283" w14:textId="77777777" w:rsidR="00571C42" w:rsidRPr="00131089" w:rsidRDefault="00571C42" w:rsidP="00571C42">
      <w:pPr>
        <w:tabs>
          <w:tab w:val="left" w:pos="7014"/>
        </w:tabs>
        <w:ind w:left="851" w:hanging="426"/>
        <w:jc w:val="both"/>
        <w:rPr>
          <w:rStyle w:val="Nessuno"/>
          <w:b/>
          <w:i/>
        </w:rPr>
      </w:pPr>
    </w:p>
    <w:p w14:paraId="009FB729" w14:textId="77777777" w:rsidR="00571C42" w:rsidRPr="00131089" w:rsidRDefault="00571C42" w:rsidP="00571C42">
      <w:pPr>
        <w:tabs>
          <w:tab w:val="left" w:pos="7014"/>
        </w:tabs>
        <w:ind w:left="851" w:hanging="426"/>
        <w:jc w:val="both"/>
        <w:rPr>
          <w:rStyle w:val="Nessuno"/>
          <w:b/>
          <w:i/>
        </w:rPr>
      </w:pPr>
      <w:r w:rsidRPr="00131089">
        <w:rPr>
          <w:rStyle w:val="Nessuno"/>
          <w:b/>
          <w:i/>
        </w:rPr>
        <w:t xml:space="preserve">γ) </w:t>
      </w:r>
      <w:r w:rsidRPr="00131089">
        <w:rPr>
          <w:rStyle w:val="Nessuno"/>
          <w:b/>
          <w:i/>
        </w:rPr>
        <w:tab/>
        <w:t>την ενίσχυση της δικαστικής συνεργασίας, μεταξύ άλλων με την επίλυση των συγκρούσεων δικαιοδοσίας και με στενή συνεργασία με το Ευρωπαϊκό Δικαστικό Δίκτυο.</w:t>
      </w:r>
    </w:p>
    <w:p w14:paraId="0A4262E2" w14:textId="77777777" w:rsidR="00571C42" w:rsidRPr="00131089" w:rsidRDefault="00571C42" w:rsidP="00571C42">
      <w:pPr>
        <w:tabs>
          <w:tab w:val="left" w:pos="7014"/>
        </w:tabs>
        <w:ind w:left="851" w:hanging="426"/>
        <w:jc w:val="both"/>
        <w:rPr>
          <w:rStyle w:val="Nessuno"/>
          <w:b/>
          <w:i/>
        </w:rPr>
      </w:pPr>
    </w:p>
    <w:p w14:paraId="2FD83A6A" w14:textId="77777777" w:rsidR="00571C42" w:rsidRPr="00131089" w:rsidRDefault="00571C42" w:rsidP="00C82F7E">
      <w:pPr>
        <w:tabs>
          <w:tab w:val="left" w:pos="7014"/>
        </w:tabs>
        <w:ind w:left="426" w:hanging="426"/>
        <w:jc w:val="both"/>
        <w:rPr>
          <w:rStyle w:val="Nessuno"/>
          <w:b/>
          <w:bCs/>
          <w:i/>
        </w:rPr>
      </w:pPr>
      <w:r w:rsidRPr="00131089">
        <w:rPr>
          <w:rStyle w:val="Nessuno"/>
          <w:b/>
          <w:i/>
        </w:rPr>
        <w:t xml:space="preserve">Οι εν λόγω κανονισμοί καθορίζουν επίσης τις πρακτικές ρυθμίσεις για τη συμμετοχή του Ευρωπαϊκού Κοινοβουλίου και των εθνικών κοινοβουλίων των κρατών μελών στην αξιολόγηση των δραστηριοτήτων της </w:t>
      </w:r>
      <w:proofErr w:type="spellStart"/>
      <w:r w:rsidRPr="00131089">
        <w:rPr>
          <w:rStyle w:val="Nessuno"/>
          <w:b/>
          <w:i/>
        </w:rPr>
        <w:t>Eurojust</w:t>
      </w:r>
      <w:proofErr w:type="spellEnd"/>
      <w:r w:rsidRPr="00131089">
        <w:rPr>
          <w:rStyle w:val="Nessuno"/>
          <w:b/>
          <w:i/>
        </w:rPr>
        <w:t>.</w:t>
      </w:r>
    </w:p>
    <w:p w14:paraId="1545D056" w14:textId="77777777" w:rsidR="00FC1E12" w:rsidRPr="00131089" w:rsidRDefault="00FC1E12" w:rsidP="00FC1E12">
      <w:pPr>
        <w:tabs>
          <w:tab w:val="left" w:pos="7014"/>
        </w:tabs>
        <w:jc w:val="both"/>
        <w:rPr>
          <w:rStyle w:val="Nessuno"/>
          <w:bCs/>
          <w:i/>
        </w:rPr>
      </w:pPr>
    </w:p>
    <w:p w14:paraId="32562A94" w14:textId="77777777" w:rsidR="00FC1E12" w:rsidRPr="00131089" w:rsidRDefault="00FC1E12" w:rsidP="00FC1E12">
      <w:pPr>
        <w:tabs>
          <w:tab w:val="left" w:pos="7014"/>
        </w:tabs>
        <w:ind w:left="426" w:hanging="426"/>
        <w:jc w:val="both"/>
        <w:rPr>
          <w:rStyle w:val="Nessuno"/>
          <w:bCs/>
          <w:i/>
        </w:rPr>
      </w:pPr>
      <w:r w:rsidRPr="00131089">
        <w:rPr>
          <w:rStyle w:val="Nessuno"/>
          <w:i/>
        </w:rPr>
        <w:t>(...)</w:t>
      </w:r>
    </w:p>
    <w:p w14:paraId="2EAC3BDB" w14:textId="77777777" w:rsidR="00FC1E12" w:rsidRPr="00131089" w:rsidRDefault="00FC1E12" w:rsidP="00FC1E12">
      <w:pPr>
        <w:tabs>
          <w:tab w:val="left" w:pos="7014"/>
        </w:tabs>
        <w:ind w:left="426" w:hanging="426"/>
        <w:jc w:val="both"/>
        <w:rPr>
          <w:rStyle w:val="Nessuno"/>
          <w:bCs/>
          <w:i/>
        </w:rPr>
      </w:pPr>
    </w:p>
    <w:p w14:paraId="208118B7" w14:textId="77777777" w:rsidR="00FC1E12" w:rsidRPr="00131089" w:rsidRDefault="00FC1E12" w:rsidP="006A4CE5">
      <w:pPr>
        <w:tabs>
          <w:tab w:val="left" w:pos="7014"/>
        </w:tabs>
        <w:rPr>
          <w:rStyle w:val="Nessuno"/>
          <w:bCs/>
        </w:rPr>
      </w:pPr>
      <w:r w:rsidRPr="00131089">
        <w:rPr>
          <w:rStyle w:val="Nessuno"/>
        </w:rPr>
        <w:t>Το κεφάλαιο 5 («Αστυνομική συνεργασία») του τίτλου V του τρίτου μέρους της ΣΛΕΕ ορίζει, μεταξύ άλλων (η επισήμανση του συντάκτη):</w:t>
      </w:r>
    </w:p>
    <w:p w14:paraId="139DDFA4" w14:textId="77777777" w:rsidR="00FC1E12" w:rsidRPr="00131089" w:rsidRDefault="00FC1E12" w:rsidP="00FC1E12">
      <w:pPr>
        <w:tabs>
          <w:tab w:val="left" w:pos="7014"/>
        </w:tabs>
        <w:jc w:val="both"/>
        <w:rPr>
          <w:rStyle w:val="Nessuno"/>
          <w:bCs/>
        </w:rPr>
      </w:pPr>
    </w:p>
    <w:p w14:paraId="2A99466C" w14:textId="77777777" w:rsidR="00FC1E12" w:rsidRPr="00131089" w:rsidRDefault="00FC1E12" w:rsidP="00FC1E12">
      <w:pPr>
        <w:tabs>
          <w:tab w:val="left" w:pos="7014"/>
        </w:tabs>
        <w:jc w:val="center"/>
        <w:rPr>
          <w:rStyle w:val="Nessuno"/>
          <w:bCs/>
          <w:i/>
        </w:rPr>
      </w:pPr>
      <w:r w:rsidRPr="00131089">
        <w:rPr>
          <w:rStyle w:val="Nessuno"/>
          <w:i/>
        </w:rPr>
        <w:t>Άρθρο 87</w:t>
      </w:r>
    </w:p>
    <w:p w14:paraId="552F6307" w14:textId="77777777" w:rsidR="00FC1E12" w:rsidRPr="00131089" w:rsidRDefault="00FC1E12" w:rsidP="00FC1E12">
      <w:pPr>
        <w:tabs>
          <w:tab w:val="left" w:pos="7014"/>
        </w:tabs>
        <w:jc w:val="center"/>
        <w:rPr>
          <w:rStyle w:val="Nessuno"/>
          <w:bCs/>
          <w:i/>
        </w:rPr>
      </w:pPr>
      <w:r w:rsidRPr="00131089">
        <w:rPr>
          <w:rStyle w:val="Nessuno"/>
          <w:i/>
        </w:rPr>
        <w:t>(πρώην άρθρο 30 ΣΕΕ)</w:t>
      </w:r>
    </w:p>
    <w:p w14:paraId="15F6F82C" w14:textId="77777777" w:rsidR="00FC1E12" w:rsidRPr="00131089" w:rsidRDefault="00FC1E12" w:rsidP="00FC1E12">
      <w:pPr>
        <w:tabs>
          <w:tab w:val="left" w:pos="7014"/>
        </w:tabs>
        <w:jc w:val="center"/>
        <w:rPr>
          <w:rStyle w:val="Nessuno"/>
          <w:bCs/>
          <w:i/>
        </w:rPr>
      </w:pPr>
    </w:p>
    <w:p w14:paraId="3E9B6C14" w14:textId="77777777" w:rsidR="00FC1E12" w:rsidRPr="00131089" w:rsidRDefault="00FC1E12" w:rsidP="00FC1E12">
      <w:pPr>
        <w:tabs>
          <w:tab w:val="left" w:pos="7014"/>
        </w:tabs>
        <w:ind w:left="426" w:hanging="426"/>
        <w:jc w:val="both"/>
        <w:rPr>
          <w:rStyle w:val="Nessuno"/>
          <w:bCs/>
          <w:i/>
        </w:rPr>
      </w:pPr>
      <w:r w:rsidRPr="00131089">
        <w:rPr>
          <w:rStyle w:val="Nessuno"/>
          <w:i/>
        </w:rPr>
        <w:t>1.</w:t>
      </w:r>
      <w:r w:rsidRPr="00131089">
        <w:rPr>
          <w:rStyle w:val="Nessuno"/>
          <w:i/>
        </w:rPr>
        <w:tab/>
        <w:t>Η Ένωση αναπτύσσει αστυνομική συνεργασία στην οποία συμμετέχουν όλες οι αρμόδιες αρχές των κρατών μελών, συμπεριλαμβανομένων των αστυνομικών και τελωνειακών αρχών και άλλων αρχών επιβολής του νόμου ειδικευμένων στον τομέα της πρόληψης ή της εξακρίβωσης αξιόποινων πράξεων ή της διερεύνησής τους.</w:t>
      </w:r>
    </w:p>
    <w:p w14:paraId="6B8E08AA" w14:textId="77777777" w:rsidR="00FC1E12" w:rsidRPr="00131089" w:rsidRDefault="00FC1E12" w:rsidP="00FC1E12">
      <w:pPr>
        <w:tabs>
          <w:tab w:val="left" w:pos="7014"/>
        </w:tabs>
        <w:jc w:val="both"/>
        <w:rPr>
          <w:rStyle w:val="Nessuno"/>
          <w:bCs/>
          <w:i/>
        </w:rPr>
      </w:pPr>
    </w:p>
    <w:p w14:paraId="42EF53F3" w14:textId="77777777" w:rsidR="00FC1E12" w:rsidRPr="00131089" w:rsidRDefault="00FC1E12" w:rsidP="00FC1E12">
      <w:pPr>
        <w:tabs>
          <w:tab w:val="left" w:pos="7014"/>
        </w:tabs>
        <w:ind w:left="426" w:hanging="426"/>
        <w:jc w:val="both"/>
        <w:rPr>
          <w:rStyle w:val="Nessuno"/>
          <w:b/>
          <w:i/>
        </w:rPr>
      </w:pPr>
      <w:r w:rsidRPr="00131089">
        <w:rPr>
          <w:rStyle w:val="Nessuno"/>
          <w:b/>
          <w:i/>
        </w:rPr>
        <w:t xml:space="preserve">2. </w:t>
      </w:r>
      <w:r w:rsidRPr="00131089">
        <w:rPr>
          <w:rStyle w:val="Nessuno"/>
          <w:b/>
          <w:i/>
        </w:rPr>
        <w:tab/>
        <w:t>Για τους σκοπούς της παραγράφου 1, το Ευρωπαϊκό Κοινοβούλιο και το Συμβούλιο, αποφασίζοντας σύμφωνα με τη συνήθη νομοθετική διαδικασία μπορούν να λαμβάνουν μέτρα που αφορούν:</w:t>
      </w:r>
    </w:p>
    <w:p w14:paraId="72746438" w14:textId="77777777" w:rsidR="00FC1E12" w:rsidRPr="00131089" w:rsidRDefault="00FC1E12" w:rsidP="00FC1E12">
      <w:pPr>
        <w:tabs>
          <w:tab w:val="left" w:pos="7014"/>
        </w:tabs>
        <w:jc w:val="both"/>
        <w:rPr>
          <w:rStyle w:val="Nessuno"/>
          <w:b/>
          <w:i/>
        </w:rPr>
      </w:pPr>
    </w:p>
    <w:p w14:paraId="7635BB77" w14:textId="77777777" w:rsidR="00FC1E12" w:rsidRPr="00131089" w:rsidRDefault="00FC1E12" w:rsidP="00FC1E12">
      <w:pPr>
        <w:tabs>
          <w:tab w:val="left" w:pos="7014"/>
        </w:tabs>
        <w:ind w:left="851" w:hanging="425"/>
        <w:jc w:val="both"/>
        <w:rPr>
          <w:rStyle w:val="Nessuno"/>
          <w:b/>
          <w:i/>
        </w:rPr>
      </w:pPr>
      <w:r w:rsidRPr="00131089">
        <w:rPr>
          <w:rStyle w:val="Nessuno"/>
          <w:b/>
          <w:i/>
        </w:rPr>
        <w:t>α)</w:t>
      </w:r>
      <w:r w:rsidRPr="00131089">
        <w:rPr>
          <w:rStyle w:val="Nessuno"/>
          <w:b/>
          <w:i/>
        </w:rPr>
        <w:tab/>
        <w:t>τη συλλογή, αποθήκευση, επεξεργασία, ανάλυση και ανταλλαγή σχετικών πληροφοριών,</w:t>
      </w:r>
    </w:p>
    <w:p w14:paraId="0665BFA4" w14:textId="77777777" w:rsidR="00FC1E12" w:rsidRPr="00131089" w:rsidRDefault="00FC1E12" w:rsidP="00FC1E12">
      <w:pPr>
        <w:tabs>
          <w:tab w:val="left" w:pos="7014"/>
        </w:tabs>
        <w:ind w:left="851" w:hanging="425"/>
        <w:jc w:val="both"/>
        <w:rPr>
          <w:rStyle w:val="Nessuno"/>
          <w:b/>
          <w:i/>
        </w:rPr>
      </w:pPr>
    </w:p>
    <w:p w14:paraId="0875B05A" w14:textId="77777777" w:rsidR="00FC1E12" w:rsidRPr="00131089" w:rsidRDefault="00FC1E12" w:rsidP="00FC1E12">
      <w:pPr>
        <w:tabs>
          <w:tab w:val="left" w:pos="7014"/>
        </w:tabs>
        <w:ind w:left="851" w:hanging="425"/>
        <w:jc w:val="both"/>
        <w:rPr>
          <w:rStyle w:val="Nessuno"/>
          <w:b/>
          <w:i/>
        </w:rPr>
      </w:pPr>
      <w:r w:rsidRPr="00131089">
        <w:rPr>
          <w:rStyle w:val="Nessuno"/>
          <w:b/>
          <w:i/>
        </w:rPr>
        <w:t>β)</w:t>
      </w:r>
      <w:r w:rsidRPr="00131089">
        <w:rPr>
          <w:rStyle w:val="Nessuno"/>
          <w:b/>
          <w:i/>
        </w:rPr>
        <w:tab/>
        <w:t>την παροχή υποστήριξης για την κατάρτιση προσωπικού, καθώς και τη συνεργασία όσον αφορά τις ανταλλαγές προσωπικού, τον εξοπλισμό και την εγκληματολογική έρευνα,</w:t>
      </w:r>
    </w:p>
    <w:p w14:paraId="25FB21E5" w14:textId="77777777" w:rsidR="00FC1E12" w:rsidRPr="00131089" w:rsidRDefault="00FC1E12" w:rsidP="00FC1E12">
      <w:pPr>
        <w:tabs>
          <w:tab w:val="left" w:pos="7014"/>
        </w:tabs>
        <w:ind w:left="851" w:hanging="425"/>
        <w:jc w:val="both"/>
        <w:rPr>
          <w:rStyle w:val="Nessuno"/>
          <w:b/>
          <w:i/>
        </w:rPr>
      </w:pPr>
    </w:p>
    <w:p w14:paraId="2E5026AF" w14:textId="77777777" w:rsidR="00FC1E12" w:rsidRPr="00131089" w:rsidRDefault="00FC1E12" w:rsidP="00FC1E12">
      <w:pPr>
        <w:tabs>
          <w:tab w:val="left" w:pos="7014"/>
        </w:tabs>
        <w:ind w:left="851" w:hanging="425"/>
        <w:jc w:val="both"/>
        <w:rPr>
          <w:rStyle w:val="Nessuno"/>
          <w:b/>
          <w:i/>
        </w:rPr>
      </w:pPr>
      <w:r w:rsidRPr="00131089">
        <w:rPr>
          <w:rStyle w:val="Nessuno"/>
          <w:b/>
          <w:i/>
        </w:rPr>
        <w:t>γ)</w:t>
      </w:r>
      <w:r w:rsidRPr="00131089">
        <w:rPr>
          <w:rStyle w:val="Nessuno"/>
          <w:b/>
          <w:i/>
        </w:rPr>
        <w:tab/>
        <w:t>τις κοινές τεχνικές έρευνας όσον αφορά την εξακρίβωση σοβαρών μορφών οργανωμένου εγκλήματος.</w:t>
      </w:r>
    </w:p>
    <w:p w14:paraId="53E8CEE8" w14:textId="77777777" w:rsidR="00FC1E12" w:rsidRPr="00131089" w:rsidRDefault="00FC1E12" w:rsidP="00FC1E12">
      <w:pPr>
        <w:tabs>
          <w:tab w:val="left" w:pos="7014"/>
        </w:tabs>
        <w:jc w:val="both"/>
        <w:rPr>
          <w:rStyle w:val="Nessuno"/>
          <w:bCs/>
          <w:i/>
        </w:rPr>
      </w:pPr>
    </w:p>
    <w:p w14:paraId="25567120" w14:textId="77777777" w:rsidR="00FC1E12" w:rsidRPr="00131089" w:rsidRDefault="00FC1E12" w:rsidP="00FC1E12">
      <w:pPr>
        <w:tabs>
          <w:tab w:val="left" w:pos="7014"/>
        </w:tabs>
        <w:jc w:val="both"/>
        <w:rPr>
          <w:rStyle w:val="Nessuno"/>
          <w:bCs/>
          <w:i/>
        </w:rPr>
      </w:pPr>
      <w:r w:rsidRPr="00131089">
        <w:rPr>
          <w:rStyle w:val="Nessuno"/>
          <w:i/>
        </w:rPr>
        <w:t>(...)</w:t>
      </w:r>
    </w:p>
    <w:p w14:paraId="003EA01C" w14:textId="77777777" w:rsidR="00FC1E12" w:rsidRPr="00131089" w:rsidRDefault="00FC1E12" w:rsidP="00FC1E12">
      <w:pPr>
        <w:tabs>
          <w:tab w:val="left" w:pos="7014"/>
        </w:tabs>
        <w:jc w:val="both"/>
        <w:rPr>
          <w:rStyle w:val="Nessuno"/>
          <w:bCs/>
          <w:i/>
        </w:rPr>
      </w:pPr>
    </w:p>
    <w:p w14:paraId="7D911095" w14:textId="77777777" w:rsidR="00FC1E12" w:rsidRPr="00131089" w:rsidRDefault="00FC1E12" w:rsidP="00FC1E12">
      <w:pPr>
        <w:tabs>
          <w:tab w:val="left" w:pos="7014"/>
        </w:tabs>
        <w:jc w:val="center"/>
        <w:rPr>
          <w:rStyle w:val="Nessuno"/>
          <w:bCs/>
          <w:i/>
        </w:rPr>
      </w:pPr>
      <w:r w:rsidRPr="00131089">
        <w:rPr>
          <w:rStyle w:val="Nessuno"/>
          <w:i/>
        </w:rPr>
        <w:t>Άρθρο 88</w:t>
      </w:r>
    </w:p>
    <w:p w14:paraId="41363019" w14:textId="77777777" w:rsidR="00FC1E12" w:rsidRPr="00131089" w:rsidRDefault="00FC1E12" w:rsidP="00FC1E12">
      <w:pPr>
        <w:tabs>
          <w:tab w:val="left" w:pos="7014"/>
        </w:tabs>
        <w:jc w:val="center"/>
        <w:rPr>
          <w:rStyle w:val="Nessuno"/>
          <w:bCs/>
          <w:i/>
        </w:rPr>
      </w:pPr>
      <w:r w:rsidRPr="00131089">
        <w:rPr>
          <w:rStyle w:val="Nessuno"/>
          <w:i/>
        </w:rPr>
        <w:t>(πρώην άρθρο 30 ΣΕΕ)</w:t>
      </w:r>
    </w:p>
    <w:p w14:paraId="56DFFCA2" w14:textId="77777777" w:rsidR="00FC1E12" w:rsidRPr="00131089" w:rsidRDefault="00FC1E12" w:rsidP="00FC1E12">
      <w:pPr>
        <w:tabs>
          <w:tab w:val="left" w:pos="7014"/>
        </w:tabs>
        <w:jc w:val="center"/>
        <w:rPr>
          <w:rStyle w:val="Nessuno"/>
          <w:bCs/>
          <w:i/>
        </w:rPr>
      </w:pPr>
    </w:p>
    <w:p w14:paraId="69EBAC9D" w14:textId="77777777" w:rsidR="00FC1E12" w:rsidRPr="00131089" w:rsidRDefault="00FC1E12" w:rsidP="00FC1E12">
      <w:pPr>
        <w:tabs>
          <w:tab w:val="left" w:pos="7014"/>
        </w:tabs>
        <w:ind w:left="426" w:hanging="426"/>
        <w:jc w:val="both"/>
        <w:rPr>
          <w:rStyle w:val="Nessuno"/>
          <w:bCs/>
          <w:i/>
        </w:rPr>
      </w:pPr>
      <w:r w:rsidRPr="00131089">
        <w:rPr>
          <w:rStyle w:val="Nessuno"/>
          <w:i/>
        </w:rPr>
        <w:lastRenderedPageBreak/>
        <w:t xml:space="preserve">1. </w:t>
      </w:r>
      <w:r w:rsidRPr="00131089">
        <w:rPr>
          <w:rStyle w:val="Nessuno"/>
          <w:i/>
        </w:rPr>
        <w:tab/>
        <w:t xml:space="preserve">Αποστολή της </w:t>
      </w:r>
      <w:proofErr w:type="spellStart"/>
      <w:r w:rsidRPr="00131089">
        <w:rPr>
          <w:rStyle w:val="Nessuno"/>
          <w:i/>
        </w:rPr>
        <w:t>Ευρωπόλ</w:t>
      </w:r>
      <w:proofErr w:type="spellEnd"/>
      <w:r w:rsidRPr="00131089">
        <w:rPr>
          <w:rStyle w:val="Nessuno"/>
          <w:i/>
        </w:rPr>
        <w:t xml:space="preserve"> είναι η στήριξη και η ενίσχυση της δράσης των αστυνομικών αρχών και των άλλων αρχών επιβολής του νόμου των κρατών μελών, καθώς και της αμοιβαίας συνεργασίας τους στην πρόληψη και καταπολέμηση των σοβαρών εγκλημάτων που έχουν επιπτώσεις σε δύο ή περισσότερα κράτη μέλη, της τρομοκρατίας και των μορφών εγκληματικότητας που θίγουν ένα κοινό συμφέρον το οποίο αποτελεί αντικείμενο πολιτικής της Ένωσης.</w:t>
      </w:r>
    </w:p>
    <w:p w14:paraId="1149F41B" w14:textId="77777777" w:rsidR="00FC1E12" w:rsidRPr="00131089" w:rsidRDefault="00FC1E12" w:rsidP="00FC1E12">
      <w:pPr>
        <w:tabs>
          <w:tab w:val="left" w:pos="7014"/>
        </w:tabs>
        <w:ind w:left="426" w:hanging="426"/>
        <w:jc w:val="both"/>
        <w:rPr>
          <w:rStyle w:val="Nessuno"/>
          <w:bCs/>
          <w:i/>
        </w:rPr>
      </w:pPr>
    </w:p>
    <w:p w14:paraId="5D2666F4" w14:textId="77777777" w:rsidR="00FC1E12" w:rsidRPr="00131089" w:rsidRDefault="00FC1E12" w:rsidP="00FC1E12">
      <w:pPr>
        <w:tabs>
          <w:tab w:val="left" w:pos="7014"/>
        </w:tabs>
        <w:ind w:left="426" w:hanging="426"/>
        <w:jc w:val="both"/>
        <w:rPr>
          <w:rStyle w:val="Nessuno"/>
          <w:b/>
          <w:i/>
        </w:rPr>
      </w:pPr>
      <w:r w:rsidRPr="00131089">
        <w:rPr>
          <w:rStyle w:val="Nessuno"/>
          <w:b/>
          <w:i/>
        </w:rPr>
        <w:t xml:space="preserve">2. </w:t>
      </w:r>
      <w:r w:rsidRPr="00131089">
        <w:rPr>
          <w:rStyle w:val="Nessuno"/>
          <w:b/>
          <w:i/>
        </w:rPr>
        <w:tab/>
        <w:t xml:space="preserve">Το Ευρωπαϊκό Κοινοβούλιο και το Συμβούλιο, αποφασίζοντας σύμφωνα με τη συνήθη νομοθετική διαδικασία μέσω κανονισμών, μπορούν να καθορίζουν τη δομή, τη λειτουργία, το πεδίο δράσης και τα καθήκοντα της </w:t>
      </w:r>
      <w:proofErr w:type="spellStart"/>
      <w:r w:rsidRPr="00131089">
        <w:rPr>
          <w:rStyle w:val="Nessuno"/>
          <w:b/>
          <w:i/>
        </w:rPr>
        <w:t>Ευρωπόλ</w:t>
      </w:r>
      <w:proofErr w:type="spellEnd"/>
      <w:r w:rsidRPr="00131089">
        <w:rPr>
          <w:rStyle w:val="Nessuno"/>
          <w:b/>
          <w:i/>
        </w:rPr>
        <w:t>. Τα καθήκοντα αυτά μπορούν να περιλαμβάνουν:</w:t>
      </w:r>
    </w:p>
    <w:p w14:paraId="254892DB" w14:textId="77777777" w:rsidR="00FC1E12" w:rsidRPr="00131089" w:rsidRDefault="00FC1E12" w:rsidP="00FC1E12">
      <w:pPr>
        <w:tabs>
          <w:tab w:val="left" w:pos="7014"/>
        </w:tabs>
        <w:jc w:val="both"/>
        <w:rPr>
          <w:rStyle w:val="Nessuno"/>
          <w:b/>
          <w:i/>
        </w:rPr>
      </w:pPr>
    </w:p>
    <w:p w14:paraId="6C36AAD5" w14:textId="77777777" w:rsidR="00FC1E12" w:rsidRPr="00131089" w:rsidRDefault="00FC1E12" w:rsidP="00FC1E12">
      <w:pPr>
        <w:tabs>
          <w:tab w:val="left" w:pos="7014"/>
        </w:tabs>
        <w:ind w:left="851" w:hanging="425"/>
        <w:jc w:val="both"/>
        <w:rPr>
          <w:rStyle w:val="Nessuno"/>
          <w:b/>
          <w:i/>
        </w:rPr>
      </w:pPr>
      <w:r w:rsidRPr="00131089">
        <w:rPr>
          <w:rStyle w:val="Nessuno"/>
          <w:b/>
          <w:i/>
        </w:rPr>
        <w:t>α)</w:t>
      </w:r>
      <w:r w:rsidRPr="00131089">
        <w:rPr>
          <w:rStyle w:val="Nessuno"/>
          <w:b/>
          <w:i/>
        </w:rPr>
        <w:tab/>
        <w:t>τη συλλογή, αποθήκευση, επεξεργασία, ανάλυση και ανταλλαγή πληροφοριών που διαβιβάζονται ιδίως από τις αρχές των κρατών μελών ή τρίτων χωρών, ή οργανισμών,</w:t>
      </w:r>
    </w:p>
    <w:p w14:paraId="08448DF7" w14:textId="77777777" w:rsidR="00FC1E12" w:rsidRPr="00131089" w:rsidRDefault="00FC1E12" w:rsidP="00FC1E12">
      <w:pPr>
        <w:tabs>
          <w:tab w:val="left" w:pos="7014"/>
        </w:tabs>
        <w:ind w:left="851" w:hanging="425"/>
        <w:jc w:val="both"/>
        <w:rPr>
          <w:rStyle w:val="Nessuno"/>
          <w:b/>
          <w:i/>
        </w:rPr>
      </w:pPr>
    </w:p>
    <w:p w14:paraId="4906F573" w14:textId="77777777" w:rsidR="00FC1E12" w:rsidRPr="00131089" w:rsidRDefault="00FC1E12" w:rsidP="00FC1E12">
      <w:pPr>
        <w:tabs>
          <w:tab w:val="left" w:pos="7014"/>
        </w:tabs>
        <w:ind w:left="851" w:hanging="425"/>
        <w:jc w:val="both"/>
        <w:rPr>
          <w:rStyle w:val="Nessuno"/>
          <w:b/>
          <w:i/>
        </w:rPr>
      </w:pPr>
      <w:r w:rsidRPr="00131089">
        <w:rPr>
          <w:rStyle w:val="Nessuno"/>
          <w:b/>
          <w:i/>
        </w:rPr>
        <w:t>β)</w:t>
      </w:r>
      <w:r w:rsidRPr="00131089">
        <w:rPr>
          <w:rStyle w:val="Nessuno"/>
          <w:b/>
          <w:i/>
        </w:rPr>
        <w:tab/>
        <w:t xml:space="preserve">τον συντονισμό, τη διοργάνωση και τη διεξαγωγή ερευνών και επιχειρησιακών δράσεων, από κοινού με τις αρμόδιες αρχές των κρατών μελών ή στο πλαίσιο κοινών ομάδων ερευνών, ενδεχομένως σε σύνδεση με την </w:t>
      </w:r>
      <w:proofErr w:type="spellStart"/>
      <w:r w:rsidRPr="00131089">
        <w:rPr>
          <w:rStyle w:val="Nessuno"/>
          <w:b/>
          <w:i/>
        </w:rPr>
        <w:t>Eurojust</w:t>
      </w:r>
      <w:proofErr w:type="spellEnd"/>
      <w:r w:rsidRPr="00131089">
        <w:rPr>
          <w:rStyle w:val="Nessuno"/>
          <w:b/>
          <w:i/>
        </w:rPr>
        <w:t>.</w:t>
      </w:r>
    </w:p>
    <w:p w14:paraId="2B0329E0" w14:textId="77777777" w:rsidR="00FC1E12" w:rsidRPr="00131089" w:rsidRDefault="00FC1E12" w:rsidP="00FC1E12">
      <w:pPr>
        <w:tabs>
          <w:tab w:val="left" w:pos="7014"/>
        </w:tabs>
        <w:jc w:val="both"/>
        <w:rPr>
          <w:rStyle w:val="Nessuno"/>
          <w:b/>
          <w:i/>
        </w:rPr>
      </w:pPr>
    </w:p>
    <w:p w14:paraId="336A3BD6" w14:textId="77777777" w:rsidR="00FC1E12" w:rsidRPr="00131089" w:rsidRDefault="00FC1E12" w:rsidP="00FC1E12">
      <w:pPr>
        <w:tabs>
          <w:tab w:val="left" w:pos="7014"/>
        </w:tabs>
        <w:ind w:left="426" w:hanging="426"/>
        <w:jc w:val="both"/>
        <w:rPr>
          <w:rStyle w:val="Nessuno"/>
          <w:b/>
          <w:i/>
        </w:rPr>
      </w:pPr>
      <w:r w:rsidRPr="00131089">
        <w:rPr>
          <w:rStyle w:val="Nessuno"/>
          <w:b/>
          <w:i/>
        </w:rPr>
        <w:tab/>
        <w:t xml:space="preserve">Οι εν λόγω κανονισμοί καθορίζουν επίσης τους όρους ελέγχου των δραστηριοτήτων της </w:t>
      </w:r>
      <w:proofErr w:type="spellStart"/>
      <w:r w:rsidRPr="00131089">
        <w:rPr>
          <w:rStyle w:val="Nessuno"/>
          <w:b/>
          <w:i/>
        </w:rPr>
        <w:t>Ευρωπόλ</w:t>
      </w:r>
      <w:proofErr w:type="spellEnd"/>
      <w:r w:rsidRPr="00131089">
        <w:rPr>
          <w:rStyle w:val="Nessuno"/>
          <w:b/>
          <w:i/>
        </w:rPr>
        <w:t xml:space="preserve"> από το Ευρωπαϊκό Κοινοβούλιο, με τη συμμετοχή των εθνικών κοινοβουλίων.</w:t>
      </w:r>
    </w:p>
    <w:p w14:paraId="0D8642D5" w14:textId="77777777" w:rsidR="00FC1E12" w:rsidRPr="00131089" w:rsidRDefault="00FC1E12" w:rsidP="00FC1E12">
      <w:pPr>
        <w:tabs>
          <w:tab w:val="left" w:pos="7014"/>
        </w:tabs>
        <w:jc w:val="both"/>
        <w:rPr>
          <w:rStyle w:val="Nessuno"/>
          <w:bCs/>
          <w:i/>
        </w:rPr>
      </w:pPr>
    </w:p>
    <w:p w14:paraId="72BEA0CB" w14:textId="77777777" w:rsidR="00FC1E12" w:rsidRPr="00131089" w:rsidRDefault="00FC1E12" w:rsidP="00FC1E12">
      <w:pPr>
        <w:ind w:left="426" w:hanging="426"/>
        <w:jc w:val="both"/>
        <w:rPr>
          <w:rStyle w:val="Nessuno"/>
          <w:b/>
          <w:bCs/>
          <w:i/>
        </w:rPr>
      </w:pPr>
      <w:r w:rsidRPr="00131089">
        <w:rPr>
          <w:rStyle w:val="Nessuno"/>
          <w:i/>
        </w:rPr>
        <w:t>3.</w:t>
      </w:r>
      <w:r w:rsidRPr="00131089">
        <w:rPr>
          <w:rStyle w:val="Nessuno"/>
          <w:i/>
        </w:rPr>
        <w:tab/>
        <w:t xml:space="preserve">Κάθε επιχειρησιακή δράση της </w:t>
      </w:r>
      <w:proofErr w:type="spellStart"/>
      <w:r w:rsidRPr="00131089">
        <w:rPr>
          <w:rStyle w:val="Nessuno"/>
          <w:i/>
        </w:rPr>
        <w:t>Ευρωπόλ</w:t>
      </w:r>
      <w:proofErr w:type="spellEnd"/>
      <w:r w:rsidRPr="00131089">
        <w:rPr>
          <w:rStyle w:val="Nessuno"/>
          <w:i/>
        </w:rPr>
        <w:t xml:space="preserve"> πρέπει να διεξάγεται σε συνεργασία και σε συμφωνία με τις αρχές του κράτους μέλους ή των κρατών μελών στο έδαφος του οποίου ή των οποίων διεξάγονται. Η εφαρμογή μέτρων καταναγκαστικού χαρακτήρα εμπίπτει στην αποκλειστική αρμοδιότητα των εθνικών αρχών.</w:t>
      </w:r>
    </w:p>
    <w:p w14:paraId="162B8D86" w14:textId="77777777" w:rsidR="00FC1E12" w:rsidRPr="00131089" w:rsidRDefault="00FC1E12" w:rsidP="00FC1E12">
      <w:pPr>
        <w:jc w:val="both"/>
        <w:rPr>
          <w:rStyle w:val="Nessuno"/>
          <w:b/>
          <w:bCs/>
          <w:i/>
        </w:rPr>
      </w:pPr>
    </w:p>
    <w:p w14:paraId="1FE1183C" w14:textId="77777777" w:rsidR="00FC1E12" w:rsidRPr="00131089" w:rsidRDefault="00FC1E12" w:rsidP="00FC1E12">
      <w:pPr>
        <w:tabs>
          <w:tab w:val="left" w:pos="567"/>
          <w:tab w:val="left" w:pos="7014"/>
        </w:tabs>
        <w:ind w:left="397" w:hanging="397"/>
        <w:jc w:val="both"/>
        <w:rPr>
          <w:rStyle w:val="Nessuno"/>
          <w:bCs/>
          <w:i/>
        </w:rPr>
      </w:pPr>
    </w:p>
    <w:p w14:paraId="196B8560" w14:textId="77777777" w:rsidR="00FC1E12" w:rsidRPr="00131089" w:rsidRDefault="00FC1E12" w:rsidP="00FC1E12">
      <w:pPr>
        <w:spacing w:after="240"/>
        <w:jc w:val="both"/>
        <w:rPr>
          <w:b/>
          <w:u w:val="single"/>
        </w:rPr>
      </w:pPr>
      <w:r w:rsidRPr="00131089">
        <w:rPr>
          <w:b/>
          <w:u w:val="single"/>
        </w:rPr>
        <w:t>ΙΙΙ – Η νομολογία του ΔΕΕ όσον αφορά την επιλογή της νομικής βάσης</w:t>
      </w:r>
    </w:p>
    <w:p w14:paraId="4CE8639B" w14:textId="77777777" w:rsidR="00FC1E12" w:rsidRPr="00131089" w:rsidRDefault="00FC1E12" w:rsidP="006A4CE5">
      <w:pPr>
        <w:pStyle w:val="Point123"/>
        <w:numPr>
          <w:ilvl w:val="0"/>
          <w:numId w:val="0"/>
        </w:numPr>
        <w:spacing w:before="0" w:after="0" w:line="240" w:lineRule="auto"/>
        <w:rPr>
          <w:color w:val="000000" w:themeColor="text1"/>
        </w:rPr>
      </w:pPr>
      <w:r w:rsidRPr="00131089">
        <w:rPr>
          <w:color w:val="000000" w:themeColor="text1"/>
        </w:rPr>
        <w:t>Το Δικαστήριο ανέκαθεν θεωρούσε ότι το ζήτημα της κατάλληλης νομικής βάσης ενέχει σπουδαιότητα συνταγματικού χαρακτήρα, ώστε να διασφαλίζεται η συμμόρφωση με την αρχή της δοτής αρμοδιότητας (άρθρο 5 της Συνθήκης για την Ευρωπαϊκή Ένωση) και να καθορίζεται η φύση και η έκταση των αρμοδιοτήτων της Ένωσης</w:t>
      </w:r>
      <w:r w:rsidRPr="00131089">
        <w:rPr>
          <w:color w:val="000000" w:themeColor="text1"/>
          <w:vertAlign w:val="superscript"/>
        </w:rPr>
        <w:footnoteReference w:id="2"/>
      </w:r>
      <w:r w:rsidRPr="00131089">
        <w:rPr>
          <w:color w:val="000000" w:themeColor="text1"/>
        </w:rPr>
        <w:t>.</w:t>
      </w:r>
    </w:p>
    <w:p w14:paraId="0A41FFD6" w14:textId="77777777" w:rsidR="00FC1E12" w:rsidRPr="00131089" w:rsidRDefault="00FC1E12" w:rsidP="00FC1E12">
      <w:pPr>
        <w:pStyle w:val="Point123"/>
        <w:numPr>
          <w:ilvl w:val="0"/>
          <w:numId w:val="0"/>
        </w:numPr>
        <w:spacing w:before="0" w:after="0" w:line="240" w:lineRule="auto"/>
        <w:jc w:val="both"/>
        <w:rPr>
          <w:color w:val="000000" w:themeColor="text1"/>
        </w:rPr>
      </w:pPr>
    </w:p>
    <w:p w14:paraId="21007602" w14:textId="77777777" w:rsidR="00FC1E12" w:rsidRPr="00131089" w:rsidRDefault="00FC1E12" w:rsidP="006A4CE5">
      <w:pPr>
        <w:pStyle w:val="Point123"/>
        <w:numPr>
          <w:ilvl w:val="0"/>
          <w:numId w:val="0"/>
        </w:numPr>
        <w:spacing w:before="0" w:after="0" w:line="240" w:lineRule="auto"/>
        <w:rPr>
          <w:color w:val="000000" w:themeColor="text1"/>
          <w:vertAlign w:val="superscript"/>
        </w:rPr>
      </w:pPr>
      <w:r w:rsidRPr="00131089">
        <w:rPr>
          <w:color w:val="000000" w:themeColor="text1"/>
        </w:rPr>
        <w:t xml:space="preserve">Κατά πάγια νομολογία, η επιλογή της νομικής βάσης μιας </w:t>
      </w:r>
      <w:proofErr w:type="spellStart"/>
      <w:r w:rsidRPr="00131089">
        <w:rPr>
          <w:color w:val="000000" w:themeColor="text1"/>
        </w:rPr>
        <w:t>ενωσιακής</w:t>
      </w:r>
      <w:proofErr w:type="spellEnd"/>
      <w:r w:rsidRPr="00131089">
        <w:rPr>
          <w:color w:val="000000" w:themeColor="text1"/>
        </w:rPr>
        <w:t xml:space="preserve"> πράξης δεν μπορεί να εξαρτάται από την πεποίθηση ενός θεσμικού οργάνου ως προς τον επιδιωκόμενο σκοπό, αλλά πρέπει να στηρίζεται σε αντικειμενικά στοιχεία που να επιδέχονται δικαστικό έλεγχο, στα οποία συγκαταλέγονται ειδικότερα ο σκοπός και το περιεχόμενο της πράξης</w:t>
      </w:r>
      <w:r w:rsidRPr="00131089">
        <w:rPr>
          <w:color w:val="000000" w:themeColor="text1"/>
          <w:vertAlign w:val="superscript"/>
        </w:rPr>
        <w:footnoteReference w:id="3"/>
      </w:r>
      <w:r w:rsidRPr="00131089">
        <w:rPr>
          <w:color w:val="000000" w:themeColor="text1"/>
        </w:rPr>
        <w:t>.</w:t>
      </w:r>
      <w:r w:rsidRPr="00131089">
        <w:rPr>
          <w:color w:val="000000" w:themeColor="text1"/>
          <w:vertAlign w:val="superscript"/>
        </w:rPr>
        <w:t xml:space="preserve"> </w:t>
      </w:r>
    </w:p>
    <w:p w14:paraId="29BBE639" w14:textId="77777777" w:rsidR="00FC1E12" w:rsidRPr="00131089" w:rsidRDefault="00FC1E12" w:rsidP="00FC1E12">
      <w:pPr>
        <w:pStyle w:val="Point123"/>
        <w:numPr>
          <w:ilvl w:val="0"/>
          <w:numId w:val="0"/>
        </w:numPr>
        <w:spacing w:before="0" w:after="0" w:line="240" w:lineRule="auto"/>
        <w:jc w:val="both"/>
        <w:rPr>
          <w:color w:val="000000" w:themeColor="text1"/>
          <w:vertAlign w:val="superscript"/>
        </w:rPr>
      </w:pPr>
    </w:p>
    <w:p w14:paraId="287BD4BA" w14:textId="77777777" w:rsidR="00FC1E12" w:rsidRPr="00131089" w:rsidRDefault="00FC1E12" w:rsidP="006A4CE5">
      <w:pPr>
        <w:pStyle w:val="Point123"/>
        <w:numPr>
          <w:ilvl w:val="0"/>
          <w:numId w:val="0"/>
        </w:numPr>
        <w:tabs>
          <w:tab w:val="left" w:pos="720"/>
        </w:tabs>
        <w:spacing w:before="0" w:after="0" w:line="240" w:lineRule="auto"/>
      </w:pPr>
      <w:r w:rsidRPr="00131089">
        <w:rPr>
          <w:color w:val="000000" w:themeColor="text1"/>
        </w:rPr>
        <w:t xml:space="preserve">Αν από την εξέταση μιας πράξης αποδεικνύεται ότι αυτή επιδιώκει διττό σκοπό ή ότι απαρτίζεται από δύο συστατικά μέρη, ο ένας δε εκ των σκοπών αυτών μπορεί να χαρακτηριστεί ως κύριος ή πρωτεύων, ενώ ο δεύτερος απλώς ως παρεπόμενος, ή το ένα εκ των μερών αυτών μπορεί να χαρακτηριστεί ως κύριο ή πρωτεύον, ενώ το δεύτερο απλώς ως </w:t>
      </w:r>
      <w:r w:rsidRPr="00131089">
        <w:rPr>
          <w:color w:val="000000" w:themeColor="text1"/>
        </w:rPr>
        <w:lastRenderedPageBreak/>
        <w:t>παρεπόμενο, η πράξη αυτή πρέπει να στηρίζεται σε μία ενιαία νομική βάση, ήτοι σε εκείνη που επιβάλλει ο κύριος ή πρωτεύων σκοπός ή το κύριο ή πρωτεύον συστατικό μέρος</w:t>
      </w:r>
      <w:r w:rsidRPr="00131089">
        <w:rPr>
          <w:color w:val="000000" w:themeColor="text1"/>
          <w:vertAlign w:val="superscript"/>
        </w:rPr>
        <w:footnoteReference w:id="4"/>
      </w:r>
      <w:r w:rsidRPr="00131089">
        <w:rPr>
          <w:color w:val="000000" w:themeColor="text1"/>
        </w:rPr>
        <w:t>. Μόνο κατ’ εξαίρεση, αν διαπιστώνεται ότι η πράξη επιδιώκει συγχρόνως πολλούς σκοπούς που συνδέονται άρρηκτα μεταξύ τους, χωρίς ο ένας να είναι δευτερεύων και έμμεσος σε σχέση με τον άλλον, η πράξη αυτή μπορεί να στηρίζεται στις αντίστοιχες διαφορετικές νομικές βάσεις</w:t>
      </w:r>
      <w:r w:rsidRPr="00131089">
        <w:rPr>
          <w:color w:val="000000" w:themeColor="text1"/>
          <w:vertAlign w:val="superscript"/>
        </w:rPr>
        <w:footnoteReference w:id="5"/>
      </w:r>
      <w:r w:rsidRPr="00131089">
        <w:rPr>
          <w:color w:val="000000" w:themeColor="text1"/>
        </w:rPr>
        <w:t>. Αυτό είναι πάντως εφικτό μόνον αν οι διαδικασίες που θεσπίζονται για τις αντίστοιχες νομικές βάσεις συνάδουν με τα δικαιώματα του Ευρωπαϊκού Κοινοβουλίου και δεν τα θίγουν</w:t>
      </w:r>
      <w:r w:rsidRPr="00131089">
        <w:rPr>
          <w:color w:val="000000" w:themeColor="text1"/>
          <w:vertAlign w:val="superscript"/>
        </w:rPr>
        <w:footnoteReference w:id="6"/>
      </w:r>
      <w:r w:rsidRPr="00131089">
        <w:rPr>
          <w:color w:val="000000" w:themeColor="text1"/>
        </w:rPr>
        <w:t>.</w:t>
      </w:r>
    </w:p>
    <w:p w14:paraId="319CAA01" w14:textId="77777777" w:rsidR="00FC1E12" w:rsidRPr="00131089" w:rsidRDefault="00FC1E12" w:rsidP="00FC1E12">
      <w:pPr>
        <w:spacing w:after="240"/>
        <w:ind w:left="567" w:hanging="567"/>
        <w:jc w:val="both"/>
        <w:rPr>
          <w:b/>
          <w:u w:val="single"/>
        </w:rPr>
      </w:pPr>
    </w:p>
    <w:p w14:paraId="6232B84F" w14:textId="77777777" w:rsidR="00FC1E12" w:rsidRPr="00131089" w:rsidRDefault="00FC1E12" w:rsidP="00FC1E12">
      <w:pPr>
        <w:spacing w:after="240"/>
        <w:ind w:left="567" w:hanging="567"/>
        <w:jc w:val="both"/>
      </w:pPr>
      <w:r w:rsidRPr="00131089">
        <w:rPr>
          <w:b/>
          <w:u w:val="single"/>
        </w:rPr>
        <w:t>IV – Στόχος και περιεχόμενο του προτεινόμενου κανονισμού</w:t>
      </w:r>
    </w:p>
    <w:p w14:paraId="4ED5A7A2" w14:textId="77777777" w:rsidR="00FC1E12" w:rsidRPr="00131089" w:rsidRDefault="00FC1E12" w:rsidP="00F30938">
      <w:r w:rsidRPr="00131089">
        <w:t xml:space="preserve">Όπως πρότεινε η Επιτροπή, ο προτεινόμενος κανονισμός αποσκοπούσε στην ενίσχυση του ρόλου της </w:t>
      </w:r>
      <w:proofErr w:type="spellStart"/>
      <w:r w:rsidRPr="00131089">
        <w:t>Ευρωπόλ</w:t>
      </w:r>
      <w:proofErr w:type="spellEnd"/>
      <w:r w:rsidRPr="00131089">
        <w:t xml:space="preserve"> στην καταπολέμηση της παράνομης διακίνησης μεταναστών και της εμπορίας ανθρώπων και του ρόλου του Ευρωπαϊκού Κέντρου κατά της Παράνομης Διακίνησης Μεταναστών, καθώς και στην ενίσχυση της συνεργασίας μεταξύ των κρατών μελών και της </w:t>
      </w:r>
      <w:proofErr w:type="spellStart"/>
      <w:r w:rsidRPr="00131089">
        <w:t>Ευρωπόλ</w:t>
      </w:r>
      <w:proofErr w:type="spellEnd"/>
      <w:r w:rsidRPr="00131089">
        <w:t xml:space="preserve"> για την πρόληψη και την καταπολέμηση της παράνομης διακίνησης μεταναστών και της εμπορίας ανθρώπων.</w:t>
      </w:r>
    </w:p>
    <w:p w14:paraId="758CD222" w14:textId="77777777" w:rsidR="00FC1E12" w:rsidRPr="00131089" w:rsidRDefault="00FC1E12" w:rsidP="00FC1E12">
      <w:pPr>
        <w:jc w:val="both"/>
      </w:pPr>
    </w:p>
    <w:p w14:paraId="36664BDA" w14:textId="77777777" w:rsidR="00FC1E12" w:rsidRPr="00131089" w:rsidRDefault="00FC1E12" w:rsidP="00F30938">
      <w:pPr>
        <w:spacing w:line="257" w:lineRule="auto"/>
      </w:pPr>
      <w:r w:rsidRPr="00131089">
        <w:t xml:space="preserve">Για την επίτευξη των στόχων αυτών, η Επιτροπή πρότεινε τη θέσπιση κανόνων σχετικά με: α) τη σύσταση του Ευρωπαϊκού Κέντρου κατά της Παράνομης Διακίνησης Μεταναστών στο πλαίσιο της </w:t>
      </w:r>
      <w:proofErr w:type="spellStart"/>
      <w:r w:rsidRPr="00131089">
        <w:t>Ευρωπόλ</w:t>
      </w:r>
      <w:proofErr w:type="spellEnd"/>
      <w:r w:rsidRPr="00131089">
        <w:t xml:space="preserve"> και τη θέσπιση πλαισίου διακυβέρνησης για τη ρύθμιση και τη στήριξη των δραστηριοτήτων του (το «Κέντρο»)· β) ενίσχυση της συνεργασίας και του συντονισμού μεταξύ των κρατών μελών, της </w:t>
      </w:r>
      <w:proofErr w:type="spellStart"/>
      <w:r w:rsidRPr="00131089">
        <w:t>Ευρωπόλ</w:t>
      </w:r>
      <w:proofErr w:type="spellEnd"/>
      <w:r w:rsidRPr="00131089">
        <w:t xml:space="preserve"> και άλλων οργανισμών της Ένωσης· γ) την ενίσχυση της ανταλλαγής πληροφοριών μεταξύ των κρατών μελών και με την </w:t>
      </w:r>
      <w:proofErr w:type="spellStart"/>
      <w:r w:rsidRPr="00131089">
        <w:t>Ευρωπόλ</w:t>
      </w:r>
      <w:proofErr w:type="spellEnd"/>
      <w:r w:rsidRPr="00131089">
        <w:t xml:space="preserve">· δ) την παροχή των αναγκαίων εργαλείων στην </w:t>
      </w:r>
      <w:proofErr w:type="spellStart"/>
      <w:r w:rsidRPr="00131089">
        <w:t>Ευρωπόλ</w:t>
      </w:r>
      <w:proofErr w:type="spellEnd"/>
      <w:r w:rsidRPr="00131089">
        <w:t xml:space="preserve"> για τη στήριξη και την ενίσχυση των δράσεων των αρμόδιων αρχών των κρατών μελών και της αμοιβαίας συνεργασίας τους με σκοπό την πρόληψη και την καταπολέμηση ποινικών αδικημάτων που εμπίπτουν στους στόχους της </w:t>
      </w:r>
      <w:proofErr w:type="spellStart"/>
      <w:r w:rsidRPr="00131089">
        <w:t>Ευρωπόλ</w:t>
      </w:r>
      <w:proofErr w:type="spellEnd"/>
      <w:r w:rsidRPr="00131089">
        <w:t xml:space="preserve">· ε) την αναβάθμιση της συνεργασίας μεταξύ της </w:t>
      </w:r>
      <w:proofErr w:type="spellStart"/>
      <w:r w:rsidRPr="00131089">
        <w:t>Ευρωπόλ</w:t>
      </w:r>
      <w:proofErr w:type="spellEnd"/>
      <w:r w:rsidRPr="00131089">
        <w:t xml:space="preserve"> και τρίτων χωρών.</w:t>
      </w:r>
    </w:p>
    <w:p w14:paraId="0D78BA72" w14:textId="77777777" w:rsidR="00FC1E12" w:rsidRPr="00131089" w:rsidRDefault="00FC1E12" w:rsidP="00FC1E12">
      <w:pPr>
        <w:autoSpaceDE w:val="0"/>
        <w:autoSpaceDN w:val="0"/>
        <w:adjustRightInd w:val="0"/>
        <w:jc w:val="both"/>
      </w:pPr>
    </w:p>
    <w:p w14:paraId="6B956F7E" w14:textId="77777777" w:rsidR="00FC1E12" w:rsidRPr="00131089" w:rsidRDefault="00FC1E12" w:rsidP="00F30938">
      <w:pPr>
        <w:autoSpaceDE w:val="0"/>
        <w:autoSpaceDN w:val="0"/>
        <w:adjustRightInd w:val="0"/>
      </w:pPr>
      <w:r w:rsidRPr="00131089">
        <w:t xml:space="preserve">Για τον σκοπό αυτό, ο προτεινόμενος κανονισμός περιλάμβανε αρχικά έναν «αυτόνομο κανονισμό» για τη σύσταση του Κέντρου στο πλαίσιο της </w:t>
      </w:r>
      <w:proofErr w:type="spellStart"/>
      <w:r w:rsidRPr="00131089">
        <w:t>Ευρωπόλ</w:t>
      </w:r>
      <w:proofErr w:type="spellEnd"/>
      <w:r w:rsidRPr="00131089">
        <w:t xml:space="preserve"> και για τη θέσπιση λεπτομερών κανόνων σχετικά με τη σύνθεση και τα καθήκοντά του, καθώς και διατάξεις σχετικά με την ανταλλαγή πληροφοριών και τις εθνικές εξειδικευμένες υπηρεσίες για την πρόληψη και την καταπολέμηση της παράνομης διακίνησης μεταναστών και της εμπορίας ανθρώπων. Από την άλλη πλευρά, περιείχε τροποποιήσεις του κανονισμού για την </w:t>
      </w:r>
      <w:proofErr w:type="spellStart"/>
      <w:r w:rsidRPr="00131089">
        <w:t>Ευρωπόλ</w:t>
      </w:r>
      <w:proofErr w:type="spellEnd"/>
      <w:r w:rsidRPr="00131089">
        <w:t>.</w:t>
      </w:r>
    </w:p>
    <w:p w14:paraId="5EE32AEF" w14:textId="77777777" w:rsidR="00FC1E12" w:rsidRPr="00131089" w:rsidRDefault="00FC1E12" w:rsidP="00FC1E12">
      <w:pPr>
        <w:autoSpaceDE w:val="0"/>
        <w:autoSpaceDN w:val="0"/>
        <w:adjustRightInd w:val="0"/>
        <w:jc w:val="both"/>
      </w:pPr>
    </w:p>
    <w:p w14:paraId="4BF2FDE5" w14:textId="77777777" w:rsidR="00FC1E12" w:rsidRPr="00131089" w:rsidRDefault="00FC1E12" w:rsidP="00F30938">
      <w:r w:rsidRPr="00131089">
        <w:t xml:space="preserve">Κατά τη διάρκεια των διοργανικών διαπραγματεύσεων συμφωνήθηκε, σύμφωνα με τις αντίστοιχες εντολές τόσο του Κοινοβουλίου όσο και του Συμβουλίου, να διαγραφούν τα μέρη </w:t>
      </w:r>
      <w:r w:rsidRPr="00131089">
        <w:lastRenderedPageBreak/>
        <w:t xml:space="preserve">του προτεινόμενου κανονισμού που αποσκοπούν στη δημιουργία ενός «αυτόνομου κανονισμού» και να μετατραπεί απλώς σε πράξη που τροποποιεί τον κανονισμό </w:t>
      </w:r>
      <w:proofErr w:type="spellStart"/>
      <w:r w:rsidRPr="00131089">
        <w:t>Ευρωπόλ</w:t>
      </w:r>
      <w:proofErr w:type="spellEnd"/>
      <w:r w:rsidRPr="00131089">
        <w:t xml:space="preserve">. </w:t>
      </w:r>
    </w:p>
    <w:p w14:paraId="440329AF" w14:textId="77777777" w:rsidR="00FC1E12" w:rsidRPr="00131089" w:rsidRDefault="00FC1E12" w:rsidP="00FC1E12">
      <w:pPr>
        <w:autoSpaceDE w:val="0"/>
        <w:autoSpaceDN w:val="0"/>
        <w:adjustRightInd w:val="0"/>
        <w:jc w:val="both"/>
      </w:pPr>
    </w:p>
    <w:p w14:paraId="48630334" w14:textId="77777777" w:rsidR="00FC1E12" w:rsidRPr="00131089" w:rsidRDefault="00FC1E12" w:rsidP="00F30938">
      <w:pPr>
        <w:pStyle w:val="Point123"/>
        <w:numPr>
          <w:ilvl w:val="0"/>
          <w:numId w:val="0"/>
        </w:numPr>
        <w:tabs>
          <w:tab w:val="left" w:pos="720"/>
        </w:tabs>
        <w:spacing w:before="0" w:after="0" w:line="240" w:lineRule="auto"/>
      </w:pPr>
      <w:r w:rsidRPr="00131089">
        <w:t xml:space="preserve">Ως εκ τούτου, ο προτεινόμενος κανονισμός, όπως τροποποιήθηκε από τους </w:t>
      </w:r>
      <w:proofErr w:type="spellStart"/>
      <w:r w:rsidRPr="00131089">
        <w:t>συννομοθέτες</w:t>
      </w:r>
      <w:proofErr w:type="spellEnd"/>
      <w:r w:rsidRPr="00131089">
        <w:t xml:space="preserve">, αφορά αποκλειστικά τη δομή, τη λειτουργία, το πεδίο δράσης και τα καθήκοντα της </w:t>
      </w:r>
      <w:proofErr w:type="spellStart"/>
      <w:r w:rsidRPr="00131089">
        <w:t>Ευρωπόλ</w:t>
      </w:r>
      <w:proofErr w:type="spellEnd"/>
      <w:r w:rsidRPr="00131089">
        <w:t xml:space="preserve">. Οι κύριοι στόχοι του προτεινόμενου κανονισμού, όπως τροποποιήθηκε και συμφωνήθηκε προσωρινά από τους </w:t>
      </w:r>
      <w:proofErr w:type="spellStart"/>
      <w:r w:rsidRPr="00131089">
        <w:t>συννομοθέτες</w:t>
      </w:r>
      <w:proofErr w:type="spellEnd"/>
      <w:r w:rsidRPr="00131089">
        <w:t xml:space="preserve">, είναι πλέον οι εξής: να ενισχυθεί η </w:t>
      </w:r>
      <w:proofErr w:type="spellStart"/>
      <w:r w:rsidRPr="00131089">
        <w:t>Ευρωπόλ</w:t>
      </w:r>
      <w:proofErr w:type="spellEnd"/>
      <w:r w:rsidRPr="00131089">
        <w:t xml:space="preserve"> προκειμένου να ενισχυθεί η αντίδραση των αρχών επιβολής του νόμου στην παράνομη διακίνηση μεταναστών και την εμπορία ανθρώπων, να ενισχυθεί ο ρόλος της </w:t>
      </w:r>
      <w:proofErr w:type="spellStart"/>
      <w:r w:rsidRPr="00131089">
        <w:t>Ευρωπόλ</w:t>
      </w:r>
      <w:proofErr w:type="spellEnd"/>
      <w:r w:rsidRPr="00131089">
        <w:t xml:space="preserve"> ως κόμβου πληροφοριών της Ένωσης για το έγκλημα και ως </w:t>
      </w:r>
      <w:proofErr w:type="spellStart"/>
      <w:r w:rsidRPr="00131089">
        <w:t>παρόχου</w:t>
      </w:r>
      <w:proofErr w:type="spellEnd"/>
      <w:r w:rsidRPr="00131089">
        <w:t xml:space="preserve"> υπηρεσιών, ιδίως με την παροχή ασφαλούς δικτύου για την ανταλλαγή δεδομένων, όπως η εφαρμογή δικτύου ασφαλούς ανταλλαγής πληροφοριών, ώστε να διασφαλιστεί ότι τα κράτη μέλη ανταλλάσσουν πληροφορίες με την </w:t>
      </w:r>
      <w:proofErr w:type="spellStart"/>
      <w:r w:rsidRPr="00131089">
        <w:t>Ευρωπόλ</w:t>
      </w:r>
      <w:proofErr w:type="spellEnd"/>
      <w:r w:rsidRPr="00131089">
        <w:t xml:space="preserve"> και να διευκρινιστεί ότι οι στόχοι της </w:t>
      </w:r>
      <w:proofErr w:type="spellStart"/>
      <w:r w:rsidRPr="00131089">
        <w:t>Ευρωπόλ</w:t>
      </w:r>
      <w:proofErr w:type="spellEnd"/>
      <w:r w:rsidRPr="00131089">
        <w:t xml:space="preserve"> καλύπτουν επίσης ρητά τις παραβιάσεις των περιοριστικών μέτρων της Ένωσης.</w:t>
      </w:r>
    </w:p>
    <w:p w14:paraId="197EB98F" w14:textId="77777777" w:rsidR="00FC1E12" w:rsidRPr="00131089" w:rsidRDefault="00FC1E12" w:rsidP="00FC1E12">
      <w:pPr>
        <w:jc w:val="both"/>
        <w:rPr>
          <w:b/>
          <w:u w:val="single"/>
        </w:rPr>
      </w:pPr>
    </w:p>
    <w:p w14:paraId="2DA16A5B" w14:textId="77777777" w:rsidR="00FC1E12" w:rsidRPr="00131089" w:rsidRDefault="00FC1E12" w:rsidP="00FC1E12">
      <w:pPr>
        <w:spacing w:after="240"/>
        <w:jc w:val="both"/>
        <w:rPr>
          <w:b/>
          <w:u w:val="single"/>
        </w:rPr>
      </w:pPr>
      <w:r w:rsidRPr="00131089">
        <w:rPr>
          <w:b/>
          <w:u w:val="single"/>
        </w:rPr>
        <w:t xml:space="preserve">V – Ανάλυση </w:t>
      </w:r>
    </w:p>
    <w:p w14:paraId="247A02DF" w14:textId="77777777" w:rsidR="00FC1E12" w:rsidRPr="00131089" w:rsidRDefault="00FC1E12" w:rsidP="00F30938">
      <w:r w:rsidRPr="00131089">
        <w:t xml:space="preserve">Από τα ανωτέρω και από την εξέταση των αιτιολογικών σκέψεων και των διατάξεων του διατακτικού του προτεινόμενου κανονισμού, όπως συμφωνήθηκε προσωρινά από τους </w:t>
      </w:r>
      <w:proofErr w:type="spellStart"/>
      <w:r w:rsidRPr="00131089">
        <w:t>συννομοθέτες</w:t>
      </w:r>
      <w:proofErr w:type="spellEnd"/>
      <w:r w:rsidRPr="00131089">
        <w:t xml:space="preserve">, προκύπτει ότι έχει μειωθεί ώστε να περιέχει ουσιαστικά μόνο τροποποιήσεις του κανονισμού για την </w:t>
      </w:r>
      <w:proofErr w:type="spellStart"/>
      <w:r w:rsidRPr="00131089">
        <w:t>Ευρωπόλ</w:t>
      </w:r>
      <w:proofErr w:type="spellEnd"/>
      <w:r w:rsidRPr="00131089">
        <w:t xml:space="preserve">. Επομένως, ο σκοπός και το περιεχόμενό του αφορούν πλέον μόνο τη δομή, τη λειτουργία, το πεδίο δράσης και τα καθήκοντα της </w:t>
      </w:r>
      <w:proofErr w:type="spellStart"/>
      <w:r w:rsidRPr="00131089">
        <w:t>Ευρωπόλ</w:t>
      </w:r>
      <w:proofErr w:type="spellEnd"/>
      <w:r w:rsidRPr="00131089">
        <w:t>.</w:t>
      </w:r>
    </w:p>
    <w:p w14:paraId="77CCE85F" w14:textId="77777777" w:rsidR="00FC1E12" w:rsidRPr="00131089" w:rsidRDefault="00FC1E12" w:rsidP="00FC1E12">
      <w:pPr>
        <w:jc w:val="both"/>
      </w:pPr>
    </w:p>
    <w:p w14:paraId="0AFB69AB" w14:textId="77777777" w:rsidR="00FC1E12" w:rsidRPr="00131089" w:rsidRDefault="00FC1E12" w:rsidP="00F30938">
      <w:r w:rsidRPr="00131089">
        <w:t xml:space="preserve">Σύμφωνα με το άρθρο 88 παράγραφος 2 ΣΛΕΕ, το Κοινοβούλιο και το Συμβούλιο καθορίζουν τη δομή, τη λειτουργία, το πεδίο δράσης και τα καθήκοντα της </w:t>
      </w:r>
      <w:proofErr w:type="spellStart"/>
      <w:r w:rsidRPr="00131089">
        <w:t>Ευρωπόλ</w:t>
      </w:r>
      <w:proofErr w:type="spellEnd"/>
      <w:r w:rsidRPr="00131089">
        <w:t xml:space="preserve"> μέσω κανονισμών που εκδίδονται σύμφωνα με τη συνήθη νομοθετική διαδικασία.</w:t>
      </w:r>
    </w:p>
    <w:p w14:paraId="6A1180FD" w14:textId="77777777" w:rsidR="00FC1E12" w:rsidRPr="00131089" w:rsidRDefault="00FC1E12" w:rsidP="00FC1E12">
      <w:pPr>
        <w:jc w:val="both"/>
      </w:pPr>
    </w:p>
    <w:p w14:paraId="3C8E48C5" w14:textId="77777777" w:rsidR="00FC1E12" w:rsidRPr="00131089" w:rsidRDefault="00FC1E12" w:rsidP="00F30938">
      <w:pPr>
        <w:pStyle w:val="Point123"/>
        <w:numPr>
          <w:ilvl w:val="0"/>
          <w:numId w:val="0"/>
        </w:numPr>
        <w:tabs>
          <w:tab w:val="left" w:pos="720"/>
        </w:tabs>
        <w:spacing w:before="0" w:after="0" w:line="240" w:lineRule="auto"/>
      </w:pPr>
      <w:r w:rsidRPr="00131089">
        <w:t>Ως εκ τούτου, σύμφωνα με την πάγια νομολογία του Δικαστηρίου που αναφέρεται ανωτέρω, το μέτρο πρέπει να βασίζεται σε μία και μόνη νομική βάση, και συγκεκριμένα σε εκείνη που απαιτείται από τον κύριο σκοπό ή την κύρια συνιστώσα του.</w:t>
      </w:r>
    </w:p>
    <w:p w14:paraId="398A85C2" w14:textId="77777777" w:rsidR="00FC1E12" w:rsidRPr="00131089" w:rsidRDefault="00FC1E12" w:rsidP="00FC1E12">
      <w:pPr>
        <w:jc w:val="both"/>
        <w:rPr>
          <w:b/>
          <w:u w:val="single"/>
        </w:rPr>
      </w:pPr>
    </w:p>
    <w:p w14:paraId="123A354D" w14:textId="77777777" w:rsidR="00FC1E12" w:rsidRPr="00131089" w:rsidRDefault="00FC1E12" w:rsidP="00FC1E12">
      <w:pPr>
        <w:spacing w:after="240"/>
        <w:jc w:val="both"/>
        <w:rPr>
          <w:b/>
          <w:u w:val="single"/>
        </w:rPr>
      </w:pPr>
      <w:r w:rsidRPr="00131089">
        <w:rPr>
          <w:b/>
          <w:u w:val="single"/>
        </w:rPr>
        <w:t>VI – Συμπέρασμα και σύσταση</w:t>
      </w:r>
    </w:p>
    <w:p w14:paraId="5E1B8BEF" w14:textId="77777777" w:rsidR="007179A7" w:rsidRPr="00131089" w:rsidRDefault="00FC1E12" w:rsidP="00FC1E12">
      <w:pPr>
        <w:pStyle w:val="Normal12a"/>
      </w:pPr>
      <w:r w:rsidRPr="00131089">
        <w:t>Κατά τη συνεδρίασή της στις 13 Οκτωβρίου 2025, η Επιτροπή Νομικών Θεμάτων αποφάσισε συνεπώς ομόφωνα (με 25 ψήφους υπέρ)</w:t>
      </w:r>
      <w:r w:rsidRPr="00131089">
        <w:rPr>
          <w:vertAlign w:val="superscript"/>
        </w:rPr>
        <w:footnoteReference w:id="7"/>
      </w:r>
      <w:r w:rsidRPr="00131089">
        <w:t xml:space="preserve"> να συστήσει στην Επιτροπή Πολιτικών Ελευθεριών, Δικαιοσύνης και Εσωτερικών Υποθέσεων ότι το άρθρο 88 παράγραφος 2 ΣΛΕΕ είναι η μόνη κατάλληλη νομική βάση για τον προτεινόμενο κανονισμό, όπως τροποποιήθηκε και συμφωνήθηκε προσωρινά από τους </w:t>
      </w:r>
      <w:proofErr w:type="spellStart"/>
      <w:r w:rsidRPr="00131089">
        <w:t>συννομοθέτες</w:t>
      </w:r>
      <w:proofErr w:type="spellEnd"/>
      <w:r w:rsidRPr="00131089">
        <w:t xml:space="preserve"> κατά τη διάρκεια των διοργανικών διαπραγματεύσεων.</w:t>
      </w:r>
    </w:p>
    <w:p w14:paraId="61D43C2B" w14:textId="77777777" w:rsidR="007179A7" w:rsidRPr="00131089" w:rsidRDefault="005C4B56" w:rsidP="00A04228">
      <w:pPr>
        <w:pStyle w:val="Normal12a"/>
      </w:pPr>
      <w:r w:rsidRPr="00131089">
        <w:lastRenderedPageBreak/>
        <w:t>Με εξαιρετική εκτίμηση,</w:t>
      </w:r>
    </w:p>
    <w:p w14:paraId="2615307D" w14:textId="77777777" w:rsidR="007179A7" w:rsidRPr="00131089" w:rsidRDefault="00324EAF">
      <w:pPr>
        <w:pStyle w:val="LetterSignature66b"/>
      </w:pPr>
      <w:proofErr w:type="spellStart"/>
      <w:r w:rsidRPr="00131089">
        <w:t>Ilhan</w:t>
      </w:r>
      <w:proofErr w:type="spellEnd"/>
      <w:r w:rsidRPr="00131089">
        <w:t xml:space="preserve"> </w:t>
      </w:r>
      <w:proofErr w:type="spellStart"/>
      <w:r w:rsidRPr="00131089">
        <w:t>Kyuchyuk</w:t>
      </w:r>
      <w:proofErr w:type="spellEnd"/>
    </w:p>
    <w:p w14:paraId="15F1F059" w14:textId="77777777" w:rsidR="009D564F" w:rsidRPr="00131089" w:rsidRDefault="009D564F" w:rsidP="00332170">
      <w:pPr>
        <w:widowControl/>
      </w:pPr>
    </w:p>
    <w:sectPr w:rsidR="009D564F" w:rsidRPr="00131089" w:rsidSect="00131089">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C28FC8" w14:textId="77777777" w:rsidR="005C4B56" w:rsidRPr="00131089" w:rsidRDefault="005C4B56">
      <w:r w:rsidRPr="00131089">
        <w:separator/>
      </w:r>
    </w:p>
  </w:endnote>
  <w:endnote w:type="continuationSeparator" w:id="0">
    <w:p w14:paraId="59B04288" w14:textId="77777777" w:rsidR="005C4B56" w:rsidRPr="00131089" w:rsidRDefault="005C4B56">
      <w:r w:rsidRPr="0013108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6F58A" w14:textId="77777777" w:rsidR="00131089" w:rsidRPr="00131089" w:rsidRDefault="00131089" w:rsidP="00131089">
    <w:pPr>
      <w:pStyle w:val="EPFooter"/>
    </w:pPr>
    <w:r w:rsidRPr="00131089">
      <w:t>PE</w:t>
    </w:r>
    <w:r w:rsidRPr="00131089">
      <w:rPr>
        <w:rStyle w:val="HideTWBExt"/>
      </w:rPr>
      <w:t>&lt;NoPE&gt;</w:t>
    </w:r>
    <w:r w:rsidRPr="00131089">
      <w:t>778.317</w:t>
    </w:r>
    <w:r w:rsidRPr="00131089">
      <w:rPr>
        <w:rStyle w:val="HideTWBExt"/>
      </w:rPr>
      <w:t>&lt;/NoPE&gt;&lt;Version&gt;</w:t>
    </w:r>
    <w:r w:rsidRPr="00131089">
      <w:t>v02-00</w:t>
    </w:r>
    <w:r w:rsidRPr="00131089">
      <w:rPr>
        <w:rStyle w:val="HideTWBExt"/>
      </w:rPr>
      <w:t>&lt;/Version&gt;</w:t>
    </w:r>
    <w:r w:rsidRPr="00131089">
      <w:tab/>
    </w:r>
    <w:r w:rsidRPr="00131089">
      <w:fldChar w:fldCharType="begin"/>
    </w:r>
    <w:r w:rsidRPr="00131089">
      <w:instrText xml:space="preserve"> PAGE  \* MERGEFORMAT </w:instrText>
    </w:r>
    <w:r w:rsidRPr="00131089">
      <w:fldChar w:fldCharType="separate"/>
    </w:r>
    <w:r w:rsidRPr="00131089">
      <w:rPr>
        <w:noProof/>
      </w:rPr>
      <w:t>6</w:t>
    </w:r>
    <w:r w:rsidRPr="00131089">
      <w:fldChar w:fldCharType="end"/>
    </w:r>
    <w:r w:rsidRPr="00131089">
      <w:t>/</w:t>
    </w:r>
    <w:fldSimple w:instr=" NUMPAGES  \* MERGEFORMAT ">
      <w:r w:rsidRPr="00131089">
        <w:rPr>
          <w:noProof/>
        </w:rPr>
        <w:t>7</w:t>
      </w:r>
    </w:fldSimple>
    <w:r w:rsidRPr="00131089">
      <w:tab/>
    </w:r>
    <w:r w:rsidRPr="00131089">
      <w:rPr>
        <w:rStyle w:val="HideTWBExt"/>
      </w:rPr>
      <w:t>&lt;PathFdR&gt;</w:t>
    </w:r>
    <w:r w:rsidRPr="00131089">
      <w:t>AL\1330969EL.docx</w:t>
    </w:r>
    <w:r w:rsidRPr="00131089">
      <w:rPr>
        <w:rStyle w:val="HideTWBExt"/>
      </w:rPr>
      <w:t>&lt;/PathFdR&gt;</w:t>
    </w:r>
  </w:p>
  <w:p w14:paraId="1DEADF25" w14:textId="02603F27" w:rsidR="00000C7D" w:rsidRPr="00131089" w:rsidRDefault="00131089" w:rsidP="00131089">
    <w:pPr>
      <w:pStyle w:val="EPFooter2"/>
    </w:pPr>
    <w:r w:rsidRPr="00131089">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71989" w14:textId="77777777" w:rsidR="00131089" w:rsidRPr="00131089" w:rsidRDefault="00131089" w:rsidP="00131089">
    <w:pPr>
      <w:pStyle w:val="EPFooter"/>
    </w:pPr>
    <w:r w:rsidRPr="00131089">
      <w:rPr>
        <w:rStyle w:val="HideTWBExt"/>
      </w:rPr>
      <w:t>&lt;PathFdR&gt;</w:t>
    </w:r>
    <w:r w:rsidRPr="00131089">
      <w:t>AL\1330969EL.docx</w:t>
    </w:r>
    <w:r w:rsidRPr="00131089">
      <w:rPr>
        <w:rStyle w:val="HideTWBExt"/>
      </w:rPr>
      <w:t>&lt;/PathFdR&gt;</w:t>
    </w:r>
    <w:r w:rsidRPr="00131089">
      <w:tab/>
    </w:r>
    <w:r w:rsidRPr="00131089">
      <w:fldChar w:fldCharType="begin"/>
    </w:r>
    <w:r w:rsidRPr="00131089">
      <w:instrText xml:space="preserve"> PAGE  \* MERGEFORMAT </w:instrText>
    </w:r>
    <w:r w:rsidRPr="00131089">
      <w:fldChar w:fldCharType="separate"/>
    </w:r>
    <w:r w:rsidRPr="00131089">
      <w:rPr>
        <w:noProof/>
      </w:rPr>
      <w:t>7</w:t>
    </w:r>
    <w:r w:rsidRPr="00131089">
      <w:fldChar w:fldCharType="end"/>
    </w:r>
    <w:r w:rsidRPr="00131089">
      <w:t>/</w:t>
    </w:r>
    <w:fldSimple w:instr=" NUMPAGES  \* MERGEFORMAT ">
      <w:r w:rsidRPr="00131089">
        <w:rPr>
          <w:noProof/>
        </w:rPr>
        <w:t>7</w:t>
      </w:r>
    </w:fldSimple>
    <w:r w:rsidRPr="00131089">
      <w:tab/>
      <w:t>PE</w:t>
    </w:r>
    <w:r w:rsidRPr="00131089">
      <w:rPr>
        <w:rStyle w:val="HideTWBExt"/>
      </w:rPr>
      <w:t>&lt;NoPE&gt;</w:t>
    </w:r>
    <w:r w:rsidRPr="00131089">
      <w:t>778.317</w:t>
    </w:r>
    <w:r w:rsidRPr="00131089">
      <w:rPr>
        <w:rStyle w:val="HideTWBExt"/>
      </w:rPr>
      <w:t>&lt;/NoPE&gt;&lt;Version&gt;</w:t>
    </w:r>
    <w:r w:rsidRPr="00131089">
      <w:t>v02-00</w:t>
    </w:r>
    <w:r w:rsidRPr="00131089">
      <w:rPr>
        <w:rStyle w:val="HideTWBExt"/>
      </w:rPr>
      <w:t>&lt;/Version&gt;</w:t>
    </w:r>
  </w:p>
  <w:p w14:paraId="5F0C4FB3" w14:textId="506013FD" w:rsidR="00000C7D" w:rsidRPr="00131089" w:rsidRDefault="00131089" w:rsidP="00131089">
    <w:pPr>
      <w:pStyle w:val="EPFooter2"/>
    </w:pPr>
    <w:r w:rsidRPr="00131089">
      <w:tab/>
    </w:r>
    <w:r w:rsidRPr="00131089">
      <w:tab/>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19A9D" w14:textId="77777777" w:rsidR="00131089" w:rsidRPr="00131089" w:rsidRDefault="00131089" w:rsidP="00131089">
    <w:pPr>
      <w:pStyle w:val="EPFooter"/>
    </w:pPr>
    <w:r w:rsidRPr="00131089">
      <w:rPr>
        <w:rStyle w:val="HideTWBExt"/>
      </w:rPr>
      <w:t>&lt;PathFdR&gt;</w:t>
    </w:r>
    <w:r w:rsidRPr="00131089">
      <w:t>AL\1330969EL.docx</w:t>
    </w:r>
    <w:r w:rsidRPr="00131089">
      <w:rPr>
        <w:rStyle w:val="HideTWBExt"/>
      </w:rPr>
      <w:t>&lt;/PathFdR&gt;</w:t>
    </w:r>
    <w:r w:rsidRPr="00131089">
      <w:tab/>
    </w:r>
    <w:r w:rsidRPr="00131089">
      <w:tab/>
      <w:t>PE</w:t>
    </w:r>
    <w:r w:rsidRPr="00131089">
      <w:rPr>
        <w:rStyle w:val="HideTWBExt"/>
      </w:rPr>
      <w:t>&lt;NoPE&gt;</w:t>
    </w:r>
    <w:r w:rsidRPr="00131089">
      <w:t>778.317</w:t>
    </w:r>
    <w:r w:rsidRPr="00131089">
      <w:rPr>
        <w:rStyle w:val="HideTWBExt"/>
      </w:rPr>
      <w:t>&lt;/NoPE&gt;&lt;Version&gt;</w:t>
    </w:r>
    <w:r w:rsidRPr="00131089">
      <w:t>v02-00</w:t>
    </w:r>
    <w:r w:rsidRPr="00131089">
      <w:rPr>
        <w:rStyle w:val="HideTWBExt"/>
      </w:rPr>
      <w:t>&lt;/Version&gt;</w:t>
    </w:r>
  </w:p>
  <w:p w14:paraId="1608120F" w14:textId="760C2FC2" w:rsidR="00000C7D" w:rsidRPr="00131089" w:rsidRDefault="00131089" w:rsidP="00131089">
    <w:pPr>
      <w:pStyle w:val="EPFooter2"/>
    </w:pPr>
    <w:r w:rsidRPr="00131089">
      <w:t>EL</w:t>
    </w:r>
    <w:r w:rsidRPr="00131089">
      <w:tab/>
    </w:r>
    <w:r w:rsidRPr="00131089">
      <w:rPr>
        <w:b w:val="0"/>
        <w:i/>
        <w:color w:val="C0C0C0"/>
        <w:sz w:val="22"/>
      </w:rPr>
      <w:t>Ενωμένη στην πολυμορφία</w:t>
    </w:r>
    <w:r w:rsidRPr="00131089">
      <w:tab/>
      <w:t>EL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C25FBC" w14:textId="77777777" w:rsidR="005C4B56" w:rsidRPr="00131089" w:rsidRDefault="005C4B56">
      <w:r w:rsidRPr="00131089">
        <w:separator/>
      </w:r>
    </w:p>
  </w:footnote>
  <w:footnote w:type="continuationSeparator" w:id="0">
    <w:p w14:paraId="11F4C0E3" w14:textId="77777777" w:rsidR="005C4B56" w:rsidRPr="00131089" w:rsidRDefault="005C4B56">
      <w:r w:rsidRPr="00131089">
        <w:continuationSeparator/>
      </w:r>
    </w:p>
  </w:footnote>
  <w:footnote w:id="1">
    <w:p w14:paraId="23A5A4B9" w14:textId="77777777" w:rsidR="00FC1E12" w:rsidRPr="00131089" w:rsidRDefault="00FC1E12" w:rsidP="00FC1E12">
      <w:r w:rsidRPr="00B2039C">
        <w:rPr>
          <w:sz w:val="20"/>
          <w:vertAlign w:val="superscript"/>
        </w:rPr>
        <w:footnoteRef/>
      </w:r>
      <w:r w:rsidRPr="00131089">
        <w:t xml:space="preserve"> </w:t>
      </w:r>
      <w:r w:rsidRPr="00131089">
        <w:rPr>
          <w:sz w:val="20"/>
        </w:rPr>
        <w:t>Κανονισμός (ΕΕ) 2016/794 του Ευρωπαϊκού Κοινοβουλίου και του Συμβουλίου, της 11ης Μαΐου 2016, για τον Οργανισμό της Ευρωπαϊκής Ένωσης για τη Συνεργασία στον Τομέα της Επιβολής του Νόμου (</w:t>
      </w:r>
      <w:proofErr w:type="spellStart"/>
      <w:r w:rsidRPr="00131089">
        <w:rPr>
          <w:sz w:val="20"/>
        </w:rPr>
        <w:t>Ευρωπόλ</w:t>
      </w:r>
      <w:proofErr w:type="spellEnd"/>
      <w:r w:rsidRPr="00131089">
        <w:rPr>
          <w:sz w:val="20"/>
        </w:rPr>
        <w:t>) και την αντικατάσταση και κατάργηση των αποφάσεων του Συμβουλίου 2009/371/ΔΕΥ, 2009/934/ΔΕΥ, 2009/935/ΔΕΥ, 2009/936/ΔΕΥ και 2009/968/ΔΕΥ (ΕΕ L 135 της 24.5.2016, σ. 53).</w:t>
      </w:r>
    </w:p>
  </w:footnote>
  <w:footnote w:id="2">
    <w:p w14:paraId="24AD0CAC" w14:textId="77777777" w:rsidR="00FC1E12" w:rsidRPr="00131089" w:rsidRDefault="00FC1E12" w:rsidP="00FC1E12">
      <w:pPr>
        <w:rPr>
          <w:sz w:val="20"/>
        </w:rPr>
      </w:pPr>
      <w:r w:rsidRPr="00131089">
        <w:rPr>
          <w:sz w:val="20"/>
          <w:vertAlign w:val="superscript"/>
        </w:rPr>
        <w:footnoteRef/>
      </w:r>
      <w:r w:rsidRPr="00131089">
        <w:t xml:space="preserve"> </w:t>
      </w:r>
      <w:r w:rsidRPr="00131089">
        <w:rPr>
          <w:sz w:val="20"/>
        </w:rPr>
        <w:t>Γνωμοδότηση 2/00 («Πρωτόκολλο της Καρθαγένης»), ECLI:EU:C:2001:664, σκέψη 5.</w:t>
      </w:r>
    </w:p>
  </w:footnote>
  <w:footnote w:id="3">
    <w:p w14:paraId="1DCBF68E" w14:textId="77777777" w:rsidR="00FC1E12" w:rsidRPr="00131089" w:rsidRDefault="00FC1E12" w:rsidP="00FC1E12">
      <w:pPr>
        <w:rPr>
          <w:sz w:val="20"/>
        </w:rPr>
      </w:pPr>
      <w:r w:rsidRPr="00131089">
        <w:rPr>
          <w:sz w:val="20"/>
          <w:vertAlign w:val="superscript"/>
        </w:rPr>
        <w:footnoteRef/>
      </w:r>
      <w:r w:rsidRPr="00131089">
        <w:t xml:space="preserve"> </w:t>
      </w:r>
      <w:r w:rsidRPr="00131089">
        <w:rPr>
          <w:sz w:val="20"/>
        </w:rPr>
        <w:t>Υπόθεση C-300/89, Επιτροπή κατά Συμβουλίου («Διοξείδιο του τιτανίου»), ECLI:EU:C:1991:244, σκέψη 10.</w:t>
      </w:r>
    </w:p>
  </w:footnote>
  <w:footnote w:id="4">
    <w:p w14:paraId="34BE77C9" w14:textId="77777777" w:rsidR="00FC1E12" w:rsidRPr="00131089" w:rsidRDefault="00FC1E12" w:rsidP="00FC1E12">
      <w:pPr>
        <w:rPr>
          <w:sz w:val="20"/>
        </w:rPr>
      </w:pPr>
      <w:r w:rsidRPr="00131089">
        <w:rPr>
          <w:sz w:val="20"/>
          <w:vertAlign w:val="superscript"/>
        </w:rPr>
        <w:footnoteRef/>
      </w:r>
      <w:r w:rsidRPr="00131089">
        <w:t xml:space="preserve"> </w:t>
      </w:r>
      <w:proofErr w:type="spellStart"/>
      <w:r w:rsidRPr="00131089">
        <w:rPr>
          <w:sz w:val="20"/>
        </w:rPr>
        <w:t>Ό.π</w:t>
      </w:r>
      <w:proofErr w:type="spellEnd"/>
      <w:r w:rsidRPr="00131089">
        <w:rPr>
          <w:sz w:val="20"/>
        </w:rPr>
        <w:t>. σκέψη 30 και υπόθεση C-137/12, Επιτροπή κατά Συμβουλίου, ECLI:EU:C:2013:675, σκέψη 53 και εκεί παρατιθέμενη νομολογία.</w:t>
      </w:r>
    </w:p>
  </w:footnote>
  <w:footnote w:id="5">
    <w:p w14:paraId="0A061777" w14:textId="77777777" w:rsidR="00FC1E12" w:rsidRPr="00131089" w:rsidRDefault="00FC1E12" w:rsidP="00FC1E12">
      <w:pPr>
        <w:rPr>
          <w:sz w:val="20"/>
        </w:rPr>
      </w:pPr>
      <w:r w:rsidRPr="00131089">
        <w:rPr>
          <w:sz w:val="20"/>
          <w:vertAlign w:val="superscript"/>
        </w:rPr>
        <w:footnoteRef/>
      </w:r>
      <w:r w:rsidRPr="00131089">
        <w:t xml:space="preserve"> </w:t>
      </w:r>
      <w:r w:rsidRPr="00131089">
        <w:rPr>
          <w:sz w:val="20"/>
        </w:rPr>
        <w:t xml:space="preserve">Υπόθεση C-300/89, σκέψεις 13 και 17· υπόθεση C-42/97, </w:t>
      </w:r>
      <w:r w:rsidRPr="00131089">
        <w:rPr>
          <w:rStyle w:val="affairetitle"/>
          <w:i/>
          <w:sz w:val="20"/>
        </w:rPr>
        <w:t>Κοινοβούλιο κατά Συμβουλίου</w:t>
      </w:r>
      <w:r w:rsidRPr="00131089">
        <w:rPr>
          <w:rStyle w:val="affairetitle"/>
          <w:sz w:val="20"/>
        </w:rPr>
        <w:t>, ECLI:</w:t>
      </w:r>
      <w:r w:rsidRPr="00131089">
        <w:rPr>
          <w:rStyle w:val="outputecliaff"/>
          <w:sz w:val="20"/>
        </w:rPr>
        <w:t xml:space="preserve">EU:C:1999:81, </w:t>
      </w:r>
      <w:r w:rsidRPr="00131089">
        <w:rPr>
          <w:sz w:val="20"/>
        </w:rPr>
        <w:t xml:space="preserve">σκέψη 38· </w:t>
      </w:r>
      <w:r w:rsidRPr="00131089">
        <w:rPr>
          <w:i/>
          <w:sz w:val="20"/>
        </w:rPr>
        <w:t>Γνωμοδότηση 2/00</w:t>
      </w:r>
      <w:r w:rsidRPr="00131089">
        <w:rPr>
          <w:sz w:val="20"/>
        </w:rPr>
        <w:t xml:space="preserve">, σκέψη 23· υπόθεση C-94/03, </w:t>
      </w:r>
      <w:r w:rsidRPr="00131089">
        <w:rPr>
          <w:rStyle w:val="affairetitle"/>
          <w:i/>
          <w:sz w:val="20"/>
        </w:rPr>
        <w:t>Επιτροπή κατά Συμβουλίου («Σύμβαση του Ρότερνταμ»)</w:t>
      </w:r>
      <w:r w:rsidRPr="00131089">
        <w:rPr>
          <w:rStyle w:val="affairetitle"/>
          <w:sz w:val="20"/>
        </w:rPr>
        <w:t>, ECLI:</w:t>
      </w:r>
      <w:r w:rsidRPr="00131089">
        <w:rPr>
          <w:rStyle w:val="outputecliaff"/>
          <w:sz w:val="20"/>
        </w:rPr>
        <w:t>EU:C:2006:2</w:t>
      </w:r>
      <w:r w:rsidRPr="00131089">
        <w:rPr>
          <w:sz w:val="20"/>
        </w:rPr>
        <w:t xml:space="preserve"> και υπόθεση C-178/03, </w:t>
      </w:r>
      <w:r w:rsidRPr="00131089">
        <w:rPr>
          <w:rStyle w:val="affairetitle"/>
          <w:i/>
          <w:sz w:val="20"/>
        </w:rPr>
        <w:t>Επιτροπή κατά Κοινοβουλίου και Συμβουλίου</w:t>
      </w:r>
      <w:r w:rsidRPr="00131089">
        <w:rPr>
          <w:rStyle w:val="affairetitle"/>
          <w:sz w:val="20"/>
        </w:rPr>
        <w:t>, ECLI:</w:t>
      </w:r>
      <w:r w:rsidRPr="00131089">
        <w:rPr>
          <w:rStyle w:val="outputecliaff"/>
          <w:sz w:val="20"/>
        </w:rPr>
        <w:t>EU:C:2006:4,</w:t>
      </w:r>
      <w:r w:rsidRPr="00131089">
        <w:rPr>
          <w:sz w:val="20"/>
        </w:rPr>
        <w:t xml:space="preserve"> σκέψεις 36 και 43.</w:t>
      </w:r>
    </w:p>
  </w:footnote>
  <w:footnote w:id="6">
    <w:p w14:paraId="26BEE19C" w14:textId="77777777" w:rsidR="00FC1E12" w:rsidRPr="00131089" w:rsidRDefault="00FC1E12" w:rsidP="00FC1E12">
      <w:pPr>
        <w:rPr>
          <w:sz w:val="20"/>
        </w:rPr>
      </w:pPr>
      <w:r w:rsidRPr="00131089">
        <w:rPr>
          <w:sz w:val="20"/>
          <w:vertAlign w:val="superscript"/>
        </w:rPr>
        <w:footnoteRef/>
      </w:r>
      <w:r w:rsidRPr="00131089">
        <w:t xml:space="preserve"> </w:t>
      </w:r>
      <w:r w:rsidRPr="00131089">
        <w:rPr>
          <w:sz w:val="20"/>
        </w:rPr>
        <w:t xml:space="preserve">Υπόθεση C-300/89, σκέψεις 17-25· υπόθεση C-268/94, </w:t>
      </w:r>
      <w:r w:rsidRPr="00131089">
        <w:rPr>
          <w:i/>
          <w:sz w:val="20"/>
        </w:rPr>
        <w:t>Πορτογαλία κατά Συμβουλίου</w:t>
      </w:r>
      <w:r w:rsidRPr="00131089">
        <w:rPr>
          <w:sz w:val="20"/>
        </w:rPr>
        <w:t>, ECLI:EU:C:1996:461.</w:t>
      </w:r>
    </w:p>
  </w:footnote>
  <w:footnote w:id="7">
    <w:p w14:paraId="03E1EC0D" w14:textId="77777777" w:rsidR="00FC1E12" w:rsidRPr="00131089" w:rsidRDefault="00FC1E12" w:rsidP="006A4CE5">
      <w:pPr>
        <w:rPr>
          <w:sz w:val="20"/>
        </w:rPr>
      </w:pPr>
      <w:r w:rsidRPr="00131089">
        <w:rPr>
          <w:sz w:val="20"/>
          <w:vertAlign w:val="superscript"/>
        </w:rPr>
        <w:footnoteRef/>
      </w:r>
      <w:r w:rsidRPr="00131089">
        <w:rPr>
          <w:sz w:val="20"/>
        </w:rPr>
        <w:t xml:space="preserve"> </w:t>
      </w:r>
      <w:r w:rsidRPr="00131089">
        <w:rPr>
          <w:sz w:val="20"/>
        </w:rPr>
        <w:t xml:space="preserve">Ήταν παρόντες κατά την τελική ψηφοφορία οι βουλευτές: </w:t>
      </w:r>
      <w:proofErr w:type="spellStart"/>
      <w:r w:rsidRPr="00131089">
        <w:rPr>
          <w:sz w:val="20"/>
        </w:rPr>
        <w:t>Ilhan</w:t>
      </w:r>
      <w:proofErr w:type="spellEnd"/>
      <w:r w:rsidRPr="00131089">
        <w:rPr>
          <w:sz w:val="20"/>
        </w:rPr>
        <w:t xml:space="preserve"> </w:t>
      </w:r>
      <w:proofErr w:type="spellStart"/>
      <w:r w:rsidRPr="00131089">
        <w:rPr>
          <w:sz w:val="20"/>
        </w:rPr>
        <w:t>Kyuchyuk</w:t>
      </w:r>
      <w:proofErr w:type="spellEnd"/>
      <w:r w:rsidRPr="00131089">
        <w:rPr>
          <w:sz w:val="20"/>
        </w:rPr>
        <w:t xml:space="preserve"> (πρόεδρος), </w:t>
      </w:r>
      <w:proofErr w:type="spellStart"/>
      <w:r w:rsidRPr="00131089">
        <w:rPr>
          <w:sz w:val="20"/>
        </w:rPr>
        <w:t>Marion</w:t>
      </w:r>
      <w:proofErr w:type="spellEnd"/>
      <w:r w:rsidRPr="00131089">
        <w:rPr>
          <w:sz w:val="20"/>
        </w:rPr>
        <w:t xml:space="preserve"> </w:t>
      </w:r>
      <w:proofErr w:type="spellStart"/>
      <w:r w:rsidRPr="00131089">
        <w:rPr>
          <w:sz w:val="20"/>
        </w:rPr>
        <w:t>Walsmann</w:t>
      </w:r>
      <w:proofErr w:type="spellEnd"/>
      <w:r w:rsidRPr="00131089">
        <w:rPr>
          <w:sz w:val="20"/>
        </w:rPr>
        <w:t xml:space="preserve"> (αντιπρόεδρος), </w:t>
      </w:r>
      <w:proofErr w:type="spellStart"/>
      <w:r w:rsidRPr="00131089">
        <w:rPr>
          <w:sz w:val="20"/>
        </w:rPr>
        <w:t>Mario</w:t>
      </w:r>
      <w:proofErr w:type="spellEnd"/>
      <w:r w:rsidRPr="00131089">
        <w:rPr>
          <w:sz w:val="20"/>
        </w:rPr>
        <w:t xml:space="preserve"> </w:t>
      </w:r>
      <w:proofErr w:type="spellStart"/>
      <w:r w:rsidRPr="00131089">
        <w:rPr>
          <w:sz w:val="20"/>
        </w:rPr>
        <w:t>Mantovani</w:t>
      </w:r>
      <w:proofErr w:type="spellEnd"/>
      <w:r w:rsidRPr="00131089">
        <w:rPr>
          <w:sz w:val="20"/>
        </w:rPr>
        <w:t xml:space="preserve"> (αντιπρόεδρος), </w:t>
      </w:r>
      <w:proofErr w:type="spellStart"/>
      <w:r w:rsidRPr="00131089">
        <w:rPr>
          <w:sz w:val="20"/>
        </w:rPr>
        <w:t>Lara</w:t>
      </w:r>
      <w:proofErr w:type="spellEnd"/>
      <w:r w:rsidRPr="00131089">
        <w:rPr>
          <w:sz w:val="20"/>
        </w:rPr>
        <w:t xml:space="preserve"> </w:t>
      </w:r>
      <w:proofErr w:type="spellStart"/>
      <w:r w:rsidRPr="00131089">
        <w:rPr>
          <w:sz w:val="20"/>
        </w:rPr>
        <w:t>Wolters</w:t>
      </w:r>
      <w:proofErr w:type="spellEnd"/>
      <w:r w:rsidRPr="00131089">
        <w:rPr>
          <w:sz w:val="20"/>
        </w:rPr>
        <w:t xml:space="preserve"> (αντιπρόεδρος), </w:t>
      </w:r>
      <w:proofErr w:type="spellStart"/>
      <w:r w:rsidRPr="00131089">
        <w:rPr>
          <w:sz w:val="20"/>
        </w:rPr>
        <w:t>Maravillas</w:t>
      </w:r>
      <w:proofErr w:type="spellEnd"/>
      <w:r w:rsidRPr="00131089">
        <w:rPr>
          <w:sz w:val="20"/>
        </w:rPr>
        <w:t xml:space="preserve"> </w:t>
      </w:r>
      <w:proofErr w:type="spellStart"/>
      <w:r w:rsidRPr="00131089">
        <w:rPr>
          <w:sz w:val="20"/>
        </w:rPr>
        <w:t>Abadía</w:t>
      </w:r>
      <w:proofErr w:type="spellEnd"/>
      <w:r w:rsidRPr="00131089">
        <w:rPr>
          <w:sz w:val="20"/>
        </w:rPr>
        <w:t xml:space="preserve"> </w:t>
      </w:r>
      <w:proofErr w:type="spellStart"/>
      <w:r w:rsidRPr="00131089">
        <w:rPr>
          <w:sz w:val="20"/>
        </w:rPr>
        <w:t>Jover</w:t>
      </w:r>
      <w:proofErr w:type="spellEnd"/>
      <w:r w:rsidRPr="00131089">
        <w:rPr>
          <w:sz w:val="20"/>
        </w:rPr>
        <w:t xml:space="preserve">, </w:t>
      </w:r>
      <w:proofErr w:type="spellStart"/>
      <w:r w:rsidRPr="00131089">
        <w:rPr>
          <w:sz w:val="20"/>
        </w:rPr>
        <w:t>Tobiasz</w:t>
      </w:r>
      <w:proofErr w:type="spellEnd"/>
      <w:r w:rsidRPr="00131089">
        <w:rPr>
          <w:sz w:val="20"/>
        </w:rPr>
        <w:t xml:space="preserve"> </w:t>
      </w:r>
      <w:proofErr w:type="spellStart"/>
      <w:r w:rsidRPr="00131089">
        <w:rPr>
          <w:sz w:val="20"/>
        </w:rPr>
        <w:t>Bocheński</w:t>
      </w:r>
      <w:proofErr w:type="spellEnd"/>
      <w:r w:rsidRPr="00131089">
        <w:rPr>
          <w:sz w:val="20"/>
        </w:rPr>
        <w:t xml:space="preserve">, </w:t>
      </w:r>
      <w:proofErr w:type="spellStart"/>
      <w:r w:rsidRPr="00131089">
        <w:rPr>
          <w:sz w:val="20"/>
        </w:rPr>
        <w:t>Pascal</w:t>
      </w:r>
      <w:proofErr w:type="spellEnd"/>
      <w:r w:rsidRPr="00131089">
        <w:rPr>
          <w:sz w:val="20"/>
        </w:rPr>
        <w:t xml:space="preserve"> </w:t>
      </w:r>
      <w:proofErr w:type="spellStart"/>
      <w:r w:rsidRPr="00131089">
        <w:rPr>
          <w:sz w:val="20"/>
        </w:rPr>
        <w:t>Canfin</w:t>
      </w:r>
      <w:proofErr w:type="spellEnd"/>
      <w:r w:rsidRPr="00131089">
        <w:rPr>
          <w:sz w:val="20"/>
        </w:rPr>
        <w:t xml:space="preserve">, </w:t>
      </w:r>
      <w:proofErr w:type="spellStart"/>
      <w:r w:rsidRPr="00131089">
        <w:rPr>
          <w:sz w:val="20"/>
        </w:rPr>
        <w:t>José</w:t>
      </w:r>
      <w:proofErr w:type="spellEnd"/>
      <w:r w:rsidRPr="00131089">
        <w:rPr>
          <w:sz w:val="20"/>
        </w:rPr>
        <w:t xml:space="preserve"> </w:t>
      </w:r>
      <w:proofErr w:type="spellStart"/>
      <w:r w:rsidRPr="00131089">
        <w:rPr>
          <w:sz w:val="20"/>
        </w:rPr>
        <w:t>Cepeda</w:t>
      </w:r>
      <w:proofErr w:type="spellEnd"/>
      <w:r w:rsidRPr="00131089">
        <w:rPr>
          <w:sz w:val="20"/>
        </w:rPr>
        <w:t xml:space="preserve">, </w:t>
      </w:r>
      <w:proofErr w:type="spellStart"/>
      <w:r w:rsidRPr="00131089">
        <w:rPr>
          <w:sz w:val="20"/>
        </w:rPr>
        <w:t>Henrik</w:t>
      </w:r>
      <w:proofErr w:type="spellEnd"/>
      <w:r w:rsidRPr="00131089">
        <w:rPr>
          <w:sz w:val="20"/>
        </w:rPr>
        <w:t xml:space="preserve"> </w:t>
      </w:r>
      <w:proofErr w:type="spellStart"/>
      <w:r w:rsidRPr="00131089">
        <w:rPr>
          <w:sz w:val="20"/>
        </w:rPr>
        <w:t>Dahl</w:t>
      </w:r>
      <w:proofErr w:type="spellEnd"/>
      <w:r w:rsidRPr="00131089">
        <w:rPr>
          <w:sz w:val="20"/>
        </w:rPr>
        <w:t xml:space="preserve">, </w:t>
      </w:r>
      <w:proofErr w:type="spellStart"/>
      <w:r w:rsidRPr="00131089">
        <w:rPr>
          <w:sz w:val="20"/>
        </w:rPr>
        <w:t>Ton</w:t>
      </w:r>
      <w:proofErr w:type="spellEnd"/>
      <w:r w:rsidRPr="00131089">
        <w:rPr>
          <w:sz w:val="20"/>
        </w:rPr>
        <w:t xml:space="preserve"> </w:t>
      </w:r>
      <w:proofErr w:type="spellStart"/>
      <w:r w:rsidRPr="00131089">
        <w:rPr>
          <w:sz w:val="20"/>
        </w:rPr>
        <w:t>Diepeveen</w:t>
      </w:r>
      <w:proofErr w:type="spellEnd"/>
      <w:r w:rsidRPr="00131089">
        <w:rPr>
          <w:sz w:val="20"/>
        </w:rPr>
        <w:t xml:space="preserve">, </w:t>
      </w:r>
      <w:proofErr w:type="spellStart"/>
      <w:r w:rsidRPr="00131089">
        <w:rPr>
          <w:sz w:val="20"/>
        </w:rPr>
        <w:t>Sebastian</w:t>
      </w:r>
      <w:proofErr w:type="spellEnd"/>
      <w:r w:rsidRPr="00131089">
        <w:rPr>
          <w:sz w:val="20"/>
        </w:rPr>
        <w:t xml:space="preserve"> </w:t>
      </w:r>
      <w:proofErr w:type="spellStart"/>
      <w:r w:rsidRPr="00131089">
        <w:rPr>
          <w:sz w:val="20"/>
        </w:rPr>
        <w:t>Everding</w:t>
      </w:r>
      <w:proofErr w:type="spellEnd"/>
      <w:r w:rsidRPr="00131089">
        <w:rPr>
          <w:sz w:val="20"/>
        </w:rPr>
        <w:t xml:space="preserve"> (για τον </w:t>
      </w:r>
      <w:proofErr w:type="spellStart"/>
      <w:r w:rsidRPr="00131089">
        <w:rPr>
          <w:sz w:val="20"/>
        </w:rPr>
        <w:t>Mario</w:t>
      </w:r>
      <w:proofErr w:type="spellEnd"/>
      <w:r w:rsidRPr="00131089">
        <w:rPr>
          <w:sz w:val="20"/>
        </w:rPr>
        <w:t xml:space="preserve"> </w:t>
      </w:r>
      <w:proofErr w:type="spellStart"/>
      <w:r w:rsidRPr="00131089">
        <w:rPr>
          <w:sz w:val="20"/>
        </w:rPr>
        <w:t>Furore</w:t>
      </w:r>
      <w:proofErr w:type="spellEnd"/>
      <w:r w:rsidRPr="00131089">
        <w:rPr>
          <w:sz w:val="20"/>
        </w:rPr>
        <w:t xml:space="preserve"> σύμφωνα με το άρθρο 216 παράγραφος 7), </w:t>
      </w:r>
      <w:proofErr w:type="spellStart"/>
      <w:r w:rsidRPr="00131089">
        <w:rPr>
          <w:sz w:val="20"/>
        </w:rPr>
        <w:t>Enikő</w:t>
      </w:r>
      <w:proofErr w:type="spellEnd"/>
      <w:r w:rsidRPr="00131089">
        <w:rPr>
          <w:sz w:val="20"/>
        </w:rPr>
        <w:t xml:space="preserve"> </w:t>
      </w:r>
      <w:proofErr w:type="spellStart"/>
      <w:r w:rsidRPr="00131089">
        <w:rPr>
          <w:sz w:val="20"/>
        </w:rPr>
        <w:t>Győri</w:t>
      </w:r>
      <w:proofErr w:type="spellEnd"/>
      <w:r w:rsidRPr="00131089">
        <w:rPr>
          <w:sz w:val="20"/>
        </w:rPr>
        <w:t xml:space="preserve"> (για τον </w:t>
      </w:r>
      <w:proofErr w:type="spellStart"/>
      <w:r w:rsidRPr="00131089">
        <w:rPr>
          <w:sz w:val="20"/>
        </w:rPr>
        <w:t>Juan</w:t>
      </w:r>
      <w:proofErr w:type="spellEnd"/>
      <w:r w:rsidRPr="00131089">
        <w:rPr>
          <w:sz w:val="20"/>
        </w:rPr>
        <w:t xml:space="preserve"> </w:t>
      </w:r>
      <w:proofErr w:type="spellStart"/>
      <w:r w:rsidRPr="00131089">
        <w:rPr>
          <w:sz w:val="20"/>
        </w:rPr>
        <w:t>Carlos</w:t>
      </w:r>
      <w:proofErr w:type="spellEnd"/>
      <w:r w:rsidRPr="00131089">
        <w:rPr>
          <w:sz w:val="20"/>
        </w:rPr>
        <w:t xml:space="preserve"> </w:t>
      </w:r>
      <w:proofErr w:type="spellStart"/>
      <w:r w:rsidRPr="00131089">
        <w:rPr>
          <w:sz w:val="20"/>
        </w:rPr>
        <w:t>Girauta</w:t>
      </w:r>
      <w:proofErr w:type="spellEnd"/>
      <w:r w:rsidRPr="00131089">
        <w:rPr>
          <w:sz w:val="20"/>
        </w:rPr>
        <w:t xml:space="preserve"> </w:t>
      </w:r>
      <w:proofErr w:type="spellStart"/>
      <w:r w:rsidRPr="00131089">
        <w:rPr>
          <w:sz w:val="20"/>
        </w:rPr>
        <w:t>Vidal</w:t>
      </w:r>
      <w:proofErr w:type="spellEnd"/>
      <w:r w:rsidRPr="00131089">
        <w:rPr>
          <w:sz w:val="20"/>
        </w:rPr>
        <w:t xml:space="preserve"> σύμφωνα με το άρθρο 216 παράγραφος 7), </w:t>
      </w:r>
      <w:proofErr w:type="spellStart"/>
      <w:r w:rsidRPr="00131089">
        <w:rPr>
          <w:sz w:val="20"/>
        </w:rPr>
        <w:t>Mary</w:t>
      </w:r>
      <w:proofErr w:type="spellEnd"/>
      <w:r w:rsidRPr="00131089">
        <w:rPr>
          <w:sz w:val="20"/>
        </w:rPr>
        <w:t xml:space="preserve"> </w:t>
      </w:r>
      <w:proofErr w:type="spellStart"/>
      <w:r w:rsidRPr="00131089">
        <w:rPr>
          <w:sz w:val="20"/>
        </w:rPr>
        <w:t>Khan</w:t>
      </w:r>
      <w:proofErr w:type="spellEnd"/>
      <w:r w:rsidRPr="00131089">
        <w:rPr>
          <w:sz w:val="20"/>
        </w:rPr>
        <w:t xml:space="preserve">, </w:t>
      </w:r>
      <w:proofErr w:type="spellStart"/>
      <w:r w:rsidRPr="00131089">
        <w:rPr>
          <w:sz w:val="20"/>
        </w:rPr>
        <w:t>Ana</w:t>
      </w:r>
      <w:proofErr w:type="spellEnd"/>
      <w:r w:rsidRPr="00131089">
        <w:rPr>
          <w:sz w:val="20"/>
        </w:rPr>
        <w:t xml:space="preserve"> </w:t>
      </w:r>
      <w:proofErr w:type="spellStart"/>
      <w:r w:rsidRPr="00131089">
        <w:rPr>
          <w:sz w:val="20"/>
        </w:rPr>
        <w:t>Catarina</w:t>
      </w:r>
      <w:proofErr w:type="spellEnd"/>
      <w:r w:rsidRPr="00131089">
        <w:rPr>
          <w:sz w:val="20"/>
        </w:rPr>
        <w:t xml:space="preserve"> </w:t>
      </w:r>
      <w:proofErr w:type="spellStart"/>
      <w:r w:rsidRPr="00131089">
        <w:rPr>
          <w:sz w:val="20"/>
        </w:rPr>
        <w:t>Mendes</w:t>
      </w:r>
      <w:proofErr w:type="spellEnd"/>
      <w:r w:rsidRPr="00131089">
        <w:rPr>
          <w:sz w:val="20"/>
        </w:rPr>
        <w:t xml:space="preserve"> (για τον </w:t>
      </w:r>
      <w:proofErr w:type="spellStart"/>
      <w:r w:rsidRPr="00131089">
        <w:rPr>
          <w:sz w:val="20"/>
        </w:rPr>
        <w:t>Victor</w:t>
      </w:r>
      <w:proofErr w:type="spellEnd"/>
      <w:r w:rsidRPr="00131089">
        <w:rPr>
          <w:sz w:val="20"/>
        </w:rPr>
        <w:t xml:space="preserve"> </w:t>
      </w:r>
      <w:proofErr w:type="spellStart"/>
      <w:r w:rsidRPr="00131089">
        <w:rPr>
          <w:sz w:val="20"/>
        </w:rPr>
        <w:t>Negrescu</w:t>
      </w:r>
      <w:proofErr w:type="spellEnd"/>
      <w:r w:rsidRPr="00131089">
        <w:rPr>
          <w:sz w:val="20"/>
        </w:rPr>
        <w:t xml:space="preserve"> σύμφωνα με το άρθρο 216 παράγραφος 7), </w:t>
      </w:r>
      <w:proofErr w:type="spellStart"/>
      <w:r w:rsidRPr="00131089">
        <w:rPr>
          <w:sz w:val="20"/>
        </w:rPr>
        <w:t>Javier</w:t>
      </w:r>
      <w:proofErr w:type="spellEnd"/>
      <w:r w:rsidRPr="00131089">
        <w:rPr>
          <w:sz w:val="20"/>
        </w:rPr>
        <w:t xml:space="preserve"> </w:t>
      </w:r>
      <w:proofErr w:type="spellStart"/>
      <w:r w:rsidRPr="00131089">
        <w:rPr>
          <w:sz w:val="20"/>
        </w:rPr>
        <w:t>Moreno</w:t>
      </w:r>
      <w:proofErr w:type="spellEnd"/>
      <w:r w:rsidRPr="00131089">
        <w:rPr>
          <w:sz w:val="20"/>
        </w:rPr>
        <w:t xml:space="preserve"> </w:t>
      </w:r>
      <w:proofErr w:type="spellStart"/>
      <w:r w:rsidRPr="00131089">
        <w:rPr>
          <w:sz w:val="20"/>
        </w:rPr>
        <w:t>Sánchez</w:t>
      </w:r>
      <w:proofErr w:type="spellEnd"/>
      <w:r w:rsidRPr="00131089">
        <w:rPr>
          <w:sz w:val="20"/>
        </w:rPr>
        <w:t xml:space="preserve"> (για τον </w:t>
      </w:r>
      <w:proofErr w:type="spellStart"/>
      <w:r w:rsidRPr="00131089">
        <w:rPr>
          <w:sz w:val="20"/>
        </w:rPr>
        <w:t>Krzysztof</w:t>
      </w:r>
      <w:proofErr w:type="spellEnd"/>
      <w:r w:rsidRPr="00131089">
        <w:rPr>
          <w:sz w:val="20"/>
        </w:rPr>
        <w:t xml:space="preserve"> </w:t>
      </w:r>
      <w:proofErr w:type="spellStart"/>
      <w:r w:rsidRPr="00131089">
        <w:rPr>
          <w:sz w:val="20"/>
        </w:rPr>
        <w:t>Śmiszek</w:t>
      </w:r>
      <w:proofErr w:type="spellEnd"/>
      <w:r w:rsidRPr="00131089">
        <w:rPr>
          <w:sz w:val="20"/>
        </w:rPr>
        <w:t xml:space="preserve"> σύμφωνα με το άρθρο 216 παράγραφος 7), </w:t>
      </w:r>
      <w:proofErr w:type="spellStart"/>
      <w:r w:rsidRPr="00131089">
        <w:rPr>
          <w:sz w:val="20"/>
        </w:rPr>
        <w:t>Angelika</w:t>
      </w:r>
      <w:proofErr w:type="spellEnd"/>
      <w:r w:rsidRPr="00131089">
        <w:rPr>
          <w:sz w:val="20"/>
        </w:rPr>
        <w:t xml:space="preserve"> </w:t>
      </w:r>
      <w:proofErr w:type="spellStart"/>
      <w:r w:rsidRPr="00131089">
        <w:rPr>
          <w:sz w:val="20"/>
        </w:rPr>
        <w:t>Niebler</w:t>
      </w:r>
      <w:proofErr w:type="spellEnd"/>
      <w:r w:rsidRPr="00131089">
        <w:rPr>
          <w:sz w:val="20"/>
        </w:rPr>
        <w:t xml:space="preserve">, </w:t>
      </w:r>
      <w:proofErr w:type="spellStart"/>
      <w:r w:rsidRPr="00131089">
        <w:rPr>
          <w:sz w:val="20"/>
        </w:rPr>
        <w:t>Pascale</w:t>
      </w:r>
      <w:proofErr w:type="spellEnd"/>
      <w:r w:rsidRPr="00131089">
        <w:rPr>
          <w:sz w:val="20"/>
        </w:rPr>
        <w:t xml:space="preserve"> </w:t>
      </w:r>
      <w:proofErr w:type="spellStart"/>
      <w:r w:rsidRPr="00131089">
        <w:rPr>
          <w:sz w:val="20"/>
        </w:rPr>
        <w:t>Piera</w:t>
      </w:r>
      <w:proofErr w:type="spellEnd"/>
      <w:r w:rsidRPr="00131089">
        <w:rPr>
          <w:sz w:val="20"/>
        </w:rPr>
        <w:t xml:space="preserve">, </w:t>
      </w:r>
      <w:proofErr w:type="spellStart"/>
      <w:r w:rsidRPr="00131089">
        <w:rPr>
          <w:sz w:val="20"/>
        </w:rPr>
        <w:t>Kira</w:t>
      </w:r>
      <w:proofErr w:type="spellEnd"/>
      <w:r w:rsidRPr="00131089">
        <w:rPr>
          <w:sz w:val="20"/>
        </w:rPr>
        <w:t xml:space="preserve"> </w:t>
      </w:r>
      <w:proofErr w:type="spellStart"/>
      <w:r w:rsidRPr="00131089">
        <w:rPr>
          <w:sz w:val="20"/>
        </w:rPr>
        <w:t>Marie</w:t>
      </w:r>
      <w:proofErr w:type="spellEnd"/>
      <w:r w:rsidRPr="00131089">
        <w:rPr>
          <w:sz w:val="20"/>
        </w:rPr>
        <w:t xml:space="preserve"> </w:t>
      </w:r>
      <w:proofErr w:type="spellStart"/>
      <w:r w:rsidRPr="00131089">
        <w:rPr>
          <w:sz w:val="20"/>
        </w:rPr>
        <w:t>Peter-Hansen</w:t>
      </w:r>
      <w:proofErr w:type="spellEnd"/>
      <w:r w:rsidRPr="00131089">
        <w:rPr>
          <w:sz w:val="20"/>
        </w:rPr>
        <w:t xml:space="preserve">, </w:t>
      </w:r>
      <w:proofErr w:type="spellStart"/>
      <w:r w:rsidRPr="00131089">
        <w:rPr>
          <w:sz w:val="20"/>
        </w:rPr>
        <w:t>René</w:t>
      </w:r>
      <w:proofErr w:type="spellEnd"/>
      <w:r w:rsidRPr="00131089">
        <w:rPr>
          <w:sz w:val="20"/>
        </w:rPr>
        <w:t xml:space="preserve"> </w:t>
      </w:r>
      <w:proofErr w:type="spellStart"/>
      <w:r w:rsidRPr="00131089">
        <w:rPr>
          <w:sz w:val="20"/>
        </w:rPr>
        <w:t>Repasi</w:t>
      </w:r>
      <w:proofErr w:type="spellEnd"/>
      <w:r w:rsidRPr="00131089">
        <w:rPr>
          <w:sz w:val="20"/>
        </w:rPr>
        <w:t xml:space="preserve">, </w:t>
      </w:r>
      <w:proofErr w:type="spellStart"/>
      <w:r w:rsidRPr="00131089">
        <w:rPr>
          <w:sz w:val="20"/>
        </w:rPr>
        <w:t>Tomas</w:t>
      </w:r>
      <w:proofErr w:type="spellEnd"/>
      <w:r w:rsidRPr="00131089">
        <w:rPr>
          <w:sz w:val="20"/>
        </w:rPr>
        <w:t xml:space="preserve"> </w:t>
      </w:r>
      <w:proofErr w:type="spellStart"/>
      <w:r w:rsidRPr="00131089">
        <w:rPr>
          <w:sz w:val="20"/>
        </w:rPr>
        <w:t>Tobé</w:t>
      </w:r>
      <w:proofErr w:type="spellEnd"/>
      <w:r w:rsidRPr="00131089">
        <w:rPr>
          <w:sz w:val="20"/>
        </w:rPr>
        <w:t xml:space="preserve">, </w:t>
      </w:r>
      <w:proofErr w:type="spellStart"/>
      <w:r w:rsidRPr="00131089">
        <w:rPr>
          <w:sz w:val="20"/>
        </w:rPr>
        <w:t>Axel</w:t>
      </w:r>
      <w:proofErr w:type="spellEnd"/>
      <w:r w:rsidRPr="00131089">
        <w:rPr>
          <w:sz w:val="20"/>
        </w:rPr>
        <w:t xml:space="preserve"> </w:t>
      </w:r>
      <w:proofErr w:type="spellStart"/>
      <w:r w:rsidRPr="00131089">
        <w:rPr>
          <w:sz w:val="20"/>
        </w:rPr>
        <w:t>Voss</w:t>
      </w:r>
      <w:proofErr w:type="spellEnd"/>
      <w:r w:rsidRPr="00131089">
        <w:rPr>
          <w:sz w:val="20"/>
        </w:rPr>
        <w:t xml:space="preserve">, </w:t>
      </w:r>
      <w:proofErr w:type="spellStart"/>
      <w:r w:rsidRPr="00131089">
        <w:rPr>
          <w:sz w:val="20"/>
        </w:rPr>
        <w:t>Adrián</w:t>
      </w:r>
      <w:proofErr w:type="spellEnd"/>
      <w:r w:rsidRPr="00131089">
        <w:rPr>
          <w:sz w:val="20"/>
        </w:rPr>
        <w:t xml:space="preserve"> </w:t>
      </w:r>
      <w:proofErr w:type="spellStart"/>
      <w:r w:rsidRPr="00131089">
        <w:rPr>
          <w:sz w:val="20"/>
        </w:rPr>
        <w:t>Vázquez</w:t>
      </w:r>
      <w:proofErr w:type="spellEnd"/>
      <w:r w:rsidRPr="00131089">
        <w:rPr>
          <w:sz w:val="20"/>
        </w:rPr>
        <w:t xml:space="preserve"> </w:t>
      </w:r>
      <w:proofErr w:type="spellStart"/>
      <w:r w:rsidRPr="00131089">
        <w:rPr>
          <w:sz w:val="20"/>
        </w:rPr>
        <w:t>Lázara</w:t>
      </w:r>
      <w:proofErr w:type="spellEnd"/>
      <w:r w:rsidRPr="00131089">
        <w:rPr>
          <w:sz w:val="20"/>
        </w:rPr>
        <w:t xml:space="preserve">, </w:t>
      </w:r>
      <w:proofErr w:type="spellStart"/>
      <w:r w:rsidRPr="00131089">
        <w:rPr>
          <w:sz w:val="20"/>
        </w:rPr>
        <w:t>Jörgen</w:t>
      </w:r>
      <w:proofErr w:type="spellEnd"/>
      <w:r w:rsidRPr="00131089">
        <w:rPr>
          <w:sz w:val="20"/>
        </w:rPr>
        <w:t xml:space="preserve"> </w:t>
      </w:r>
      <w:proofErr w:type="spellStart"/>
      <w:r w:rsidRPr="00131089">
        <w:rPr>
          <w:sz w:val="20"/>
        </w:rPr>
        <w:t>Warborn</w:t>
      </w:r>
      <w:proofErr w:type="spellEnd"/>
      <w:r w:rsidRPr="00131089">
        <w:rPr>
          <w:sz w:val="20"/>
        </w:rPr>
        <w:t xml:space="preserve">, </w:t>
      </w:r>
      <w:proofErr w:type="spellStart"/>
      <w:r w:rsidRPr="00131089">
        <w:rPr>
          <w:sz w:val="20"/>
        </w:rPr>
        <w:t>Maciej</w:t>
      </w:r>
      <w:proofErr w:type="spellEnd"/>
      <w:r w:rsidRPr="00131089">
        <w:rPr>
          <w:sz w:val="20"/>
        </w:rPr>
        <w:t xml:space="preserve"> </w:t>
      </w:r>
      <w:proofErr w:type="spellStart"/>
      <w:r w:rsidRPr="00131089">
        <w:rPr>
          <w:sz w:val="20"/>
        </w:rPr>
        <w:t>Wąsik</w:t>
      </w:r>
      <w:proofErr w:type="spellEnd"/>
      <w:r w:rsidRPr="00131089">
        <w:rPr>
          <w:sz w:val="20"/>
        </w:rPr>
        <w:t xml:space="preserve"> (για τον </w:t>
      </w:r>
      <w:proofErr w:type="spellStart"/>
      <w:r w:rsidRPr="00131089">
        <w:rPr>
          <w:sz w:val="20"/>
        </w:rPr>
        <w:t>Dominik</w:t>
      </w:r>
      <w:proofErr w:type="spellEnd"/>
      <w:r w:rsidRPr="00131089">
        <w:rPr>
          <w:sz w:val="20"/>
        </w:rPr>
        <w:t xml:space="preserve"> </w:t>
      </w:r>
      <w:proofErr w:type="spellStart"/>
      <w:r w:rsidRPr="00131089">
        <w:rPr>
          <w:sz w:val="20"/>
        </w:rPr>
        <w:t>Tarczyński</w:t>
      </w:r>
      <w:proofErr w:type="spellEnd"/>
      <w:r w:rsidRPr="00131089">
        <w:rPr>
          <w:sz w:val="20"/>
        </w:rPr>
        <w:t xml:space="preserve"> σύμφωνα με το άρθρο 216 παράγραφος 7), </w:t>
      </w:r>
      <w:proofErr w:type="spellStart"/>
      <w:r w:rsidRPr="00131089">
        <w:rPr>
          <w:sz w:val="20"/>
        </w:rPr>
        <w:t>Michał</w:t>
      </w:r>
      <w:proofErr w:type="spellEnd"/>
      <w:r w:rsidRPr="00131089">
        <w:rPr>
          <w:sz w:val="20"/>
        </w:rPr>
        <w:t xml:space="preserve"> </w:t>
      </w:r>
      <w:proofErr w:type="spellStart"/>
      <w:r w:rsidRPr="00131089">
        <w:rPr>
          <w:sz w:val="20"/>
        </w:rPr>
        <w:t>Wawrykiewicz</w:t>
      </w:r>
      <w:proofErr w:type="spellEnd"/>
      <w:r w:rsidRPr="00131089">
        <w:rPr>
          <w:sz w:val="20"/>
        </w:rPr>
        <w:t xml:space="preserve">, </w:t>
      </w:r>
      <w:proofErr w:type="spellStart"/>
      <w:r w:rsidRPr="00131089">
        <w:rPr>
          <w:sz w:val="20"/>
        </w:rPr>
        <w:t>Dainius</w:t>
      </w:r>
      <w:proofErr w:type="spellEnd"/>
      <w:r w:rsidRPr="00131089">
        <w:rPr>
          <w:sz w:val="20"/>
        </w:rPr>
        <w:t xml:space="preserve"> </w:t>
      </w:r>
      <w:proofErr w:type="spellStart"/>
      <w:r w:rsidRPr="00131089">
        <w:rPr>
          <w:sz w:val="20"/>
        </w:rPr>
        <w:t>Žalimas</w:t>
      </w:r>
      <w:proofErr w:type="spellEnd"/>
      <w:r w:rsidRPr="00131089">
        <w:rPr>
          <w:sz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46293" w14:textId="77777777" w:rsidR="00B2039C" w:rsidRDefault="00B203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DD473" w14:textId="77777777" w:rsidR="00B2039C" w:rsidRDefault="00B2039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82320" w14:textId="77777777" w:rsidR="00B2039C" w:rsidRDefault="00B203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640A28"/>
    <w:multiLevelType w:val="singleLevel"/>
    <w:tmpl w:val="A01CE988"/>
    <w:lvl w:ilvl="0">
      <w:start w:val="352"/>
      <w:numFmt w:val="bullet"/>
      <w:lvlText w:val="–"/>
      <w:lvlJc w:val="left"/>
      <w:pPr>
        <w:tabs>
          <w:tab w:val="num" w:pos="360"/>
        </w:tabs>
        <w:ind w:left="360" w:hanging="360"/>
      </w:pPr>
      <w:rPr>
        <w:rFonts w:hint="default"/>
      </w:rPr>
    </w:lvl>
  </w:abstractNum>
  <w:abstractNum w:abstractNumId="11" w15:restartNumberingAfterBreak="0">
    <w:nsid w:val="06495604"/>
    <w:multiLevelType w:val="multilevel"/>
    <w:tmpl w:val="B8A4F914"/>
    <w:lvl w:ilvl="0">
      <w:start w:val="1"/>
      <w:numFmt w:val="decimal"/>
      <w:pStyle w:val="Point123"/>
      <w:lvlText w:val="%1."/>
      <w:lvlJc w:val="left"/>
      <w:pPr>
        <w:tabs>
          <w:tab w:val="num" w:pos="567"/>
        </w:tabs>
        <w:ind w:left="567" w:hanging="567"/>
      </w:pPr>
      <w:rPr>
        <w:i w:val="0"/>
        <w:iCs w:val="0"/>
      </w:r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2" w15:restartNumberingAfterBreak="0">
    <w:nsid w:val="11D26130"/>
    <w:multiLevelType w:val="hybridMultilevel"/>
    <w:tmpl w:val="B964B4C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3A866D9D"/>
    <w:multiLevelType w:val="singleLevel"/>
    <w:tmpl w:val="88A23CC4"/>
    <w:lvl w:ilvl="0">
      <w:start w:val="4"/>
      <w:numFmt w:val="decimal"/>
      <w:lvlText w:val="%1."/>
      <w:lvlJc w:val="left"/>
      <w:pPr>
        <w:tabs>
          <w:tab w:val="num" w:pos="360"/>
        </w:tabs>
        <w:ind w:left="360" w:hanging="360"/>
      </w:pPr>
      <w:rPr>
        <w:rFonts w:hint="default"/>
      </w:rPr>
    </w:lvl>
  </w:abstractNum>
  <w:abstractNum w:abstractNumId="14" w15:restartNumberingAfterBreak="0">
    <w:nsid w:val="4C092F15"/>
    <w:multiLevelType w:val="singleLevel"/>
    <w:tmpl w:val="08090015"/>
    <w:lvl w:ilvl="0">
      <w:start w:val="1"/>
      <w:numFmt w:val="upperLetter"/>
      <w:lvlText w:val="%1."/>
      <w:lvlJc w:val="left"/>
      <w:pPr>
        <w:tabs>
          <w:tab w:val="num" w:pos="360"/>
        </w:tabs>
        <w:ind w:left="360" w:hanging="360"/>
      </w:pPr>
    </w:lvl>
  </w:abstractNum>
  <w:num w:numId="1" w16cid:durableId="1823420964">
    <w:abstractNumId w:val="9"/>
  </w:num>
  <w:num w:numId="2" w16cid:durableId="1005668904">
    <w:abstractNumId w:val="9"/>
  </w:num>
  <w:num w:numId="3" w16cid:durableId="128281520">
    <w:abstractNumId w:val="7"/>
  </w:num>
  <w:num w:numId="4" w16cid:durableId="499656764">
    <w:abstractNumId w:val="7"/>
  </w:num>
  <w:num w:numId="5" w16cid:durableId="1541211936">
    <w:abstractNumId w:val="6"/>
  </w:num>
  <w:num w:numId="6" w16cid:durableId="519662211">
    <w:abstractNumId w:val="6"/>
  </w:num>
  <w:num w:numId="7" w16cid:durableId="1771194725">
    <w:abstractNumId w:val="5"/>
  </w:num>
  <w:num w:numId="8" w16cid:durableId="376929683">
    <w:abstractNumId w:val="5"/>
  </w:num>
  <w:num w:numId="9" w16cid:durableId="1540897126">
    <w:abstractNumId w:val="4"/>
  </w:num>
  <w:num w:numId="10" w16cid:durableId="353967797">
    <w:abstractNumId w:val="4"/>
  </w:num>
  <w:num w:numId="11" w16cid:durableId="966740014">
    <w:abstractNumId w:val="8"/>
  </w:num>
  <w:num w:numId="12" w16cid:durableId="1700664199">
    <w:abstractNumId w:val="8"/>
  </w:num>
  <w:num w:numId="13" w16cid:durableId="1071344322">
    <w:abstractNumId w:val="3"/>
  </w:num>
  <w:num w:numId="14" w16cid:durableId="426846218">
    <w:abstractNumId w:val="3"/>
  </w:num>
  <w:num w:numId="15" w16cid:durableId="528490530">
    <w:abstractNumId w:val="2"/>
  </w:num>
  <w:num w:numId="16" w16cid:durableId="72439245">
    <w:abstractNumId w:val="2"/>
  </w:num>
  <w:num w:numId="17" w16cid:durableId="2022394844">
    <w:abstractNumId w:val="1"/>
  </w:num>
  <w:num w:numId="18" w16cid:durableId="1342968204">
    <w:abstractNumId w:val="1"/>
  </w:num>
  <w:num w:numId="19" w16cid:durableId="687371422">
    <w:abstractNumId w:val="0"/>
  </w:num>
  <w:num w:numId="20" w16cid:durableId="2095855493">
    <w:abstractNumId w:val="0"/>
  </w:num>
  <w:num w:numId="21" w16cid:durableId="955524901">
    <w:abstractNumId w:val="9"/>
  </w:num>
  <w:num w:numId="22" w16cid:durableId="1846820256">
    <w:abstractNumId w:val="7"/>
  </w:num>
  <w:num w:numId="23" w16cid:durableId="1184519387">
    <w:abstractNumId w:val="6"/>
  </w:num>
  <w:num w:numId="24" w16cid:durableId="1303728076">
    <w:abstractNumId w:val="5"/>
  </w:num>
  <w:num w:numId="25" w16cid:durableId="1952472946">
    <w:abstractNumId w:val="4"/>
  </w:num>
  <w:num w:numId="26" w16cid:durableId="1944915574">
    <w:abstractNumId w:val="8"/>
  </w:num>
  <w:num w:numId="27" w16cid:durableId="838619071">
    <w:abstractNumId w:val="3"/>
  </w:num>
  <w:num w:numId="28" w16cid:durableId="1562213368">
    <w:abstractNumId w:val="2"/>
  </w:num>
  <w:num w:numId="29" w16cid:durableId="1342004234">
    <w:abstractNumId w:val="1"/>
  </w:num>
  <w:num w:numId="30" w16cid:durableId="1645696139">
    <w:abstractNumId w:val="0"/>
  </w:num>
  <w:num w:numId="31" w16cid:durableId="1192913448">
    <w:abstractNumId w:val="9"/>
  </w:num>
  <w:num w:numId="32" w16cid:durableId="1359503807">
    <w:abstractNumId w:val="7"/>
  </w:num>
  <w:num w:numId="33" w16cid:durableId="1537157116">
    <w:abstractNumId w:val="6"/>
  </w:num>
  <w:num w:numId="34" w16cid:durableId="373040499">
    <w:abstractNumId w:val="5"/>
  </w:num>
  <w:num w:numId="35" w16cid:durableId="891307340">
    <w:abstractNumId w:val="4"/>
  </w:num>
  <w:num w:numId="36" w16cid:durableId="950165438">
    <w:abstractNumId w:val="8"/>
  </w:num>
  <w:num w:numId="37" w16cid:durableId="274599599">
    <w:abstractNumId w:val="3"/>
  </w:num>
  <w:num w:numId="38" w16cid:durableId="170873336">
    <w:abstractNumId w:val="2"/>
  </w:num>
  <w:num w:numId="39" w16cid:durableId="1482191336">
    <w:abstractNumId w:val="1"/>
  </w:num>
  <w:num w:numId="40" w16cid:durableId="668557755">
    <w:abstractNumId w:val="0"/>
  </w:num>
  <w:num w:numId="41" w16cid:durableId="1602756831">
    <w:abstractNumId w:val="10"/>
  </w:num>
  <w:num w:numId="42" w16cid:durableId="1380671746">
    <w:abstractNumId w:val="14"/>
  </w:num>
  <w:num w:numId="43" w16cid:durableId="305866767">
    <w:abstractNumId w:val="13"/>
  </w:num>
  <w:num w:numId="44" w16cid:durableId="121165420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45517556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DDRESSMNU" w:val=" 1"/>
    <w:docVar w:name="LastEditedSection" w:val=" 1"/>
    <w:docVar w:name="strSubDir" w:val="1330"/>
    <w:docVar w:name="TXTLANGUE" w:val="EN"/>
    <w:docVar w:name="TXTLANGUEMIN" w:val="en"/>
    <w:docVar w:name="TXTNRC" w:val="0754"/>
    <w:docVar w:name="TXTNRCOM" w:val="2023"/>
    <w:docVar w:name="TXTNRPE" w:val="778.317"/>
    <w:docVar w:name="TXTNRPROC" w:val="2023/0438"/>
    <w:docVar w:name="TXTPEorAP" w:val="PE"/>
    <w:docVar w:name="TXTROUTE" w:val="AL\1330969EN.docx"/>
    <w:docVar w:name="TXTVERSION" w:val="02-00"/>
  </w:docVars>
  <w:rsids>
    <w:rsidRoot w:val="005C4B56"/>
    <w:rsid w:val="00000C7D"/>
    <w:rsid w:val="0000696F"/>
    <w:rsid w:val="00012F0D"/>
    <w:rsid w:val="00035402"/>
    <w:rsid w:val="000C3F41"/>
    <w:rsid w:val="000D2B86"/>
    <w:rsid w:val="0012665B"/>
    <w:rsid w:val="00131089"/>
    <w:rsid w:val="001422AE"/>
    <w:rsid w:val="00157D4E"/>
    <w:rsid w:val="001701D6"/>
    <w:rsid w:val="001D1646"/>
    <w:rsid w:val="00250DDD"/>
    <w:rsid w:val="002B6CA1"/>
    <w:rsid w:val="00324EAF"/>
    <w:rsid w:val="00332170"/>
    <w:rsid w:val="003666DE"/>
    <w:rsid w:val="003763A3"/>
    <w:rsid w:val="003C41CE"/>
    <w:rsid w:val="003C6D88"/>
    <w:rsid w:val="00463119"/>
    <w:rsid w:val="00482DA5"/>
    <w:rsid w:val="00493031"/>
    <w:rsid w:val="004D0D33"/>
    <w:rsid w:val="004D0D4E"/>
    <w:rsid w:val="004E5B27"/>
    <w:rsid w:val="004F676F"/>
    <w:rsid w:val="00501E47"/>
    <w:rsid w:val="00505A2E"/>
    <w:rsid w:val="00571C42"/>
    <w:rsid w:val="00595C9D"/>
    <w:rsid w:val="005C4B56"/>
    <w:rsid w:val="005F56BD"/>
    <w:rsid w:val="006A4CE5"/>
    <w:rsid w:val="006F51B0"/>
    <w:rsid w:val="007179A7"/>
    <w:rsid w:val="0074577C"/>
    <w:rsid w:val="0077327E"/>
    <w:rsid w:val="007829F6"/>
    <w:rsid w:val="007E6351"/>
    <w:rsid w:val="007F3C4A"/>
    <w:rsid w:val="007F7DB6"/>
    <w:rsid w:val="00802D65"/>
    <w:rsid w:val="008249C6"/>
    <w:rsid w:val="0084209A"/>
    <w:rsid w:val="00853AFA"/>
    <w:rsid w:val="0089677B"/>
    <w:rsid w:val="008A7815"/>
    <w:rsid w:val="008C0413"/>
    <w:rsid w:val="008E2161"/>
    <w:rsid w:val="009957FA"/>
    <w:rsid w:val="009D564F"/>
    <w:rsid w:val="009F796C"/>
    <w:rsid w:val="00A02D71"/>
    <w:rsid w:val="00A04228"/>
    <w:rsid w:val="00A177F3"/>
    <w:rsid w:val="00A37F67"/>
    <w:rsid w:val="00A441B1"/>
    <w:rsid w:val="00A93DB1"/>
    <w:rsid w:val="00AC0580"/>
    <w:rsid w:val="00AE6929"/>
    <w:rsid w:val="00B2039C"/>
    <w:rsid w:val="00C127ED"/>
    <w:rsid w:val="00C82F7E"/>
    <w:rsid w:val="00CE1655"/>
    <w:rsid w:val="00D478EA"/>
    <w:rsid w:val="00D77B8C"/>
    <w:rsid w:val="00D92A83"/>
    <w:rsid w:val="00E71F4C"/>
    <w:rsid w:val="00E743B3"/>
    <w:rsid w:val="00F12926"/>
    <w:rsid w:val="00F30938"/>
    <w:rsid w:val="00F501D2"/>
    <w:rsid w:val="00F70D50"/>
    <w:rsid w:val="00FC1E12"/>
    <w:rsid w:val="00FD6D4B"/>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527A23"/>
  <w15:chartTrackingRefBased/>
  <w15:docId w15:val="{60A0B861-4EFF-4947-B01B-BBA31F701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l-G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footer" w:semiHidden="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2665B"/>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Normal12a">
    <w:name w:val="Normal12a"/>
    <w:basedOn w:val="Normal"/>
    <w:pPr>
      <w:spacing w:after="240"/>
    </w:pPr>
  </w:style>
  <w:style w:type="paragraph" w:customStyle="1" w:styleId="EPFooter2">
    <w:name w:val="EPFooter2"/>
    <w:basedOn w:val="Normal"/>
    <w:next w:val="Normal"/>
    <w:rsid w:val="00A04228"/>
    <w:pPr>
      <w:widowControl/>
      <w:tabs>
        <w:tab w:val="center" w:pos="4535"/>
        <w:tab w:val="right" w:pos="9921"/>
      </w:tabs>
      <w:ind w:left="-850" w:right="-850"/>
    </w:pPr>
    <w:rPr>
      <w:rFonts w:ascii="Arial" w:hAnsi="Arial" w:cs="Arial"/>
      <w:b/>
      <w:sz w:val="48"/>
    </w:rPr>
  </w:style>
  <w:style w:type="paragraph" w:customStyle="1" w:styleId="LetterDate">
    <w:name w:val="LetterDate"/>
    <w:basedOn w:val="Normal"/>
    <w:rsid w:val="00A04228"/>
    <w:pPr>
      <w:spacing w:before="720" w:after="240"/>
    </w:pPr>
  </w:style>
  <w:style w:type="character" w:customStyle="1" w:styleId="HideTWBInt">
    <w:name w:val="HideTWBInt"/>
    <w:rPr>
      <w:rFonts w:ascii="Arial" w:hAnsi="Arial" w:cs="Arial"/>
      <w:vanish/>
      <w:color w:val="808080"/>
      <w:sz w:val="20"/>
    </w:rPr>
  </w:style>
  <w:style w:type="paragraph" w:customStyle="1" w:styleId="EPName">
    <w:name w:val="EPName"/>
    <w:basedOn w:val="Normal"/>
    <w:rsid w:val="00CE1655"/>
    <w:pPr>
      <w:spacing w:before="80" w:after="80"/>
    </w:pPr>
    <w:rPr>
      <w:rFonts w:ascii="Arial Narrow" w:hAnsi="Arial Narrow" w:cs="Arial"/>
      <w:b/>
      <w:sz w:val="32"/>
      <w:szCs w:val="22"/>
    </w:rPr>
  </w:style>
  <w:style w:type="paragraph" w:customStyle="1" w:styleId="EPTerm">
    <w:name w:val="EPTerm"/>
    <w:basedOn w:val="Normal"/>
    <w:next w:val="Normal"/>
    <w:rsid w:val="00CE1655"/>
    <w:pPr>
      <w:spacing w:after="80"/>
    </w:pPr>
    <w:rPr>
      <w:rFonts w:ascii="Arial" w:hAnsi="Arial" w:cs="Arial"/>
      <w:sz w:val="20"/>
      <w:szCs w:val="22"/>
    </w:rPr>
  </w:style>
  <w:style w:type="paragraph" w:customStyle="1" w:styleId="EPLogo">
    <w:name w:val="EPLogo"/>
    <w:basedOn w:val="Normal"/>
    <w:qFormat/>
    <w:rsid w:val="00CE1655"/>
    <w:pPr>
      <w:jc w:val="right"/>
    </w:pPr>
  </w:style>
  <w:style w:type="paragraph" w:customStyle="1" w:styleId="LetterSubject">
    <w:name w:val="LetterSubject"/>
    <w:basedOn w:val="Normal"/>
    <w:rsid w:val="00463119"/>
    <w:pPr>
      <w:spacing w:before="480"/>
      <w:ind w:left="1134" w:hanging="1134"/>
    </w:pPr>
  </w:style>
  <w:style w:type="paragraph" w:customStyle="1" w:styleId="LetterSignature66b">
    <w:name w:val="LetterSignature66b"/>
    <w:basedOn w:val="Normal"/>
    <w:next w:val="Normal"/>
    <w:rsid w:val="00595C9D"/>
    <w:pPr>
      <w:spacing w:before="1320"/>
    </w:pPr>
  </w:style>
  <w:style w:type="table" w:styleId="TableGrid">
    <w:name w:val="Table Grid"/>
    <w:basedOn w:val="TableNormal"/>
    <w:rsid w:val="00000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A04228"/>
    <w:pPr>
      <w:jc w:val="center"/>
    </w:pPr>
    <w:rPr>
      <w:rFonts w:ascii="Arial" w:hAnsi="Arial" w:cs="Arial"/>
      <w:i/>
      <w:sz w:val="22"/>
      <w:szCs w:val="22"/>
    </w:rPr>
  </w:style>
  <w:style w:type="paragraph" w:customStyle="1" w:styleId="LineTop">
    <w:name w:val="LineTop"/>
    <w:basedOn w:val="Normal"/>
    <w:next w:val="Normal"/>
    <w:rsid w:val="00000C7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0696F"/>
    <w:pPr>
      <w:pBdr>
        <w:bottom w:val="single" w:sz="4" w:space="1" w:color="auto"/>
      </w:pBdr>
      <w:spacing w:after="240"/>
      <w:jc w:val="center"/>
    </w:pPr>
    <w:rPr>
      <w:rFonts w:ascii="Arial" w:hAnsi="Arial" w:cs="Arial"/>
      <w:sz w:val="16"/>
      <w:szCs w:val="16"/>
    </w:rPr>
  </w:style>
  <w:style w:type="paragraph" w:customStyle="1" w:styleId="LetterSalutation">
    <w:name w:val="LetterSalutation"/>
    <w:basedOn w:val="Normal"/>
    <w:rsid w:val="008A7815"/>
    <w:pPr>
      <w:spacing w:before="600" w:after="360"/>
    </w:pPr>
  </w:style>
  <w:style w:type="paragraph" w:customStyle="1" w:styleId="EPFooter">
    <w:name w:val="EPFooter"/>
    <w:basedOn w:val="Normal"/>
    <w:rsid w:val="000C3F41"/>
    <w:pPr>
      <w:tabs>
        <w:tab w:val="center" w:pos="4535"/>
        <w:tab w:val="right" w:pos="9071"/>
      </w:tabs>
      <w:spacing w:before="240" w:after="240"/>
    </w:pPr>
    <w:rPr>
      <w:color w:val="010000"/>
      <w:sz w:val="22"/>
    </w:rPr>
  </w:style>
  <w:style w:type="paragraph" w:styleId="Header">
    <w:name w:val="header"/>
    <w:basedOn w:val="Normal"/>
    <w:link w:val="HeaderChar"/>
    <w:semiHidden/>
    <w:rsid w:val="000C3F41"/>
    <w:pPr>
      <w:tabs>
        <w:tab w:val="center" w:pos="4513"/>
        <w:tab w:val="right" w:pos="9026"/>
      </w:tabs>
    </w:pPr>
  </w:style>
  <w:style w:type="character" w:customStyle="1" w:styleId="HeaderChar">
    <w:name w:val="Header Char"/>
    <w:basedOn w:val="DefaultParagraphFont"/>
    <w:link w:val="Header"/>
    <w:semiHidden/>
    <w:rsid w:val="00332170"/>
    <w:rPr>
      <w:sz w:val="24"/>
    </w:rPr>
  </w:style>
  <w:style w:type="paragraph" w:styleId="TOCHeading">
    <w:name w:val="TOC Heading"/>
    <w:basedOn w:val="Normal"/>
    <w:next w:val="Normal"/>
    <w:uiPriority w:val="39"/>
    <w:semiHidden/>
    <w:unhideWhenUsed/>
    <w:qFormat/>
    <w:rsid w:val="00802D65"/>
    <w:pPr>
      <w:keepLines/>
      <w:spacing w:after="240"/>
    </w:pPr>
    <w:rPr>
      <w:rFonts w:asciiTheme="majorHAnsi" w:eastAsiaTheme="majorEastAsia" w:hAnsiTheme="majorHAnsi" w:cstheme="majorBidi"/>
      <w:b/>
      <w:color w:val="2E74B5" w:themeColor="accent1" w:themeShade="BF"/>
      <w:sz w:val="32"/>
      <w:szCs w:val="32"/>
    </w:rPr>
  </w:style>
  <w:style w:type="paragraph" w:customStyle="1" w:styleId="Pointabc">
    <w:name w:val="Point abc"/>
    <w:basedOn w:val="Normal"/>
    <w:rsid w:val="00FC1E12"/>
    <w:pPr>
      <w:widowControl/>
      <w:numPr>
        <w:ilvl w:val="1"/>
        <w:numId w:val="44"/>
      </w:numPr>
      <w:spacing w:before="120" w:after="120" w:line="360" w:lineRule="auto"/>
    </w:pPr>
    <w:rPr>
      <w:rFonts w:eastAsiaTheme="minorHAnsi"/>
      <w:szCs w:val="22"/>
      <w:lang w:eastAsia="en-US"/>
    </w:rPr>
  </w:style>
  <w:style w:type="paragraph" w:customStyle="1" w:styleId="Pointabc1">
    <w:name w:val="Point abc (1)"/>
    <w:basedOn w:val="Normal"/>
    <w:rsid w:val="00FC1E12"/>
    <w:pPr>
      <w:widowControl/>
      <w:numPr>
        <w:ilvl w:val="3"/>
        <w:numId w:val="44"/>
      </w:numPr>
      <w:spacing w:before="120" w:after="120" w:line="360" w:lineRule="auto"/>
    </w:pPr>
    <w:rPr>
      <w:rFonts w:eastAsiaTheme="minorHAnsi"/>
      <w:szCs w:val="22"/>
      <w:lang w:eastAsia="en-US"/>
    </w:rPr>
  </w:style>
  <w:style w:type="paragraph" w:customStyle="1" w:styleId="Pointabc2">
    <w:name w:val="Point abc (2)"/>
    <w:basedOn w:val="Normal"/>
    <w:rsid w:val="00FC1E12"/>
    <w:pPr>
      <w:widowControl/>
      <w:numPr>
        <w:ilvl w:val="5"/>
        <w:numId w:val="44"/>
      </w:numPr>
      <w:spacing w:before="120" w:after="120" w:line="360" w:lineRule="auto"/>
    </w:pPr>
    <w:rPr>
      <w:rFonts w:eastAsiaTheme="minorHAnsi"/>
      <w:szCs w:val="22"/>
      <w:lang w:eastAsia="en-US"/>
    </w:rPr>
  </w:style>
  <w:style w:type="paragraph" w:customStyle="1" w:styleId="Pointabc3">
    <w:name w:val="Point abc (3)"/>
    <w:basedOn w:val="Normal"/>
    <w:rsid w:val="00FC1E12"/>
    <w:pPr>
      <w:widowControl/>
      <w:numPr>
        <w:ilvl w:val="7"/>
        <w:numId w:val="44"/>
      </w:numPr>
      <w:spacing w:before="120" w:after="120" w:line="360" w:lineRule="auto"/>
    </w:pPr>
    <w:rPr>
      <w:rFonts w:eastAsiaTheme="minorHAnsi"/>
      <w:szCs w:val="22"/>
      <w:lang w:eastAsia="en-US"/>
    </w:rPr>
  </w:style>
  <w:style w:type="paragraph" w:customStyle="1" w:styleId="Pointabc4">
    <w:name w:val="Point abc (4)"/>
    <w:basedOn w:val="Normal"/>
    <w:rsid w:val="00FC1E12"/>
    <w:pPr>
      <w:widowControl/>
      <w:numPr>
        <w:ilvl w:val="8"/>
        <w:numId w:val="44"/>
      </w:numPr>
      <w:spacing w:before="120" w:after="120" w:line="360" w:lineRule="auto"/>
    </w:pPr>
    <w:rPr>
      <w:rFonts w:eastAsiaTheme="minorHAnsi"/>
      <w:szCs w:val="22"/>
      <w:lang w:eastAsia="en-US"/>
    </w:rPr>
  </w:style>
  <w:style w:type="paragraph" w:customStyle="1" w:styleId="Point123">
    <w:name w:val="Point 123"/>
    <w:basedOn w:val="Normal"/>
    <w:rsid w:val="00FC1E12"/>
    <w:pPr>
      <w:widowControl/>
      <w:numPr>
        <w:numId w:val="44"/>
      </w:numPr>
      <w:spacing w:before="120" w:after="120" w:line="360" w:lineRule="auto"/>
    </w:pPr>
    <w:rPr>
      <w:rFonts w:eastAsiaTheme="minorHAnsi"/>
      <w:szCs w:val="22"/>
      <w:lang w:eastAsia="en-US"/>
    </w:rPr>
  </w:style>
  <w:style w:type="paragraph" w:customStyle="1" w:styleId="Point1231">
    <w:name w:val="Point 123 (1)"/>
    <w:basedOn w:val="Normal"/>
    <w:rsid w:val="00FC1E12"/>
    <w:pPr>
      <w:widowControl/>
      <w:numPr>
        <w:ilvl w:val="2"/>
        <w:numId w:val="44"/>
      </w:numPr>
      <w:spacing w:before="120" w:after="120" w:line="360" w:lineRule="auto"/>
    </w:pPr>
    <w:rPr>
      <w:rFonts w:eastAsiaTheme="minorHAnsi"/>
      <w:szCs w:val="22"/>
      <w:lang w:eastAsia="en-US"/>
    </w:rPr>
  </w:style>
  <w:style w:type="paragraph" w:customStyle="1" w:styleId="Point1232">
    <w:name w:val="Point 123 (2)"/>
    <w:basedOn w:val="Normal"/>
    <w:rsid w:val="00FC1E12"/>
    <w:pPr>
      <w:widowControl/>
      <w:numPr>
        <w:ilvl w:val="4"/>
        <w:numId w:val="44"/>
      </w:numPr>
      <w:spacing w:before="120" w:after="120" w:line="360" w:lineRule="auto"/>
    </w:pPr>
    <w:rPr>
      <w:rFonts w:eastAsiaTheme="minorHAnsi"/>
      <w:szCs w:val="22"/>
      <w:lang w:eastAsia="en-US"/>
    </w:rPr>
  </w:style>
  <w:style w:type="paragraph" w:customStyle="1" w:styleId="Point1233">
    <w:name w:val="Point 123 (3)"/>
    <w:basedOn w:val="Normal"/>
    <w:rsid w:val="00FC1E12"/>
    <w:pPr>
      <w:widowControl/>
      <w:numPr>
        <w:ilvl w:val="6"/>
        <w:numId w:val="44"/>
      </w:numPr>
      <w:spacing w:before="120" w:after="120" w:line="360" w:lineRule="auto"/>
    </w:pPr>
    <w:rPr>
      <w:rFonts w:eastAsiaTheme="minorHAnsi"/>
      <w:szCs w:val="22"/>
      <w:lang w:eastAsia="en-US"/>
    </w:rPr>
  </w:style>
  <w:style w:type="character" w:customStyle="1" w:styleId="Nessuno">
    <w:name w:val="Nessuno"/>
    <w:rsid w:val="00FC1E12"/>
  </w:style>
  <w:style w:type="character" w:customStyle="1" w:styleId="outputecliaff">
    <w:name w:val="outputecliaff"/>
    <w:basedOn w:val="DefaultParagraphFont"/>
    <w:rsid w:val="00FC1E12"/>
  </w:style>
  <w:style w:type="character" w:customStyle="1" w:styleId="affairetitle">
    <w:name w:val="affaire_title"/>
    <w:basedOn w:val="DefaultParagraphFont"/>
    <w:rsid w:val="00FC1E12"/>
  </w:style>
  <w:style w:type="paragraph" w:styleId="Footer">
    <w:name w:val="footer"/>
    <w:basedOn w:val="Normal"/>
    <w:link w:val="FooterChar"/>
    <w:semiHidden/>
    <w:rsid w:val="00A93DB1"/>
    <w:pPr>
      <w:tabs>
        <w:tab w:val="center" w:pos="4513"/>
        <w:tab w:val="right" w:pos="9026"/>
      </w:tabs>
    </w:pPr>
  </w:style>
  <w:style w:type="character" w:customStyle="1" w:styleId="FooterChar">
    <w:name w:val="Footer Char"/>
    <w:basedOn w:val="DefaultParagraphFont"/>
    <w:link w:val="Footer"/>
    <w:semiHidden/>
    <w:rsid w:val="00A93DB1"/>
    <w:rPr>
      <w:sz w:val="24"/>
    </w:rPr>
  </w:style>
  <w:style w:type="paragraph" w:styleId="BalloonText">
    <w:name w:val="Balloon Text"/>
    <w:basedOn w:val="Normal"/>
    <w:link w:val="BalloonTextChar"/>
    <w:semiHidden/>
    <w:unhideWhenUsed/>
    <w:rsid w:val="00571C42"/>
    <w:rPr>
      <w:rFonts w:ascii="Segoe UI" w:hAnsi="Segoe UI" w:cs="Segoe UI"/>
      <w:sz w:val="18"/>
      <w:szCs w:val="18"/>
    </w:rPr>
  </w:style>
  <w:style w:type="character" w:customStyle="1" w:styleId="BalloonTextChar">
    <w:name w:val="Balloon Text Char"/>
    <w:basedOn w:val="DefaultParagraphFont"/>
    <w:link w:val="BalloonText"/>
    <w:semiHidden/>
    <w:rsid w:val="00571C42"/>
    <w:rPr>
      <w:rFonts w:ascii="Segoe UI" w:hAnsi="Segoe UI" w:cs="Segoe UI"/>
      <w:sz w:val="18"/>
      <w:szCs w:val="18"/>
    </w:rPr>
  </w:style>
  <w:style w:type="paragraph" w:styleId="ListParagraph">
    <w:name w:val="List Paragraph"/>
    <w:basedOn w:val="Normal"/>
    <w:uiPriority w:val="34"/>
    <w:qFormat/>
    <w:rsid w:val="00571C4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4739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1963</Words>
  <Characters>11279</Characters>
  <Application>Microsoft Office Word</Application>
  <DocSecurity>0</DocSecurity>
  <Lines>245</Lines>
  <Paragraphs>64</Paragraphs>
  <ScaleCrop>false</ScaleCrop>
  <HeadingPairs>
    <vt:vector size="2" baseType="variant">
      <vt:variant>
        <vt:lpstr>Title</vt:lpstr>
      </vt:variant>
      <vt:variant>
        <vt:i4>1</vt:i4>
      </vt:variant>
    </vt:vector>
  </HeadingPairs>
  <TitlesOfParts>
    <vt:vector size="1" baseType="lpstr">
      <vt:lpstr>AL_JURI</vt:lpstr>
    </vt:vector>
  </TitlesOfParts>
  <Company/>
  <LinksUpToDate>false</LinksUpToDate>
  <CharactersWithSpaces>13192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AL_JURI</dc:title>
  <dc:subject/>
  <dc:creator>ZAHARIE Ana Maria</dc:creator>
  <cp:keywords/>
  <dc:description/>
  <cp:lastModifiedBy>LETSA Alexandra</cp:lastModifiedBy>
  <cp:revision>2</cp:revision>
  <cp:lastPrinted>2004-06-24T10:04:00Z</cp:lastPrinted>
  <dcterms:created xsi:type="dcterms:W3CDTF">2025-10-31T09:27:00Z</dcterms:created>
  <dcterms:modified xsi:type="dcterms:W3CDTF">2025-10-31T09:27:00Z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Created with">
    <vt:lpwstr>10.1.2 Build [20250817]</vt:lpwstr>
  </property>
  <property fmtid="{D5CDD505-2E9C-101B-9397-08002B2CF9AE}" pid="4" name="LastEdited with">
    <vt:lpwstr>10.2.0 Build [20251001]</vt:lpwstr>
  </property>
  <property fmtid="{D5CDD505-2E9C-101B-9397-08002B2CF9AE}" pid="5" name="&lt;FdR&gt;">
    <vt:lpwstr>1330969</vt:lpwstr>
  </property>
  <property fmtid="{D5CDD505-2E9C-101B-9397-08002B2CF9AE}" pid="6" name="&lt;Type&gt;">
    <vt:lpwstr>AL</vt:lpwstr>
  </property>
  <property fmtid="{D5CDD505-2E9C-101B-9397-08002B2CF9AE}" pid="7" name="&lt;ModelCod&gt;">
    <vt:lpwstr>\\eiciBRUpr1\pdocep$\DocEP\DOCS\General\AL\AL_JURI.dotx(20/01/2023 22:25:05)</vt:lpwstr>
  </property>
  <property fmtid="{D5CDD505-2E9C-101B-9397-08002B2CF9AE}" pid="8" name="&lt;ModelTra&gt;">
    <vt:lpwstr>\\eiciBRUpr1\pdocep$\DocEP\TRANSFIL\EN\AL_JURI.EN(11/09/2024 09:05:01)</vt:lpwstr>
  </property>
  <property fmtid="{D5CDD505-2E9C-101B-9397-08002B2CF9AE}" pid="9" name="&lt;Model&gt;">
    <vt:lpwstr>AL_JURI</vt:lpwstr>
  </property>
  <property fmtid="{D5CDD505-2E9C-101B-9397-08002B2CF9AE}" pid="10" name="FooterPath">
    <vt:lpwstr>AL\1330969EL.docx</vt:lpwstr>
  </property>
  <property fmtid="{D5CDD505-2E9C-101B-9397-08002B2CF9AE}" pid="11" name="PE number">
    <vt:lpwstr>778.317</vt:lpwstr>
  </property>
  <property fmtid="{D5CDD505-2E9C-101B-9397-08002B2CF9AE}" pid="12" name="SendToEpades">
    <vt:lpwstr>OK - 2025/10/29 16:13</vt:lpwstr>
  </property>
  <property fmtid="{D5CDD505-2E9C-101B-9397-08002B2CF9AE}" pid="13" name="SDLStudio">
    <vt:lpwstr/>
  </property>
  <property fmtid="{D5CDD505-2E9C-101B-9397-08002B2CF9AE}" pid="14" name="Bookout">
    <vt:lpwstr>OK - 2025/10/31 10:27</vt:lpwstr>
  </property>
</Properties>
</file>