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6F51B0" w:rsidTr="00C85D0F">
        <w:trPr>
          <w:trHeight w:hRule="exact" w:val="1418"/>
        </w:trPr>
        <w:tc>
          <w:tcPr>
            <w:tcW w:w="6804" w:type="dxa"/>
            <w:shd w:val="clear" w:color="auto" w:fill="auto"/>
            <w:vAlign w:val="center"/>
          </w:tcPr>
          <w:p w:rsidR="003666DE" w:rsidRPr="006F51B0" w:rsidRDefault="005C4B56" w:rsidP="00C85D0F">
            <w:pPr>
              <w:pStyle w:val="EPName"/>
            </w:pPr>
            <w:r w:rsidRPr="006F51B0">
              <w:t>European Parliament</w:t>
            </w:r>
          </w:p>
          <w:p w:rsidR="003666DE" w:rsidRPr="006F51B0" w:rsidRDefault="00324EAF" w:rsidP="00324EAF">
            <w:pPr>
              <w:pStyle w:val="EPTerm"/>
            </w:pPr>
            <w:r w:rsidRPr="006F51B0">
              <w:t>2024-2029</w:t>
            </w:r>
          </w:p>
        </w:tc>
        <w:tc>
          <w:tcPr>
            <w:tcW w:w="2268" w:type="dxa"/>
            <w:shd w:val="clear" w:color="auto" w:fill="auto"/>
          </w:tcPr>
          <w:p w:rsidR="003666DE" w:rsidRPr="006F51B0" w:rsidRDefault="003666DE" w:rsidP="00C85D0F">
            <w:pPr>
              <w:pStyle w:val="EPLogo"/>
            </w:pPr>
            <w:r w:rsidRPr="006F51B0">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6F51B0" w:rsidRDefault="00000C7D" w:rsidP="00000C7D">
      <w:pPr>
        <w:pStyle w:val="LineTop"/>
      </w:pPr>
    </w:p>
    <w:p w:rsidR="00000C7D" w:rsidRPr="006F51B0" w:rsidRDefault="00000C7D" w:rsidP="00000C7D">
      <w:pPr>
        <w:pStyle w:val="EPBody"/>
      </w:pPr>
      <w:r w:rsidRPr="006F51B0">
        <w:rPr>
          <w:rStyle w:val="HideTWBExt"/>
          <w:noProof w:val="0"/>
        </w:rPr>
        <w:t>&lt;</w:t>
      </w:r>
      <w:r w:rsidRPr="006F51B0">
        <w:rPr>
          <w:rStyle w:val="HideTWBExt"/>
          <w:i w:val="0"/>
          <w:noProof w:val="0"/>
        </w:rPr>
        <w:t>Commission</w:t>
      </w:r>
      <w:r w:rsidRPr="006F51B0">
        <w:rPr>
          <w:rStyle w:val="HideTWBExt"/>
          <w:noProof w:val="0"/>
        </w:rPr>
        <w:t>&gt;</w:t>
      </w:r>
      <w:r w:rsidRPr="006F51B0">
        <w:rPr>
          <w:rStyle w:val="HideTWBInt"/>
        </w:rPr>
        <w:t>{JURI}</w:t>
      </w:r>
      <w:r w:rsidR="005C4B56" w:rsidRPr="006F51B0">
        <w:t>Committee on Legal Affairs</w:t>
      </w:r>
      <w:r w:rsidRPr="006F51B0">
        <w:rPr>
          <w:rStyle w:val="HideTWBExt"/>
          <w:noProof w:val="0"/>
        </w:rPr>
        <w:t>&lt;/</w:t>
      </w:r>
      <w:r w:rsidRPr="006F51B0">
        <w:rPr>
          <w:rStyle w:val="HideTWBExt"/>
          <w:i w:val="0"/>
          <w:noProof w:val="0"/>
        </w:rPr>
        <w:t>Commission</w:t>
      </w:r>
      <w:r w:rsidRPr="006F51B0">
        <w:rPr>
          <w:rStyle w:val="HideTWBExt"/>
          <w:noProof w:val="0"/>
        </w:rPr>
        <w:t>&gt;</w:t>
      </w:r>
    </w:p>
    <w:p w:rsidR="00000C7D" w:rsidRPr="006F51B0" w:rsidRDefault="005C4B56" w:rsidP="00000C7D">
      <w:pPr>
        <w:pStyle w:val="EPBody"/>
      </w:pPr>
      <w:r w:rsidRPr="006F51B0">
        <w:t>The Chair</w:t>
      </w:r>
    </w:p>
    <w:p w:rsidR="00000C7D" w:rsidRPr="006F51B0" w:rsidRDefault="00000C7D" w:rsidP="00000C7D">
      <w:pPr>
        <w:pStyle w:val="LineBottom"/>
      </w:pPr>
    </w:p>
    <w:p w:rsidR="00E71F4C" w:rsidRPr="006F51B0" w:rsidRDefault="00501E47" w:rsidP="00A04228">
      <w:pPr>
        <w:pStyle w:val="LetterDate"/>
      </w:pPr>
      <w:r w:rsidRPr="006F51B0">
        <w:rPr>
          <w:rStyle w:val="HideTWBExt"/>
          <w:noProof w:val="0"/>
        </w:rPr>
        <w:t>&lt;</w:t>
      </w:r>
      <w:r w:rsidRPr="006F51B0">
        <w:rPr>
          <w:rStyle w:val="HideTWBExt"/>
        </w:rPr>
        <w:t>Date</w:t>
      </w:r>
      <w:r w:rsidRPr="006F51B0">
        <w:rPr>
          <w:rStyle w:val="HideTWBExt"/>
          <w:noProof w:val="0"/>
        </w:rPr>
        <w:t>&gt;</w:t>
      </w:r>
      <w:r w:rsidR="00324EAF" w:rsidRPr="006F51B0">
        <w:rPr>
          <w:rStyle w:val="HideTWBInt"/>
        </w:rPr>
        <w:t>{1</w:t>
      </w:r>
      <w:r w:rsidR="00012F0D" w:rsidRPr="006F51B0">
        <w:rPr>
          <w:rStyle w:val="HideTWBInt"/>
        </w:rPr>
        <w:t>7</w:t>
      </w:r>
      <w:r w:rsidR="00324EAF" w:rsidRPr="006F51B0">
        <w:rPr>
          <w:rStyle w:val="HideTWBInt"/>
        </w:rPr>
        <w:t>/10/2025}</w:t>
      </w:r>
      <w:r w:rsidR="00324EAF" w:rsidRPr="006F51B0">
        <w:t>1</w:t>
      </w:r>
      <w:r w:rsidR="00012F0D" w:rsidRPr="006F51B0">
        <w:t>7</w:t>
      </w:r>
      <w:r w:rsidR="00324EAF" w:rsidRPr="006F51B0">
        <w:t>.10.2025</w:t>
      </w:r>
      <w:r w:rsidRPr="006F51B0">
        <w:rPr>
          <w:rStyle w:val="HideTWBExt"/>
          <w:noProof w:val="0"/>
        </w:rPr>
        <w:t>&lt;</w:t>
      </w:r>
      <w:r w:rsidRPr="006F51B0">
        <w:rPr>
          <w:rStyle w:val="HideTWBExt"/>
        </w:rPr>
        <w:t>/Date</w:t>
      </w:r>
      <w:r w:rsidRPr="006F51B0">
        <w:rPr>
          <w:rStyle w:val="HideTWBExt"/>
          <w:noProof w:val="0"/>
        </w:rPr>
        <w:t>&gt;</w:t>
      </w:r>
    </w:p>
    <w:p w:rsidR="007179A7" w:rsidRPr="006F51B0" w:rsidRDefault="00324EAF">
      <w:r w:rsidRPr="006F51B0">
        <w:t>Mr</w:t>
      </w:r>
      <w:r w:rsidR="005C4B56" w:rsidRPr="006F51B0">
        <w:t xml:space="preserve"> </w:t>
      </w:r>
      <w:r w:rsidRPr="006F51B0">
        <w:t>Javier Zarzalejos</w:t>
      </w:r>
    </w:p>
    <w:p w:rsidR="007179A7" w:rsidRPr="006F51B0" w:rsidRDefault="005C4B56">
      <w:r w:rsidRPr="006F51B0">
        <w:t>Chair</w:t>
      </w:r>
    </w:p>
    <w:p w:rsidR="007179A7" w:rsidRPr="006F51B0" w:rsidRDefault="00324EAF">
      <w:r w:rsidRPr="006F51B0">
        <w:t>Committee on Civil Liberties, Justice and Home Affairs</w:t>
      </w:r>
    </w:p>
    <w:p w:rsidR="007179A7" w:rsidRPr="006F51B0" w:rsidRDefault="005C4B56">
      <w:r w:rsidRPr="006F51B0">
        <w:t>BRUSSELS</w:t>
      </w:r>
    </w:p>
    <w:p w:rsidR="009F796C" w:rsidRPr="006F51B0" w:rsidRDefault="005C4B56" w:rsidP="009F796C">
      <w:pPr>
        <w:pStyle w:val="LetterSubject"/>
      </w:pPr>
      <w:r w:rsidRPr="006F51B0">
        <w:t>Subject:</w:t>
      </w:r>
      <w:r w:rsidR="009F796C" w:rsidRPr="006F51B0">
        <w:tab/>
      </w:r>
      <w:r w:rsidR="009F796C" w:rsidRPr="006F51B0">
        <w:rPr>
          <w:rStyle w:val="HideTWBExt"/>
          <w:noProof w:val="0"/>
        </w:rPr>
        <w:t>&lt;Titre&gt;</w:t>
      </w:r>
      <w:r w:rsidRPr="006F51B0">
        <w:t xml:space="preserve">Opinion on the legal basis of the </w:t>
      </w:r>
      <w:r w:rsidR="00FC1E12" w:rsidRPr="006F51B0">
        <w:t>p</w:t>
      </w:r>
      <w:r w:rsidR="00324EAF" w:rsidRPr="006F51B0">
        <w:t>roposal for a Regulation of the European Parliament and of the Council on enhancing police cooperation in relation to the prevention, detection and investigation of migrant smuggling and trafficking in human beings, and on enhancing Europol’s support to preventing and combating such crimes and amending Regulation (EU) 2016/794</w:t>
      </w:r>
      <w:r w:rsidR="009F796C" w:rsidRPr="006F51B0">
        <w:rPr>
          <w:rStyle w:val="HideTWBExt"/>
          <w:noProof w:val="0"/>
        </w:rPr>
        <w:t>&lt;/Titre&gt;</w:t>
      </w:r>
      <w:r w:rsidR="009F796C" w:rsidRPr="006F51B0">
        <w:t xml:space="preserve"> </w:t>
      </w:r>
      <w:r w:rsidR="009F796C" w:rsidRPr="006F51B0">
        <w:rPr>
          <w:rStyle w:val="HideTWBExt"/>
          <w:noProof w:val="0"/>
        </w:rPr>
        <w:t>&lt;DocRef&gt;</w:t>
      </w:r>
      <w:r w:rsidR="00324EAF" w:rsidRPr="006F51B0">
        <w:t>(COM</w:t>
      </w:r>
      <w:r w:rsidR="005F56BD" w:rsidRPr="006F51B0">
        <w:t>(</w:t>
      </w:r>
      <w:r w:rsidR="00324EAF" w:rsidRPr="006F51B0">
        <w:t>2023</w:t>
      </w:r>
      <w:r w:rsidR="005F56BD" w:rsidRPr="006F51B0">
        <w:t>)0754</w:t>
      </w:r>
      <w:r w:rsidR="00324EAF" w:rsidRPr="006F51B0">
        <w:t xml:space="preserve"> – </w:t>
      </w:r>
      <w:r w:rsidR="005F56BD" w:rsidRPr="006F51B0">
        <w:t>C9</w:t>
      </w:r>
      <w:r w:rsidR="00324EAF" w:rsidRPr="006F51B0">
        <w:noBreakHyphen/>
        <w:t>04</w:t>
      </w:r>
      <w:r w:rsidR="005F56BD" w:rsidRPr="006F51B0">
        <w:t>31/2023</w:t>
      </w:r>
      <w:r w:rsidR="00324EAF" w:rsidRPr="006F51B0">
        <w:t xml:space="preserve"> – 2023/0438(COD))</w:t>
      </w:r>
      <w:r w:rsidR="009F796C" w:rsidRPr="006F51B0">
        <w:rPr>
          <w:rStyle w:val="HideTWBExt"/>
          <w:noProof w:val="0"/>
        </w:rPr>
        <w:t>&lt;/DocRef&gt;</w:t>
      </w:r>
    </w:p>
    <w:p w:rsidR="00FC1E12" w:rsidRPr="006F51B0" w:rsidRDefault="007F3C4A" w:rsidP="00FC1E12">
      <w:pPr>
        <w:pStyle w:val="LetterSalutation"/>
      </w:pPr>
      <w:r w:rsidRPr="006F51B0">
        <w:t>Dear Chair,</w:t>
      </w:r>
    </w:p>
    <w:p w:rsidR="00FC1E12" w:rsidRPr="006F51B0" w:rsidRDefault="00FC1E12" w:rsidP="006A4CE5">
      <w:pPr>
        <w:pStyle w:val="Normal12a"/>
      </w:pPr>
      <w:r w:rsidRPr="006F51B0">
        <w:t>By letter received on 12 September 2025, you as the Chair of the Committee on Civil Liberties, Justice and Home Affairs (LIBE) requested the Committee on Legal Affairs (JURI), pursuant to Rule 41(2) of the Rules of Procedure, to provide an opinion on the appropriateness of the legal basis for the proposal for a Regulation of the European Parliament and of the Council on enhancing police cooperation in relation to the prevention, detection and investigation of migrant smuggling and trafficking in human beings, and on enhancing Europol’s support to preventing and combating such crimes and amending Regulation (EU) 2016/794 (2023/0438(COD))  (hereinafter “the proposed Regulation”).</w:t>
      </w:r>
    </w:p>
    <w:p w:rsidR="00FC1E12" w:rsidRPr="006F51B0" w:rsidRDefault="00FC1E12" w:rsidP="00FC1E12">
      <w:pPr>
        <w:pStyle w:val="Normal12a"/>
      </w:pPr>
      <w:r w:rsidRPr="006F51B0">
        <w:t>The JURI committee considered the above question at its meeting of 13 October 2025.</w:t>
      </w:r>
    </w:p>
    <w:p w:rsidR="00FC1E12" w:rsidRPr="006F51B0" w:rsidRDefault="00FC1E12" w:rsidP="00FC1E12">
      <w:pPr>
        <w:spacing w:after="240"/>
        <w:jc w:val="both"/>
        <w:rPr>
          <w:b/>
          <w:u w:val="single"/>
        </w:rPr>
      </w:pPr>
      <w:r w:rsidRPr="006F51B0">
        <w:rPr>
          <w:b/>
          <w:u w:val="single"/>
        </w:rPr>
        <w:t>I - Background</w:t>
      </w:r>
    </w:p>
    <w:p w:rsidR="00FC1E12" w:rsidRPr="006F51B0" w:rsidRDefault="00FC1E12" w:rsidP="006A4CE5">
      <w:r w:rsidRPr="006F51B0">
        <w:rPr>
          <w:color w:val="000000" w:themeColor="text1"/>
        </w:rPr>
        <w:t>The LIBE committee was in inter-institutional negotiations on the proposed Regulation.</w:t>
      </w:r>
      <w:r w:rsidRPr="006F51B0">
        <w:t xml:space="preserve"> </w:t>
      </w:r>
    </w:p>
    <w:p w:rsidR="00FC1E12" w:rsidRPr="006F51B0" w:rsidRDefault="00FC1E12" w:rsidP="00FC1E12">
      <w:pPr>
        <w:jc w:val="both"/>
      </w:pPr>
    </w:p>
    <w:p w:rsidR="00FC1E12" w:rsidRPr="006F51B0" w:rsidRDefault="00FC1E12" w:rsidP="006A4CE5">
      <w:pPr>
        <w:spacing w:after="240"/>
        <w:rPr>
          <w:color w:val="000000" w:themeColor="text1"/>
        </w:rPr>
      </w:pPr>
      <w:r w:rsidRPr="006F51B0">
        <w:rPr>
          <w:color w:val="000000" w:themeColor="text1"/>
        </w:rPr>
        <w:t xml:space="preserve">The proposed Regulation initially included, firstly, a new “self-standing regulation” for, </w:t>
      </w:r>
      <w:r w:rsidRPr="006F51B0">
        <w:rPr>
          <w:i/>
          <w:iCs/>
          <w:color w:val="000000" w:themeColor="text1"/>
        </w:rPr>
        <w:t>inter alia</w:t>
      </w:r>
      <w:r w:rsidRPr="006F51B0">
        <w:rPr>
          <w:color w:val="000000" w:themeColor="text1"/>
        </w:rPr>
        <w:t xml:space="preserve">, establishing the European Centre Against Migrant Smuggling, and, secondly, targeted </w:t>
      </w:r>
      <w:r w:rsidRPr="006F51B0">
        <w:rPr>
          <w:color w:val="000000" w:themeColor="text1"/>
        </w:rPr>
        <w:lastRenderedPageBreak/>
        <w:t>amendments to the existing Europol mandate (Regulation (EU) 2016/794</w:t>
      </w:r>
      <w:r w:rsidRPr="006F51B0">
        <w:rPr>
          <w:color w:val="000000" w:themeColor="text1"/>
          <w:vertAlign w:val="superscript"/>
        </w:rPr>
        <w:footnoteReference w:id="1"/>
      </w:r>
      <w:r w:rsidRPr="006F51B0">
        <w:rPr>
          <w:color w:val="000000" w:themeColor="text1"/>
        </w:rPr>
        <w:t xml:space="preserve">, hereinafter “the Europol Regulation”). The proposed Regulation was based on Articles </w:t>
      </w:r>
      <w:r w:rsidRPr="006F51B0">
        <w:t xml:space="preserve">85(1), 87(2) and 88(2) </w:t>
      </w:r>
      <w:r w:rsidRPr="006F51B0">
        <w:rPr>
          <w:color w:val="000000" w:themeColor="text1"/>
        </w:rPr>
        <w:t>of the Treaty on the Functioning of the European Union (TFEU). The LIBE committee did not amend the legal basis proposed by the Commission.</w:t>
      </w:r>
    </w:p>
    <w:p w:rsidR="00FC1E12" w:rsidRPr="006F51B0" w:rsidRDefault="00FC1E12" w:rsidP="006A4CE5">
      <w:pPr>
        <w:rPr>
          <w:color w:val="000000" w:themeColor="text1"/>
        </w:rPr>
      </w:pPr>
      <w:r w:rsidRPr="006F51B0">
        <w:rPr>
          <w:color w:val="000000" w:themeColor="text1"/>
        </w:rPr>
        <w:t>In their respective mandates for inter-institutional negotiations both Parliament and the Council chose to limit the scope of the proposed Regulation to amendments to the existing Europol mandate but left the legal basis unchanged. Limiting the aim and the content of the proposed Regulation in this way was subsequently provisionally agreed upon during the inter-institutional negotiations. As a result, it appeared necessary to adjust the legal basis and to base the act solely upon Article 88(2) TFEU, that is to say to delete Articles 85(1) and 87(2) TFEU.</w:t>
      </w:r>
    </w:p>
    <w:p w:rsidR="00FC1E12" w:rsidRPr="006F51B0" w:rsidRDefault="00FC1E12" w:rsidP="00FC1E12">
      <w:pPr>
        <w:jc w:val="both"/>
        <w:rPr>
          <w:color w:val="000000" w:themeColor="text1"/>
        </w:rPr>
      </w:pPr>
    </w:p>
    <w:p w:rsidR="00FC1E12" w:rsidRPr="006F51B0" w:rsidRDefault="00FC1E12" w:rsidP="006A4CE5">
      <w:pPr>
        <w:spacing w:after="240"/>
      </w:pPr>
      <w:r w:rsidRPr="006F51B0">
        <w:rPr>
          <w:color w:val="000000" w:themeColor="text1"/>
        </w:rPr>
        <w:t>Pursuant to Rule 41(2), the LIBE committee therefore requests the JURI committee to provide its opinion on the appropriateness of the legal basis so changed.</w:t>
      </w:r>
    </w:p>
    <w:p w:rsidR="00FC1E12" w:rsidRPr="006F51B0" w:rsidRDefault="00FC1E12" w:rsidP="00FC1E12">
      <w:pPr>
        <w:tabs>
          <w:tab w:val="left" w:pos="567"/>
          <w:tab w:val="left" w:pos="7014"/>
        </w:tabs>
        <w:spacing w:after="240"/>
        <w:ind w:left="567" w:hanging="567"/>
        <w:rPr>
          <w:rStyle w:val="Nessuno"/>
          <w:b/>
          <w:bCs/>
        </w:rPr>
      </w:pPr>
      <w:r w:rsidRPr="006F51B0">
        <w:rPr>
          <w:b/>
          <w:u w:val="single"/>
        </w:rPr>
        <w:t>II - The relevant Treaty Articles</w:t>
      </w:r>
    </w:p>
    <w:p w:rsidR="00FC1E12" w:rsidRPr="006F51B0" w:rsidRDefault="00FC1E12" w:rsidP="006A4CE5">
      <w:pPr>
        <w:tabs>
          <w:tab w:val="left" w:pos="7014"/>
        </w:tabs>
        <w:rPr>
          <w:rStyle w:val="Nessuno"/>
          <w:bCs/>
        </w:rPr>
      </w:pPr>
      <w:r w:rsidRPr="006F51B0">
        <w:rPr>
          <w:rStyle w:val="Nessuno"/>
          <w:bCs/>
        </w:rPr>
        <w:t xml:space="preserve">Chapter 4 (“Judicial cooperation in criminal matters”) of Title V of Part Three TFEU reads, </w:t>
      </w:r>
      <w:r w:rsidRPr="006F51B0">
        <w:rPr>
          <w:rStyle w:val="Nessuno"/>
          <w:bCs/>
          <w:i/>
        </w:rPr>
        <w:t>inter alia</w:t>
      </w:r>
      <w:r w:rsidRPr="006F51B0">
        <w:rPr>
          <w:rStyle w:val="Nessuno"/>
          <w:bCs/>
        </w:rPr>
        <w:t xml:space="preserve"> (emphasis added):</w:t>
      </w:r>
    </w:p>
    <w:p w:rsidR="00FC1E12" w:rsidRPr="006F51B0" w:rsidRDefault="00FC1E12" w:rsidP="00FC1E12">
      <w:pPr>
        <w:tabs>
          <w:tab w:val="left" w:pos="7014"/>
        </w:tabs>
        <w:rPr>
          <w:rStyle w:val="Nessuno"/>
          <w:bCs/>
          <w:i/>
        </w:rPr>
      </w:pPr>
    </w:p>
    <w:p w:rsidR="00FC1E12" w:rsidRPr="006F51B0" w:rsidRDefault="00FC1E12" w:rsidP="00FC1E12">
      <w:pPr>
        <w:tabs>
          <w:tab w:val="left" w:pos="7014"/>
        </w:tabs>
        <w:jc w:val="center"/>
        <w:rPr>
          <w:rStyle w:val="Nessuno"/>
          <w:bCs/>
          <w:i/>
        </w:rPr>
      </w:pPr>
      <w:r w:rsidRPr="006F51B0">
        <w:rPr>
          <w:rStyle w:val="Nessuno"/>
          <w:bCs/>
          <w:i/>
        </w:rPr>
        <w:t>Article 85</w:t>
      </w:r>
    </w:p>
    <w:p w:rsidR="00FC1E12" w:rsidRPr="006F51B0" w:rsidRDefault="00FC1E12" w:rsidP="00FC1E12">
      <w:pPr>
        <w:tabs>
          <w:tab w:val="left" w:pos="7014"/>
        </w:tabs>
        <w:jc w:val="center"/>
        <w:rPr>
          <w:rStyle w:val="Nessuno"/>
          <w:bCs/>
          <w:i/>
        </w:rPr>
      </w:pPr>
      <w:r w:rsidRPr="006F51B0">
        <w:rPr>
          <w:i/>
        </w:rPr>
        <w:t>(ex Article 31 TEU)</w:t>
      </w:r>
    </w:p>
    <w:p w:rsidR="00FC1E12" w:rsidRPr="006F51B0" w:rsidRDefault="00FC1E12" w:rsidP="00FC1E12">
      <w:pPr>
        <w:tabs>
          <w:tab w:val="left" w:pos="7014"/>
        </w:tabs>
        <w:jc w:val="both"/>
        <w:rPr>
          <w:rStyle w:val="Nessuno"/>
          <w:bCs/>
          <w:i/>
        </w:rPr>
      </w:pPr>
    </w:p>
    <w:p w:rsidR="00FC1E12" w:rsidRPr="006F51B0" w:rsidRDefault="00FC1E12" w:rsidP="00C82F7E">
      <w:pPr>
        <w:tabs>
          <w:tab w:val="left" w:pos="7014"/>
        </w:tabs>
        <w:ind w:left="426" w:hanging="426"/>
        <w:jc w:val="both"/>
        <w:rPr>
          <w:rStyle w:val="Nessuno"/>
          <w:b/>
          <w:bCs/>
          <w:i/>
        </w:rPr>
      </w:pPr>
    </w:p>
    <w:p w:rsidR="00571C42" w:rsidRPr="006F51B0" w:rsidRDefault="00571C42" w:rsidP="00C82F7E">
      <w:pPr>
        <w:tabs>
          <w:tab w:val="left" w:pos="7014"/>
        </w:tabs>
        <w:ind w:left="426" w:hanging="426"/>
        <w:jc w:val="both"/>
        <w:rPr>
          <w:rStyle w:val="Nessuno"/>
          <w:b/>
          <w:bCs/>
          <w:i/>
        </w:rPr>
      </w:pPr>
    </w:p>
    <w:p w:rsidR="00571C42" w:rsidRPr="006F51B0" w:rsidRDefault="00571C42" w:rsidP="00C82F7E">
      <w:pPr>
        <w:tabs>
          <w:tab w:val="left" w:pos="7014"/>
        </w:tabs>
        <w:ind w:left="360" w:hanging="360"/>
        <w:jc w:val="both"/>
        <w:rPr>
          <w:rStyle w:val="Nessuno"/>
          <w:b/>
          <w:i/>
        </w:rPr>
      </w:pPr>
      <w:r w:rsidRPr="006F51B0">
        <w:rPr>
          <w:rStyle w:val="Nessuno"/>
          <w:b/>
          <w:i/>
        </w:rPr>
        <w:t>1.</w:t>
      </w:r>
      <w:r w:rsidRPr="006F51B0">
        <w:rPr>
          <w:rStyle w:val="Nessuno"/>
          <w:b/>
          <w:i/>
        </w:rPr>
        <w:tab/>
        <w:t>Eurojust's mission shall be to support and strengthen coordination and cooperation between national investigating and prosecuting authorities in relation to serious crime affecting two or more Member States or requiring a prosecution on common bases, on the basis of operations conducted and information supplied by the Member States' authorities and by Europol.</w:t>
      </w:r>
    </w:p>
    <w:p w:rsidR="00571C42" w:rsidRPr="006F51B0" w:rsidRDefault="00571C42" w:rsidP="00571C42">
      <w:pPr>
        <w:tabs>
          <w:tab w:val="left" w:pos="7014"/>
        </w:tabs>
        <w:ind w:left="426" w:hanging="426"/>
        <w:jc w:val="both"/>
        <w:rPr>
          <w:rStyle w:val="Nessuno"/>
          <w:b/>
          <w:i/>
        </w:rPr>
      </w:pPr>
      <w:r w:rsidRPr="006F51B0">
        <w:rPr>
          <w:rStyle w:val="Nessuno"/>
          <w:b/>
          <w:i/>
        </w:rPr>
        <w:tab/>
        <w:t>In this context, the European Parliament and the Council, by means of regulations adopted in accordance with the ordinary legislative procedure, shall determine Eurojust's structure, operation, field of action and tasks. These tasks may include:</w:t>
      </w:r>
    </w:p>
    <w:p w:rsidR="00571C42" w:rsidRPr="006F51B0" w:rsidRDefault="00571C42" w:rsidP="00571C42">
      <w:pPr>
        <w:tabs>
          <w:tab w:val="left" w:pos="7014"/>
        </w:tabs>
        <w:ind w:left="426" w:hanging="426"/>
        <w:jc w:val="both"/>
        <w:rPr>
          <w:rStyle w:val="Nessuno"/>
          <w:b/>
          <w:i/>
        </w:rPr>
      </w:pPr>
    </w:p>
    <w:p w:rsidR="00571C42" w:rsidRPr="006F51B0" w:rsidRDefault="00571C42" w:rsidP="00571C42">
      <w:pPr>
        <w:tabs>
          <w:tab w:val="left" w:pos="7014"/>
        </w:tabs>
        <w:ind w:left="851" w:hanging="426"/>
        <w:jc w:val="both"/>
        <w:rPr>
          <w:rStyle w:val="Nessuno"/>
          <w:b/>
          <w:i/>
        </w:rPr>
      </w:pPr>
      <w:r w:rsidRPr="006F51B0">
        <w:rPr>
          <w:rStyle w:val="Nessuno"/>
          <w:b/>
          <w:i/>
        </w:rPr>
        <w:t xml:space="preserve">(a) </w:t>
      </w:r>
      <w:r w:rsidRPr="006F51B0">
        <w:rPr>
          <w:rStyle w:val="Nessuno"/>
          <w:b/>
          <w:i/>
        </w:rPr>
        <w:tab/>
        <w:t>the initiation of criminal investigations, as well as proposing the initiation of prosecutions conducted by competent national authorities, particularly those relating to offences against the financial interests of the Union;</w:t>
      </w:r>
    </w:p>
    <w:p w:rsidR="00571C42" w:rsidRPr="006F51B0" w:rsidRDefault="00571C42" w:rsidP="00571C42">
      <w:pPr>
        <w:tabs>
          <w:tab w:val="left" w:pos="7014"/>
        </w:tabs>
        <w:ind w:left="851" w:hanging="426"/>
        <w:jc w:val="both"/>
        <w:rPr>
          <w:rStyle w:val="Nessuno"/>
          <w:b/>
          <w:i/>
        </w:rPr>
      </w:pPr>
    </w:p>
    <w:p w:rsidR="00571C42" w:rsidRPr="006F51B0" w:rsidRDefault="00571C42" w:rsidP="00571C42">
      <w:pPr>
        <w:tabs>
          <w:tab w:val="left" w:pos="7014"/>
        </w:tabs>
        <w:ind w:left="851" w:hanging="426"/>
        <w:jc w:val="both"/>
        <w:rPr>
          <w:rStyle w:val="Nessuno"/>
          <w:b/>
          <w:i/>
        </w:rPr>
      </w:pPr>
      <w:r w:rsidRPr="006F51B0">
        <w:rPr>
          <w:rStyle w:val="Nessuno"/>
          <w:b/>
          <w:i/>
        </w:rPr>
        <w:t xml:space="preserve">(b) </w:t>
      </w:r>
      <w:r w:rsidRPr="006F51B0">
        <w:rPr>
          <w:rStyle w:val="Nessuno"/>
          <w:b/>
          <w:i/>
        </w:rPr>
        <w:tab/>
        <w:t>the coordination of investigations and prosecutions referred to in point (a);</w:t>
      </w:r>
    </w:p>
    <w:p w:rsidR="00571C42" w:rsidRPr="006F51B0" w:rsidRDefault="00571C42" w:rsidP="00571C42">
      <w:pPr>
        <w:tabs>
          <w:tab w:val="left" w:pos="7014"/>
        </w:tabs>
        <w:ind w:left="851" w:hanging="426"/>
        <w:jc w:val="both"/>
        <w:rPr>
          <w:rStyle w:val="Nessuno"/>
          <w:b/>
          <w:i/>
        </w:rPr>
      </w:pPr>
    </w:p>
    <w:p w:rsidR="00571C42" w:rsidRPr="006F51B0" w:rsidRDefault="00571C42" w:rsidP="00571C42">
      <w:pPr>
        <w:tabs>
          <w:tab w:val="left" w:pos="7014"/>
        </w:tabs>
        <w:ind w:left="851" w:hanging="426"/>
        <w:jc w:val="both"/>
        <w:rPr>
          <w:rStyle w:val="Nessuno"/>
          <w:b/>
          <w:i/>
        </w:rPr>
      </w:pPr>
      <w:r w:rsidRPr="006F51B0">
        <w:rPr>
          <w:rStyle w:val="Nessuno"/>
          <w:b/>
          <w:i/>
        </w:rPr>
        <w:t xml:space="preserve">(c) </w:t>
      </w:r>
      <w:r w:rsidRPr="006F51B0">
        <w:rPr>
          <w:rStyle w:val="Nessuno"/>
          <w:b/>
          <w:i/>
        </w:rPr>
        <w:tab/>
        <w:t>the strengthening of judicial cooperation, including by resolution of conflicts of jurisdiction and by close cooperation with the European Judicial Network.</w:t>
      </w:r>
    </w:p>
    <w:p w:rsidR="00571C42" w:rsidRPr="006F51B0" w:rsidRDefault="00571C42" w:rsidP="00571C42">
      <w:pPr>
        <w:tabs>
          <w:tab w:val="left" w:pos="7014"/>
        </w:tabs>
        <w:ind w:left="851" w:hanging="426"/>
        <w:jc w:val="both"/>
        <w:rPr>
          <w:rStyle w:val="Nessuno"/>
          <w:b/>
          <w:i/>
        </w:rPr>
      </w:pPr>
    </w:p>
    <w:p w:rsidR="00571C42" w:rsidRPr="006F51B0" w:rsidRDefault="00571C42" w:rsidP="00C82F7E">
      <w:pPr>
        <w:tabs>
          <w:tab w:val="left" w:pos="7014"/>
        </w:tabs>
        <w:ind w:left="426" w:hanging="426"/>
        <w:jc w:val="both"/>
        <w:rPr>
          <w:rStyle w:val="Nessuno"/>
          <w:b/>
          <w:bCs/>
          <w:i/>
        </w:rPr>
      </w:pPr>
      <w:r w:rsidRPr="006F51B0">
        <w:rPr>
          <w:rStyle w:val="Nessuno"/>
          <w:b/>
          <w:i/>
        </w:rPr>
        <w:t xml:space="preserve">These regulations shall also determine arrangements for involving the European Parliament </w:t>
      </w:r>
      <w:r w:rsidRPr="006F51B0">
        <w:rPr>
          <w:rStyle w:val="Nessuno"/>
          <w:b/>
          <w:i/>
        </w:rPr>
        <w:lastRenderedPageBreak/>
        <w:t>and national Parliaments in the evaluation of Eurojust's activities.</w:t>
      </w:r>
    </w:p>
    <w:p w:rsidR="00FC1E12" w:rsidRPr="006F51B0" w:rsidRDefault="00FC1E12" w:rsidP="00FC1E12">
      <w:pPr>
        <w:tabs>
          <w:tab w:val="left" w:pos="7014"/>
        </w:tabs>
        <w:jc w:val="both"/>
        <w:rPr>
          <w:rStyle w:val="Nessuno"/>
          <w:bCs/>
          <w:i/>
        </w:rPr>
      </w:pPr>
    </w:p>
    <w:p w:rsidR="00FC1E12" w:rsidRPr="006F51B0" w:rsidRDefault="00FC1E12" w:rsidP="00FC1E12">
      <w:pPr>
        <w:tabs>
          <w:tab w:val="left" w:pos="7014"/>
        </w:tabs>
        <w:ind w:left="426" w:hanging="426"/>
        <w:jc w:val="both"/>
        <w:rPr>
          <w:rStyle w:val="Nessuno"/>
          <w:bCs/>
          <w:i/>
        </w:rPr>
      </w:pPr>
      <w:r w:rsidRPr="006F51B0">
        <w:rPr>
          <w:rStyle w:val="Nessuno"/>
          <w:bCs/>
          <w:i/>
        </w:rPr>
        <w:t>(...)</w:t>
      </w:r>
    </w:p>
    <w:p w:rsidR="00FC1E12" w:rsidRPr="006F51B0" w:rsidRDefault="00FC1E12" w:rsidP="00FC1E12">
      <w:pPr>
        <w:tabs>
          <w:tab w:val="left" w:pos="7014"/>
        </w:tabs>
        <w:ind w:left="426" w:hanging="426"/>
        <w:jc w:val="both"/>
        <w:rPr>
          <w:rStyle w:val="Nessuno"/>
          <w:bCs/>
          <w:i/>
        </w:rPr>
      </w:pPr>
    </w:p>
    <w:p w:rsidR="00FC1E12" w:rsidRPr="006F51B0" w:rsidRDefault="00FC1E12" w:rsidP="006A4CE5">
      <w:pPr>
        <w:tabs>
          <w:tab w:val="left" w:pos="7014"/>
        </w:tabs>
        <w:rPr>
          <w:rStyle w:val="Nessuno"/>
          <w:bCs/>
        </w:rPr>
      </w:pPr>
      <w:r w:rsidRPr="006F51B0">
        <w:rPr>
          <w:rStyle w:val="Nessuno"/>
          <w:bCs/>
        </w:rPr>
        <w:t xml:space="preserve">Chapter 5 (“Police cooperation”) of Title V of Part Three TFEU reads, </w:t>
      </w:r>
      <w:r w:rsidRPr="006F51B0">
        <w:rPr>
          <w:rStyle w:val="Nessuno"/>
          <w:bCs/>
          <w:i/>
        </w:rPr>
        <w:t>inter alia</w:t>
      </w:r>
      <w:r w:rsidRPr="006F51B0">
        <w:rPr>
          <w:rStyle w:val="Nessuno"/>
          <w:bCs/>
        </w:rPr>
        <w:t xml:space="preserve"> (emphasis added):</w:t>
      </w:r>
    </w:p>
    <w:p w:rsidR="00FC1E12" w:rsidRPr="006F51B0" w:rsidRDefault="00FC1E12" w:rsidP="00FC1E12">
      <w:pPr>
        <w:tabs>
          <w:tab w:val="left" w:pos="7014"/>
        </w:tabs>
        <w:jc w:val="both"/>
        <w:rPr>
          <w:rStyle w:val="Nessuno"/>
          <w:bCs/>
        </w:rPr>
      </w:pPr>
    </w:p>
    <w:p w:rsidR="00FC1E12" w:rsidRPr="006F51B0" w:rsidRDefault="00FC1E12" w:rsidP="00FC1E12">
      <w:pPr>
        <w:tabs>
          <w:tab w:val="left" w:pos="7014"/>
        </w:tabs>
        <w:jc w:val="center"/>
        <w:rPr>
          <w:rStyle w:val="Nessuno"/>
          <w:bCs/>
          <w:i/>
        </w:rPr>
      </w:pPr>
      <w:r w:rsidRPr="006F51B0">
        <w:rPr>
          <w:rStyle w:val="Nessuno"/>
          <w:bCs/>
          <w:i/>
        </w:rPr>
        <w:t>Article 87</w:t>
      </w:r>
    </w:p>
    <w:p w:rsidR="00FC1E12" w:rsidRPr="006F51B0" w:rsidRDefault="00FC1E12" w:rsidP="00FC1E12">
      <w:pPr>
        <w:tabs>
          <w:tab w:val="left" w:pos="7014"/>
        </w:tabs>
        <w:jc w:val="center"/>
        <w:rPr>
          <w:rStyle w:val="Nessuno"/>
          <w:bCs/>
          <w:i/>
        </w:rPr>
      </w:pPr>
      <w:r w:rsidRPr="006F51B0">
        <w:rPr>
          <w:rStyle w:val="Nessuno"/>
          <w:bCs/>
          <w:i/>
        </w:rPr>
        <w:t>(ex Article 30 TEU)</w:t>
      </w:r>
    </w:p>
    <w:p w:rsidR="00FC1E12" w:rsidRPr="006F51B0" w:rsidRDefault="00FC1E12" w:rsidP="00FC1E12">
      <w:pPr>
        <w:tabs>
          <w:tab w:val="left" w:pos="7014"/>
        </w:tabs>
        <w:jc w:val="center"/>
        <w:rPr>
          <w:rStyle w:val="Nessuno"/>
          <w:bCs/>
          <w:i/>
        </w:rPr>
      </w:pPr>
    </w:p>
    <w:p w:rsidR="00FC1E12" w:rsidRPr="006F51B0" w:rsidRDefault="00FC1E12" w:rsidP="00FC1E12">
      <w:pPr>
        <w:tabs>
          <w:tab w:val="left" w:pos="7014"/>
        </w:tabs>
        <w:ind w:left="426" w:hanging="426"/>
        <w:jc w:val="both"/>
        <w:rPr>
          <w:rStyle w:val="Nessuno"/>
          <w:bCs/>
          <w:i/>
        </w:rPr>
      </w:pPr>
      <w:r w:rsidRPr="006F51B0">
        <w:rPr>
          <w:rStyle w:val="Nessuno"/>
          <w:bCs/>
          <w:i/>
        </w:rPr>
        <w:t>1.</w:t>
      </w:r>
      <w:r w:rsidRPr="006F51B0">
        <w:rPr>
          <w:rStyle w:val="Nessuno"/>
          <w:bCs/>
          <w:i/>
        </w:rPr>
        <w:tab/>
        <w:t>The Union shall establish police cooperation involving all the Member States' competent authorities, including police, customs and other specialised law enforcement services in relation to the prevention, detection and investigation of criminal offences.</w:t>
      </w:r>
    </w:p>
    <w:p w:rsidR="00FC1E12" w:rsidRPr="006F51B0" w:rsidRDefault="00FC1E12" w:rsidP="00FC1E12">
      <w:pPr>
        <w:tabs>
          <w:tab w:val="left" w:pos="7014"/>
        </w:tabs>
        <w:jc w:val="both"/>
        <w:rPr>
          <w:rStyle w:val="Nessuno"/>
          <w:bCs/>
          <w:i/>
        </w:rPr>
      </w:pPr>
    </w:p>
    <w:p w:rsidR="00FC1E12" w:rsidRPr="006F51B0" w:rsidRDefault="00FC1E12" w:rsidP="00FC1E12">
      <w:pPr>
        <w:tabs>
          <w:tab w:val="left" w:pos="7014"/>
        </w:tabs>
        <w:ind w:left="426" w:hanging="426"/>
        <w:jc w:val="both"/>
        <w:rPr>
          <w:rStyle w:val="Nessuno"/>
          <w:b/>
          <w:i/>
        </w:rPr>
      </w:pPr>
      <w:r w:rsidRPr="006F51B0">
        <w:rPr>
          <w:rStyle w:val="Nessuno"/>
          <w:b/>
          <w:i/>
        </w:rPr>
        <w:t xml:space="preserve">2. </w:t>
      </w:r>
      <w:r w:rsidRPr="006F51B0">
        <w:rPr>
          <w:rStyle w:val="Nessuno"/>
          <w:b/>
          <w:i/>
        </w:rPr>
        <w:tab/>
        <w:t>For the purposes of paragraph 1, the European Parliament and the Council, acting in accordance with the ordinary legislative procedure, may establish measures concerning:</w:t>
      </w:r>
    </w:p>
    <w:p w:rsidR="00FC1E12" w:rsidRPr="006F51B0" w:rsidRDefault="00FC1E12" w:rsidP="00FC1E12">
      <w:pPr>
        <w:tabs>
          <w:tab w:val="left" w:pos="7014"/>
        </w:tabs>
        <w:jc w:val="both"/>
        <w:rPr>
          <w:rStyle w:val="Nessuno"/>
          <w:b/>
          <w:i/>
        </w:rPr>
      </w:pPr>
    </w:p>
    <w:p w:rsidR="00FC1E12" w:rsidRPr="006F51B0" w:rsidRDefault="00FC1E12" w:rsidP="00FC1E12">
      <w:pPr>
        <w:tabs>
          <w:tab w:val="left" w:pos="7014"/>
        </w:tabs>
        <w:ind w:left="851" w:hanging="425"/>
        <w:jc w:val="both"/>
        <w:rPr>
          <w:rStyle w:val="Nessuno"/>
          <w:b/>
          <w:i/>
        </w:rPr>
      </w:pPr>
      <w:r w:rsidRPr="006F51B0">
        <w:rPr>
          <w:rStyle w:val="Nessuno"/>
          <w:b/>
          <w:i/>
        </w:rPr>
        <w:t>(a)</w:t>
      </w:r>
      <w:r w:rsidRPr="006F51B0">
        <w:rPr>
          <w:rStyle w:val="Nessuno"/>
          <w:b/>
          <w:i/>
        </w:rPr>
        <w:tab/>
        <w:t>the collection, storage, processing, analysis and exchange of relevant information;</w:t>
      </w:r>
    </w:p>
    <w:p w:rsidR="00FC1E12" w:rsidRPr="006F51B0" w:rsidRDefault="00FC1E12" w:rsidP="00FC1E12">
      <w:pPr>
        <w:tabs>
          <w:tab w:val="left" w:pos="7014"/>
        </w:tabs>
        <w:ind w:left="851" w:hanging="425"/>
        <w:jc w:val="both"/>
        <w:rPr>
          <w:rStyle w:val="Nessuno"/>
          <w:b/>
          <w:i/>
        </w:rPr>
      </w:pPr>
    </w:p>
    <w:p w:rsidR="00FC1E12" w:rsidRPr="006F51B0" w:rsidRDefault="00FC1E12" w:rsidP="00FC1E12">
      <w:pPr>
        <w:tabs>
          <w:tab w:val="left" w:pos="7014"/>
        </w:tabs>
        <w:ind w:left="851" w:hanging="425"/>
        <w:jc w:val="both"/>
        <w:rPr>
          <w:rStyle w:val="Nessuno"/>
          <w:b/>
          <w:i/>
        </w:rPr>
      </w:pPr>
      <w:r w:rsidRPr="006F51B0">
        <w:rPr>
          <w:rStyle w:val="Nessuno"/>
          <w:b/>
          <w:i/>
        </w:rPr>
        <w:t>(b)</w:t>
      </w:r>
      <w:r w:rsidRPr="006F51B0">
        <w:rPr>
          <w:rStyle w:val="Nessuno"/>
          <w:b/>
          <w:i/>
        </w:rPr>
        <w:tab/>
        <w:t>support for the training of staff, and cooperation on the exchange of staff, on equipment and on research into crime-detection;</w:t>
      </w:r>
    </w:p>
    <w:p w:rsidR="00FC1E12" w:rsidRPr="006F51B0" w:rsidRDefault="00FC1E12" w:rsidP="00FC1E12">
      <w:pPr>
        <w:tabs>
          <w:tab w:val="left" w:pos="7014"/>
        </w:tabs>
        <w:ind w:left="851" w:hanging="425"/>
        <w:jc w:val="both"/>
        <w:rPr>
          <w:rStyle w:val="Nessuno"/>
          <w:b/>
          <w:i/>
        </w:rPr>
      </w:pPr>
    </w:p>
    <w:p w:rsidR="00FC1E12" w:rsidRPr="006F51B0" w:rsidRDefault="00FC1E12" w:rsidP="00FC1E12">
      <w:pPr>
        <w:tabs>
          <w:tab w:val="left" w:pos="7014"/>
        </w:tabs>
        <w:ind w:left="851" w:hanging="425"/>
        <w:jc w:val="both"/>
        <w:rPr>
          <w:rStyle w:val="Nessuno"/>
          <w:b/>
          <w:i/>
        </w:rPr>
      </w:pPr>
      <w:r w:rsidRPr="006F51B0">
        <w:rPr>
          <w:rStyle w:val="Nessuno"/>
          <w:b/>
          <w:i/>
        </w:rPr>
        <w:t>(c)</w:t>
      </w:r>
      <w:r w:rsidRPr="006F51B0">
        <w:rPr>
          <w:rStyle w:val="Nessuno"/>
          <w:b/>
          <w:i/>
        </w:rPr>
        <w:tab/>
        <w:t>common investigative techniques in relation to the detection of serious forms of organised crime.</w:t>
      </w:r>
    </w:p>
    <w:p w:rsidR="00FC1E12" w:rsidRPr="006F51B0" w:rsidRDefault="00FC1E12" w:rsidP="00FC1E12">
      <w:pPr>
        <w:tabs>
          <w:tab w:val="left" w:pos="7014"/>
        </w:tabs>
        <w:jc w:val="both"/>
        <w:rPr>
          <w:rStyle w:val="Nessuno"/>
          <w:bCs/>
          <w:i/>
        </w:rPr>
      </w:pPr>
    </w:p>
    <w:p w:rsidR="00FC1E12" w:rsidRPr="006F51B0" w:rsidRDefault="00FC1E12" w:rsidP="00FC1E12">
      <w:pPr>
        <w:tabs>
          <w:tab w:val="left" w:pos="7014"/>
        </w:tabs>
        <w:jc w:val="both"/>
        <w:rPr>
          <w:rStyle w:val="Nessuno"/>
          <w:bCs/>
          <w:i/>
        </w:rPr>
      </w:pPr>
      <w:r w:rsidRPr="006F51B0">
        <w:rPr>
          <w:rStyle w:val="Nessuno"/>
          <w:bCs/>
          <w:i/>
        </w:rPr>
        <w:t>(...)</w:t>
      </w:r>
    </w:p>
    <w:p w:rsidR="00FC1E12" w:rsidRPr="006F51B0" w:rsidRDefault="00FC1E12" w:rsidP="00FC1E12">
      <w:pPr>
        <w:tabs>
          <w:tab w:val="left" w:pos="7014"/>
        </w:tabs>
        <w:jc w:val="both"/>
        <w:rPr>
          <w:rStyle w:val="Nessuno"/>
          <w:bCs/>
          <w:i/>
        </w:rPr>
      </w:pPr>
    </w:p>
    <w:p w:rsidR="00FC1E12" w:rsidRPr="006F51B0" w:rsidRDefault="00FC1E12" w:rsidP="00FC1E12">
      <w:pPr>
        <w:tabs>
          <w:tab w:val="left" w:pos="7014"/>
        </w:tabs>
        <w:jc w:val="center"/>
        <w:rPr>
          <w:rStyle w:val="Nessuno"/>
          <w:bCs/>
          <w:i/>
        </w:rPr>
      </w:pPr>
      <w:r w:rsidRPr="006F51B0">
        <w:rPr>
          <w:rStyle w:val="Nessuno"/>
          <w:bCs/>
          <w:i/>
        </w:rPr>
        <w:t>Article 88</w:t>
      </w:r>
    </w:p>
    <w:p w:rsidR="00FC1E12" w:rsidRPr="006F51B0" w:rsidRDefault="00FC1E12" w:rsidP="00FC1E12">
      <w:pPr>
        <w:tabs>
          <w:tab w:val="left" w:pos="7014"/>
        </w:tabs>
        <w:jc w:val="center"/>
        <w:rPr>
          <w:rStyle w:val="Nessuno"/>
          <w:bCs/>
          <w:i/>
        </w:rPr>
      </w:pPr>
      <w:r w:rsidRPr="006F51B0">
        <w:rPr>
          <w:rStyle w:val="Nessuno"/>
          <w:bCs/>
          <w:i/>
        </w:rPr>
        <w:t>(ex Article 30 TEU)</w:t>
      </w:r>
    </w:p>
    <w:p w:rsidR="00FC1E12" w:rsidRPr="006F51B0" w:rsidRDefault="00FC1E12" w:rsidP="00FC1E12">
      <w:pPr>
        <w:tabs>
          <w:tab w:val="left" w:pos="7014"/>
        </w:tabs>
        <w:jc w:val="center"/>
        <w:rPr>
          <w:rStyle w:val="Nessuno"/>
          <w:bCs/>
          <w:i/>
        </w:rPr>
      </w:pPr>
    </w:p>
    <w:p w:rsidR="00FC1E12" w:rsidRPr="006F51B0" w:rsidRDefault="00FC1E12" w:rsidP="00FC1E12">
      <w:pPr>
        <w:tabs>
          <w:tab w:val="left" w:pos="7014"/>
        </w:tabs>
        <w:ind w:left="426" w:hanging="426"/>
        <w:jc w:val="both"/>
        <w:rPr>
          <w:rStyle w:val="Nessuno"/>
          <w:bCs/>
          <w:i/>
        </w:rPr>
      </w:pPr>
      <w:r w:rsidRPr="006F51B0">
        <w:rPr>
          <w:rStyle w:val="Nessuno"/>
          <w:bCs/>
          <w:i/>
        </w:rPr>
        <w:t xml:space="preserve">1. </w:t>
      </w:r>
      <w:r w:rsidRPr="006F51B0">
        <w:rPr>
          <w:rStyle w:val="Nessuno"/>
          <w:bCs/>
          <w:i/>
        </w:rPr>
        <w:tab/>
        <w:t>Europol's mission shall be to support and strengthen action by the Member States' police authorities and other law enforcement services and their mutual cooperation in preventing and combating serious crime affecting two or more Member States, terrorism and forms of crime which affect a common interest covered by a Union policy.</w:t>
      </w:r>
    </w:p>
    <w:p w:rsidR="00FC1E12" w:rsidRPr="006F51B0" w:rsidRDefault="00FC1E12" w:rsidP="00FC1E12">
      <w:pPr>
        <w:tabs>
          <w:tab w:val="left" w:pos="7014"/>
        </w:tabs>
        <w:ind w:left="426" w:hanging="426"/>
        <w:jc w:val="both"/>
        <w:rPr>
          <w:rStyle w:val="Nessuno"/>
          <w:bCs/>
          <w:i/>
        </w:rPr>
      </w:pPr>
    </w:p>
    <w:p w:rsidR="00FC1E12" w:rsidRPr="006F51B0" w:rsidRDefault="00FC1E12" w:rsidP="00FC1E12">
      <w:pPr>
        <w:tabs>
          <w:tab w:val="left" w:pos="7014"/>
        </w:tabs>
        <w:ind w:left="426" w:hanging="426"/>
        <w:jc w:val="both"/>
        <w:rPr>
          <w:rStyle w:val="Nessuno"/>
          <w:b/>
          <w:i/>
        </w:rPr>
      </w:pPr>
      <w:r w:rsidRPr="006F51B0">
        <w:rPr>
          <w:rStyle w:val="Nessuno"/>
          <w:b/>
          <w:i/>
        </w:rPr>
        <w:t xml:space="preserve">2. </w:t>
      </w:r>
      <w:r w:rsidRPr="006F51B0">
        <w:rPr>
          <w:rStyle w:val="Nessuno"/>
          <w:b/>
          <w:i/>
        </w:rPr>
        <w:tab/>
        <w:t>The European Parliament and the Council, by means of regulations adopted in accordance with the ordinary legislative procedure, shall determine Europol's structure, operation, field of action and tasks. These tasks may include:</w:t>
      </w:r>
    </w:p>
    <w:p w:rsidR="00FC1E12" w:rsidRPr="006F51B0" w:rsidRDefault="00FC1E12" w:rsidP="00FC1E12">
      <w:pPr>
        <w:tabs>
          <w:tab w:val="left" w:pos="7014"/>
        </w:tabs>
        <w:jc w:val="both"/>
        <w:rPr>
          <w:rStyle w:val="Nessuno"/>
          <w:b/>
          <w:i/>
        </w:rPr>
      </w:pPr>
    </w:p>
    <w:p w:rsidR="00FC1E12" w:rsidRPr="006F51B0" w:rsidRDefault="00FC1E12" w:rsidP="00FC1E12">
      <w:pPr>
        <w:tabs>
          <w:tab w:val="left" w:pos="7014"/>
        </w:tabs>
        <w:ind w:left="851" w:hanging="425"/>
        <w:jc w:val="both"/>
        <w:rPr>
          <w:rStyle w:val="Nessuno"/>
          <w:b/>
          <w:i/>
        </w:rPr>
      </w:pPr>
      <w:r w:rsidRPr="006F51B0">
        <w:rPr>
          <w:rStyle w:val="Nessuno"/>
          <w:b/>
          <w:i/>
        </w:rPr>
        <w:t>(a)</w:t>
      </w:r>
      <w:r w:rsidRPr="006F51B0">
        <w:rPr>
          <w:rStyle w:val="Nessuno"/>
          <w:b/>
          <w:i/>
        </w:rPr>
        <w:tab/>
        <w:t>the collection, storage, processing, analysis and exchange of information, in particular that forwarded by the authorities of the Member States or third countries or bodies;</w:t>
      </w:r>
    </w:p>
    <w:p w:rsidR="00FC1E12" w:rsidRPr="006F51B0" w:rsidRDefault="00FC1E12" w:rsidP="00FC1E12">
      <w:pPr>
        <w:tabs>
          <w:tab w:val="left" w:pos="7014"/>
        </w:tabs>
        <w:ind w:left="851" w:hanging="425"/>
        <w:jc w:val="both"/>
        <w:rPr>
          <w:rStyle w:val="Nessuno"/>
          <w:b/>
          <w:i/>
        </w:rPr>
      </w:pPr>
    </w:p>
    <w:p w:rsidR="00FC1E12" w:rsidRPr="006F51B0" w:rsidRDefault="00FC1E12" w:rsidP="00FC1E12">
      <w:pPr>
        <w:tabs>
          <w:tab w:val="left" w:pos="7014"/>
        </w:tabs>
        <w:ind w:left="851" w:hanging="425"/>
        <w:jc w:val="both"/>
        <w:rPr>
          <w:rStyle w:val="Nessuno"/>
          <w:b/>
          <w:i/>
        </w:rPr>
      </w:pPr>
      <w:r w:rsidRPr="006F51B0">
        <w:rPr>
          <w:rStyle w:val="Nessuno"/>
          <w:b/>
          <w:i/>
        </w:rPr>
        <w:t>(b)</w:t>
      </w:r>
      <w:r w:rsidRPr="006F51B0">
        <w:rPr>
          <w:rStyle w:val="Nessuno"/>
          <w:b/>
          <w:i/>
        </w:rPr>
        <w:tab/>
        <w:t>the coordination, organisation and implementation of investigative and operational action carried out jointly with the Member States' competent authorities or in the context of joint investigative teams, where appropriate in liaison with Eurojust.</w:t>
      </w:r>
    </w:p>
    <w:p w:rsidR="00FC1E12" w:rsidRPr="006F51B0" w:rsidRDefault="00FC1E12" w:rsidP="00FC1E12">
      <w:pPr>
        <w:tabs>
          <w:tab w:val="left" w:pos="7014"/>
        </w:tabs>
        <w:jc w:val="both"/>
        <w:rPr>
          <w:rStyle w:val="Nessuno"/>
          <w:b/>
          <w:i/>
        </w:rPr>
      </w:pPr>
    </w:p>
    <w:p w:rsidR="00FC1E12" w:rsidRPr="006F51B0" w:rsidRDefault="00FC1E12" w:rsidP="00FC1E12">
      <w:pPr>
        <w:tabs>
          <w:tab w:val="left" w:pos="7014"/>
        </w:tabs>
        <w:ind w:left="426" w:hanging="426"/>
        <w:jc w:val="both"/>
        <w:rPr>
          <w:rStyle w:val="Nessuno"/>
          <w:b/>
          <w:i/>
        </w:rPr>
      </w:pPr>
      <w:r w:rsidRPr="006F51B0">
        <w:rPr>
          <w:rStyle w:val="Nessuno"/>
          <w:b/>
          <w:i/>
        </w:rPr>
        <w:tab/>
        <w:t xml:space="preserve">These regulations shall also lay down the procedures for scrutiny of Europol's activities </w:t>
      </w:r>
      <w:r w:rsidRPr="006F51B0">
        <w:rPr>
          <w:rStyle w:val="Nessuno"/>
          <w:b/>
          <w:i/>
        </w:rPr>
        <w:lastRenderedPageBreak/>
        <w:t>by the European Parliament, together with national Parliaments.</w:t>
      </w:r>
    </w:p>
    <w:p w:rsidR="00FC1E12" w:rsidRPr="006F51B0" w:rsidRDefault="00FC1E12" w:rsidP="00FC1E12">
      <w:pPr>
        <w:tabs>
          <w:tab w:val="left" w:pos="7014"/>
        </w:tabs>
        <w:jc w:val="both"/>
        <w:rPr>
          <w:rStyle w:val="Nessuno"/>
          <w:bCs/>
          <w:i/>
        </w:rPr>
      </w:pPr>
    </w:p>
    <w:p w:rsidR="00FC1E12" w:rsidRPr="006F51B0" w:rsidRDefault="00FC1E12" w:rsidP="00FC1E12">
      <w:pPr>
        <w:ind w:left="426" w:hanging="426"/>
        <w:jc w:val="both"/>
        <w:rPr>
          <w:rStyle w:val="Nessuno"/>
          <w:b/>
          <w:bCs/>
          <w:i/>
        </w:rPr>
      </w:pPr>
      <w:r w:rsidRPr="006F51B0">
        <w:rPr>
          <w:rStyle w:val="Nessuno"/>
          <w:bCs/>
          <w:i/>
        </w:rPr>
        <w:t>3.</w:t>
      </w:r>
      <w:r w:rsidRPr="006F51B0">
        <w:rPr>
          <w:rStyle w:val="Nessuno"/>
          <w:bCs/>
          <w:i/>
        </w:rPr>
        <w:tab/>
        <w:t>Any operational action by Europol must be carried out in liaison and in agreement with the authorities of the Member State or States whose territory is concerned. The application of coercive measures shall be the exclusive responsibility of the competent national authorities.</w:t>
      </w:r>
    </w:p>
    <w:p w:rsidR="00FC1E12" w:rsidRPr="006F51B0" w:rsidRDefault="00FC1E12" w:rsidP="00FC1E12">
      <w:pPr>
        <w:jc w:val="both"/>
        <w:rPr>
          <w:rStyle w:val="Nessuno"/>
          <w:b/>
          <w:bCs/>
          <w:i/>
        </w:rPr>
      </w:pPr>
    </w:p>
    <w:p w:rsidR="00FC1E12" w:rsidRPr="006F51B0" w:rsidRDefault="00FC1E12" w:rsidP="00FC1E12">
      <w:pPr>
        <w:tabs>
          <w:tab w:val="left" w:pos="567"/>
          <w:tab w:val="left" w:pos="7014"/>
        </w:tabs>
        <w:ind w:left="397" w:hanging="397"/>
        <w:jc w:val="both"/>
        <w:rPr>
          <w:rStyle w:val="Nessuno"/>
          <w:bCs/>
          <w:i/>
        </w:rPr>
      </w:pPr>
    </w:p>
    <w:p w:rsidR="00FC1E12" w:rsidRPr="006F51B0" w:rsidRDefault="00FC1E12" w:rsidP="00FC1E12">
      <w:pPr>
        <w:spacing w:after="240"/>
        <w:jc w:val="both"/>
        <w:rPr>
          <w:b/>
          <w:u w:val="single"/>
        </w:rPr>
      </w:pPr>
      <w:r w:rsidRPr="006F51B0">
        <w:rPr>
          <w:b/>
          <w:u w:val="single"/>
        </w:rPr>
        <w:t>III – CJEU case law on the choice of legal basis</w:t>
      </w:r>
    </w:p>
    <w:p w:rsidR="00FC1E12" w:rsidRPr="006F51B0" w:rsidRDefault="00FC1E12" w:rsidP="006A4CE5">
      <w:pPr>
        <w:pStyle w:val="Point123"/>
        <w:numPr>
          <w:ilvl w:val="0"/>
          <w:numId w:val="0"/>
        </w:numPr>
        <w:spacing w:before="0" w:after="0" w:line="240" w:lineRule="auto"/>
        <w:rPr>
          <w:color w:val="000000" w:themeColor="text1"/>
        </w:rPr>
      </w:pPr>
      <w:r w:rsidRPr="006F51B0">
        <w:rPr>
          <w:color w:val="000000" w:themeColor="text1"/>
        </w:rPr>
        <w:t>The Court of Justice has traditionally viewed the question of the appropriate legal basis as an issue of constitutional significance, guaranteeing compliance with the principle of conferred powers (Article 5 of the Treaty on European Union) and determining the nature and scope of the Union’s competence</w:t>
      </w:r>
      <w:r w:rsidRPr="006F51B0">
        <w:rPr>
          <w:color w:val="000000" w:themeColor="text1"/>
          <w:vertAlign w:val="superscript"/>
        </w:rPr>
        <w:footnoteReference w:id="2"/>
      </w:r>
      <w:r w:rsidRPr="006F51B0">
        <w:rPr>
          <w:color w:val="000000" w:themeColor="text1"/>
        </w:rPr>
        <w:t>.</w:t>
      </w:r>
    </w:p>
    <w:p w:rsidR="00FC1E12" w:rsidRPr="006F51B0" w:rsidRDefault="00FC1E12" w:rsidP="00FC1E12">
      <w:pPr>
        <w:pStyle w:val="Point123"/>
        <w:numPr>
          <w:ilvl w:val="0"/>
          <w:numId w:val="0"/>
        </w:numPr>
        <w:spacing w:before="0" w:after="0" w:line="240" w:lineRule="auto"/>
        <w:jc w:val="both"/>
        <w:rPr>
          <w:color w:val="000000" w:themeColor="text1"/>
        </w:rPr>
      </w:pPr>
    </w:p>
    <w:p w:rsidR="00FC1E12" w:rsidRPr="006F51B0" w:rsidRDefault="00FC1E12" w:rsidP="006A4CE5">
      <w:pPr>
        <w:pStyle w:val="Point123"/>
        <w:numPr>
          <w:ilvl w:val="0"/>
          <w:numId w:val="0"/>
        </w:numPr>
        <w:spacing w:before="0" w:after="0" w:line="240" w:lineRule="auto"/>
        <w:rPr>
          <w:color w:val="000000" w:themeColor="text1"/>
          <w:vertAlign w:val="superscript"/>
        </w:rPr>
      </w:pPr>
      <w:r w:rsidRPr="006F51B0">
        <w:rPr>
          <w:color w:val="000000" w:themeColor="text1"/>
        </w:rPr>
        <w:t>According to well-established case law, the legal basis of a Union act does not depend on an institution's conviction as to the objective pursued, but must be determined according to objective criteria amenable to judicial review, including in particular the aim and the content of the measure</w:t>
      </w:r>
      <w:r w:rsidRPr="006F51B0">
        <w:rPr>
          <w:color w:val="000000" w:themeColor="text1"/>
          <w:vertAlign w:val="superscript"/>
        </w:rPr>
        <w:footnoteReference w:id="3"/>
      </w:r>
      <w:r w:rsidRPr="006F51B0">
        <w:rPr>
          <w:color w:val="000000" w:themeColor="text1"/>
        </w:rPr>
        <w:t>.</w:t>
      </w:r>
      <w:r w:rsidRPr="006F51B0">
        <w:rPr>
          <w:color w:val="000000" w:themeColor="text1"/>
          <w:vertAlign w:val="superscript"/>
        </w:rPr>
        <w:t xml:space="preserve"> </w:t>
      </w:r>
    </w:p>
    <w:p w:rsidR="00FC1E12" w:rsidRPr="006F51B0" w:rsidRDefault="00FC1E12" w:rsidP="00FC1E12">
      <w:pPr>
        <w:pStyle w:val="Point123"/>
        <w:numPr>
          <w:ilvl w:val="0"/>
          <w:numId w:val="0"/>
        </w:numPr>
        <w:spacing w:before="0" w:after="0" w:line="240" w:lineRule="auto"/>
        <w:jc w:val="both"/>
        <w:rPr>
          <w:color w:val="000000" w:themeColor="text1"/>
          <w:vertAlign w:val="superscript"/>
        </w:rPr>
      </w:pPr>
    </w:p>
    <w:p w:rsidR="00FC1E12" w:rsidRPr="006F51B0" w:rsidRDefault="00FC1E12" w:rsidP="006A4CE5">
      <w:pPr>
        <w:pStyle w:val="Point123"/>
        <w:numPr>
          <w:ilvl w:val="0"/>
          <w:numId w:val="0"/>
        </w:numPr>
        <w:tabs>
          <w:tab w:val="left" w:pos="720"/>
        </w:tabs>
        <w:spacing w:before="0" w:after="0" w:line="240" w:lineRule="auto"/>
      </w:pPr>
      <w:r w:rsidRPr="006F51B0">
        <w:rPr>
          <w:color w:val="000000" w:themeColor="text1"/>
        </w:rPr>
        <w:t>If examination of a measure reveals that it pursues a twofold purpose or that it has a twofold component and if one of those is identifiable as the main or predominant purpose or component, whereas the other is merely incidental, that measure must be based on a single legal basis, namely that required by the main or predominant purpose or component</w:t>
      </w:r>
      <w:r w:rsidRPr="006F51B0">
        <w:rPr>
          <w:color w:val="000000" w:themeColor="text1"/>
          <w:vertAlign w:val="superscript"/>
        </w:rPr>
        <w:footnoteReference w:id="4"/>
      </w:r>
      <w:r w:rsidRPr="006F51B0">
        <w:rPr>
          <w:color w:val="000000" w:themeColor="text1"/>
        </w:rPr>
        <w:t>. Only exceptionally, if it is established that the act simultaneously pursues a number of objectives, inextricably linked, without one being secondary and indirect in relation to the other, may such an act be founded on the various corresponding legal bases</w:t>
      </w:r>
      <w:r w:rsidRPr="006F51B0">
        <w:rPr>
          <w:color w:val="000000" w:themeColor="text1"/>
          <w:vertAlign w:val="superscript"/>
        </w:rPr>
        <w:footnoteReference w:id="5"/>
      </w:r>
      <w:r w:rsidRPr="006F51B0">
        <w:rPr>
          <w:color w:val="000000" w:themeColor="text1"/>
        </w:rPr>
        <w:t>. This would however only be possible if the procedures laid down for the respective legal bases are not incompatible with and do not undermine the right of the European Parliament</w:t>
      </w:r>
      <w:r w:rsidRPr="006F51B0">
        <w:rPr>
          <w:color w:val="000000" w:themeColor="text1"/>
          <w:vertAlign w:val="superscript"/>
        </w:rPr>
        <w:footnoteReference w:id="6"/>
      </w:r>
      <w:r w:rsidRPr="006F51B0">
        <w:rPr>
          <w:color w:val="000000" w:themeColor="text1"/>
        </w:rPr>
        <w:t>.</w:t>
      </w:r>
    </w:p>
    <w:p w:rsidR="00FC1E12" w:rsidRPr="006F51B0" w:rsidRDefault="00FC1E12" w:rsidP="00FC1E12">
      <w:pPr>
        <w:spacing w:after="240"/>
        <w:ind w:left="567" w:hanging="567"/>
        <w:jc w:val="both"/>
        <w:rPr>
          <w:b/>
          <w:u w:val="single"/>
        </w:rPr>
      </w:pPr>
    </w:p>
    <w:p w:rsidR="00FC1E12" w:rsidRPr="006F51B0" w:rsidRDefault="00FC1E12" w:rsidP="00FC1E12">
      <w:pPr>
        <w:spacing w:after="240"/>
        <w:ind w:left="567" w:hanging="567"/>
        <w:jc w:val="both"/>
      </w:pPr>
      <w:r w:rsidRPr="006F51B0">
        <w:rPr>
          <w:b/>
          <w:u w:val="single"/>
        </w:rPr>
        <w:t>IV – Aim and content of the proposed Regulation</w:t>
      </w:r>
    </w:p>
    <w:p w:rsidR="00FC1E12" w:rsidRPr="006F51B0" w:rsidRDefault="00FC1E12" w:rsidP="00F30938">
      <w:r w:rsidRPr="006F51B0">
        <w:t>As put forward by the Commission, the proposed Regulation aimed at reinforcing the role of Europol in the fight against migrant smuggling and trafficking in human beings and the role of the European Centre Against Migrant Smuggling, as well as strengthening the cooperation between Member States and Europol on preventing and combating migrant smuggling and trafficking in human beings.</w:t>
      </w:r>
    </w:p>
    <w:p w:rsidR="00FC1E12" w:rsidRPr="006F51B0" w:rsidRDefault="00FC1E12" w:rsidP="00FC1E12">
      <w:pPr>
        <w:jc w:val="both"/>
      </w:pPr>
    </w:p>
    <w:p w:rsidR="00FC1E12" w:rsidRPr="006F51B0" w:rsidRDefault="00FC1E12" w:rsidP="00F30938">
      <w:pPr>
        <w:spacing w:line="257" w:lineRule="auto"/>
      </w:pPr>
      <w:r w:rsidRPr="006F51B0">
        <w:t>In order to achieve those objectives, the Commission proposed to lay down rules on: (a)</w:t>
      </w:r>
      <w:r w:rsidR="003C41CE" w:rsidRPr="006F51B0">
        <w:t xml:space="preserve"> </w:t>
      </w:r>
      <w:r w:rsidRPr="006F51B0">
        <w:lastRenderedPageBreak/>
        <w:t>establishing a European Centre Against Migrant Smuggling within Europol and a governance framework to regulate and support its activities (the ‘Centre’); (b) enhancing cooperation and coordination between the Member States, Europol and other Union agencies; (c) reinforcing the exchange of information between the Member States and with Europol; (d) providing Europol with the necessary tools to support and strengthen actions by the competent authorities of the Member States and their mutual cooperation in preventing and combating criminal offences falling within Europol’s objectives; (e) enhancing cooperation between Europol and third countries.</w:t>
      </w:r>
    </w:p>
    <w:p w:rsidR="00FC1E12" w:rsidRPr="006F51B0" w:rsidRDefault="00FC1E12" w:rsidP="00FC1E12">
      <w:pPr>
        <w:autoSpaceDE w:val="0"/>
        <w:autoSpaceDN w:val="0"/>
        <w:adjustRightInd w:val="0"/>
        <w:jc w:val="both"/>
      </w:pPr>
    </w:p>
    <w:p w:rsidR="00FC1E12" w:rsidRPr="006F51B0" w:rsidRDefault="00FC1E12" w:rsidP="00F30938">
      <w:pPr>
        <w:autoSpaceDE w:val="0"/>
        <w:autoSpaceDN w:val="0"/>
        <w:adjustRightInd w:val="0"/>
      </w:pPr>
      <w:r w:rsidRPr="006F51B0">
        <w:t>To that end, the proposed Regulation was initially composed, on the one hand, of a “self-standing regulation” establishing the Centre within Europol and laying down detailed rules concerning its composition and tasks, as well as provisions on information sharing and national specialised services to prevent and combat migrant smuggling and trafficking in human beings. On the other hand, it contained amendments to the Europol Regulation.</w:t>
      </w:r>
    </w:p>
    <w:p w:rsidR="00FC1E12" w:rsidRPr="006F51B0" w:rsidRDefault="00FC1E12" w:rsidP="00FC1E12">
      <w:pPr>
        <w:autoSpaceDE w:val="0"/>
        <w:autoSpaceDN w:val="0"/>
        <w:adjustRightInd w:val="0"/>
        <w:jc w:val="both"/>
      </w:pPr>
    </w:p>
    <w:p w:rsidR="00FC1E12" w:rsidRPr="006F51B0" w:rsidRDefault="00FC1E12" w:rsidP="00F30938">
      <w:r w:rsidRPr="006F51B0">
        <w:t xml:space="preserve">During the inter-institutional negotiations it was agreed, in line with the respective mandates of both Parliament and the Council, to delete the parts of the proposed Regulation aimed at creating a “self-standing regulation” and to turn it purely into an act amending the Europol Regulation. </w:t>
      </w:r>
    </w:p>
    <w:p w:rsidR="00FC1E12" w:rsidRPr="006F51B0" w:rsidRDefault="00FC1E12" w:rsidP="00FC1E12">
      <w:pPr>
        <w:autoSpaceDE w:val="0"/>
        <w:autoSpaceDN w:val="0"/>
        <w:adjustRightInd w:val="0"/>
        <w:jc w:val="both"/>
      </w:pPr>
    </w:p>
    <w:p w:rsidR="00FC1E12" w:rsidRPr="006F51B0" w:rsidRDefault="00FC1E12" w:rsidP="00F30938">
      <w:pPr>
        <w:pStyle w:val="Point123"/>
        <w:numPr>
          <w:ilvl w:val="0"/>
          <w:numId w:val="0"/>
        </w:numPr>
        <w:tabs>
          <w:tab w:val="left" w:pos="720"/>
        </w:tabs>
        <w:spacing w:before="0" w:after="0" w:line="240" w:lineRule="auto"/>
      </w:pPr>
      <w:r w:rsidRPr="006F51B0">
        <w:t>The proposed Regulation, as modified by the co-legislators, thus concerns exclusively the Europol's structure, operation, field of action and tasks. The main aims of the proposed Regulation, as modified and provisionally agreed upon by the co-legislators, are now as follows: to reinforce Europol in order to strengthen the response of law enforcement to migrant smuggling and trafficking in human beings, to strengthen Europol’s role as the Union criminal information hub and as a service provider, in particular by providing a secure network for the exchange of data, such as the secure information exchange network application, to ensure that Member States exchange information with Europol and to clarify that Europol’s objectives also expressly cover violations of Union restrictive measures.</w:t>
      </w:r>
    </w:p>
    <w:p w:rsidR="00FC1E12" w:rsidRPr="006F51B0" w:rsidRDefault="00FC1E12" w:rsidP="00FC1E12">
      <w:pPr>
        <w:jc w:val="both"/>
        <w:rPr>
          <w:b/>
          <w:u w:val="single"/>
        </w:rPr>
      </w:pPr>
    </w:p>
    <w:p w:rsidR="00FC1E12" w:rsidRPr="006F51B0" w:rsidRDefault="00FC1E12" w:rsidP="00FC1E12">
      <w:pPr>
        <w:spacing w:after="240"/>
        <w:jc w:val="both"/>
        <w:rPr>
          <w:b/>
          <w:u w:val="single"/>
        </w:rPr>
      </w:pPr>
      <w:r w:rsidRPr="006F51B0">
        <w:rPr>
          <w:b/>
          <w:u w:val="single"/>
        </w:rPr>
        <w:t xml:space="preserve">V – Analysis </w:t>
      </w:r>
    </w:p>
    <w:p w:rsidR="00FC1E12" w:rsidRPr="006F51B0" w:rsidRDefault="00FC1E12" w:rsidP="00F30938">
      <w:r w:rsidRPr="006F51B0">
        <w:t>It follows from the above and the examination of the recitals and the provisions in the operative part of the proposed Regulation, as provisionally agreed upon by the co-legislators, that it has been reduced to effectively contain only amendments to the Europol Regulation. Its aim and content therefore relate now only to Europol's structure, operation, field of action and tasks.</w:t>
      </w:r>
    </w:p>
    <w:p w:rsidR="00FC1E12" w:rsidRPr="006F51B0" w:rsidRDefault="00FC1E12" w:rsidP="00FC1E12">
      <w:pPr>
        <w:jc w:val="both"/>
      </w:pPr>
    </w:p>
    <w:p w:rsidR="00FC1E12" w:rsidRPr="006F51B0" w:rsidRDefault="00FC1E12" w:rsidP="00F30938">
      <w:r w:rsidRPr="006F51B0">
        <w:t>In accordance with Article 88(2) TFEU, Parliament and the Council determine Europol's structure, operation, field of action and tasks by means of regulations adopted in accordance with the ordinary legislative procedure.</w:t>
      </w:r>
    </w:p>
    <w:p w:rsidR="00FC1E12" w:rsidRPr="006F51B0" w:rsidRDefault="00FC1E12" w:rsidP="00FC1E12">
      <w:pPr>
        <w:jc w:val="both"/>
      </w:pPr>
    </w:p>
    <w:p w:rsidR="00FC1E12" w:rsidRPr="006F51B0" w:rsidRDefault="00FC1E12" w:rsidP="00F30938">
      <w:pPr>
        <w:pStyle w:val="Point123"/>
        <w:numPr>
          <w:ilvl w:val="0"/>
          <w:numId w:val="0"/>
        </w:numPr>
        <w:tabs>
          <w:tab w:val="left" w:pos="720"/>
        </w:tabs>
        <w:spacing w:before="0" w:after="0" w:line="240" w:lineRule="auto"/>
      </w:pPr>
      <w:r w:rsidRPr="006F51B0">
        <w:t>In line with the established case law of the Court of Justice referred to above, the measure must thus be founded on a single legal basis, namely that required by its main purpose or component.</w:t>
      </w:r>
    </w:p>
    <w:p w:rsidR="00FC1E12" w:rsidRPr="006F51B0" w:rsidRDefault="00FC1E12" w:rsidP="00FC1E12">
      <w:pPr>
        <w:jc w:val="both"/>
        <w:rPr>
          <w:b/>
          <w:u w:val="single"/>
        </w:rPr>
      </w:pPr>
    </w:p>
    <w:p w:rsidR="00FC1E12" w:rsidRPr="006F51B0" w:rsidRDefault="00FC1E12" w:rsidP="00FC1E12">
      <w:pPr>
        <w:spacing w:after="240"/>
        <w:jc w:val="both"/>
        <w:rPr>
          <w:b/>
          <w:u w:val="single"/>
        </w:rPr>
      </w:pPr>
      <w:r w:rsidRPr="006F51B0">
        <w:rPr>
          <w:b/>
          <w:u w:val="single"/>
        </w:rPr>
        <w:t>VI – Conclusion and recommendation</w:t>
      </w:r>
    </w:p>
    <w:p w:rsidR="007179A7" w:rsidRPr="006F51B0" w:rsidRDefault="00FC1E12" w:rsidP="00FC1E12">
      <w:pPr>
        <w:pStyle w:val="Normal12a"/>
      </w:pPr>
      <w:r w:rsidRPr="006F51B0">
        <w:lastRenderedPageBreak/>
        <w:t>At its meeting of 13 October 2025 the Committee on Legal Affairs accordingly decided, unanimously (by 25 votes in favour)</w:t>
      </w:r>
      <w:r w:rsidRPr="006F51B0">
        <w:rPr>
          <w:vertAlign w:val="superscript"/>
        </w:rPr>
        <w:footnoteReference w:id="7"/>
      </w:r>
      <w:r w:rsidRPr="006F51B0">
        <w:t>, to recommend to the Committee on Civil Liberties, Justice and Home Affaires that Article 88(2) TFEU is the sole appropriate legal basis for the proposed Regulation, as modified and provisionally agreed upon by the co-legislators during the inter-institutional negotiations.</w:t>
      </w:r>
    </w:p>
    <w:p w:rsidR="007179A7" w:rsidRPr="006F51B0" w:rsidRDefault="005C4B56" w:rsidP="00A04228">
      <w:pPr>
        <w:pStyle w:val="Normal12a"/>
      </w:pPr>
      <w:r w:rsidRPr="006F51B0">
        <w:t>Yours sincerely,</w:t>
      </w:r>
    </w:p>
    <w:p w:rsidR="007179A7" w:rsidRPr="006F51B0" w:rsidRDefault="00324EAF">
      <w:pPr>
        <w:pStyle w:val="LetterSignature66b"/>
      </w:pPr>
      <w:r w:rsidRPr="006F51B0">
        <w:t>Ilhan Kyuchyuk</w:t>
      </w:r>
    </w:p>
    <w:p w:rsidR="009D564F" w:rsidRPr="006F51B0" w:rsidRDefault="009D564F" w:rsidP="00332170">
      <w:pPr>
        <w:widowControl/>
      </w:pPr>
      <w:bookmarkStart w:id="0" w:name="_GoBack"/>
      <w:bookmarkEnd w:id="0"/>
    </w:p>
    <w:sectPr w:rsidR="009D564F" w:rsidRPr="006F51B0" w:rsidSect="00A441B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B56" w:rsidRPr="00A441B1" w:rsidRDefault="005C4B56">
      <w:r w:rsidRPr="00A441B1">
        <w:separator/>
      </w:r>
    </w:p>
  </w:endnote>
  <w:endnote w:type="continuationSeparator" w:id="0">
    <w:p w:rsidR="005C4B56" w:rsidRPr="00A441B1" w:rsidRDefault="005C4B56">
      <w:r w:rsidRPr="00A441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1B1" w:rsidRPr="00A441B1" w:rsidRDefault="00A441B1" w:rsidP="00A441B1">
    <w:pPr>
      <w:pStyle w:val="EPFooter"/>
    </w:pPr>
    <w:r w:rsidRPr="00A441B1">
      <w:t>PE</w:t>
    </w:r>
    <w:r w:rsidRPr="00A441B1">
      <w:rPr>
        <w:rStyle w:val="HideTWBExt"/>
      </w:rPr>
      <w:t>&lt;NoPE&gt;</w:t>
    </w:r>
    <w:r w:rsidRPr="00A441B1">
      <w:t>778.317</w:t>
    </w:r>
    <w:r w:rsidRPr="00A441B1">
      <w:rPr>
        <w:rStyle w:val="HideTWBExt"/>
      </w:rPr>
      <w:t>&lt;/NoPE&gt;&lt;Version&gt;</w:t>
    </w:r>
    <w:r w:rsidRPr="00A441B1">
      <w:t>v02-00</w:t>
    </w:r>
    <w:r w:rsidRPr="00A441B1">
      <w:rPr>
        <w:rStyle w:val="HideTWBExt"/>
      </w:rPr>
      <w:t>&lt;/Version&gt;</w:t>
    </w:r>
    <w:r w:rsidRPr="00A441B1">
      <w:tab/>
    </w:r>
    <w:r w:rsidRPr="00A441B1">
      <w:fldChar w:fldCharType="begin"/>
    </w:r>
    <w:r w:rsidRPr="00A441B1">
      <w:instrText xml:space="preserve"> PAGE  \* MERGEFORMAT </w:instrText>
    </w:r>
    <w:r w:rsidRPr="00A441B1">
      <w:fldChar w:fldCharType="separate"/>
    </w:r>
    <w:r w:rsidR="006F51B0">
      <w:rPr>
        <w:noProof/>
      </w:rPr>
      <w:t>6</w:t>
    </w:r>
    <w:r w:rsidRPr="00A441B1">
      <w:fldChar w:fldCharType="end"/>
    </w:r>
    <w:r w:rsidRPr="00A441B1">
      <w:t>/</w:t>
    </w:r>
    <w:r w:rsidRPr="00A441B1">
      <w:fldChar w:fldCharType="begin"/>
    </w:r>
    <w:r w:rsidRPr="00A441B1">
      <w:instrText xml:space="preserve"> NUMPAGES  \* MERGEFORMAT </w:instrText>
    </w:r>
    <w:r w:rsidRPr="00A441B1">
      <w:fldChar w:fldCharType="separate"/>
    </w:r>
    <w:r w:rsidR="006F51B0">
      <w:rPr>
        <w:noProof/>
      </w:rPr>
      <w:t>6</w:t>
    </w:r>
    <w:r w:rsidRPr="00A441B1">
      <w:fldChar w:fldCharType="end"/>
    </w:r>
    <w:r w:rsidRPr="00A441B1">
      <w:tab/>
    </w:r>
    <w:r w:rsidRPr="00A441B1">
      <w:rPr>
        <w:rStyle w:val="HideTWBExt"/>
      </w:rPr>
      <w:t>&lt;PathFdR&gt;</w:t>
    </w:r>
    <w:r w:rsidRPr="00A441B1">
      <w:t>AL\1330969EN.docx</w:t>
    </w:r>
    <w:r w:rsidRPr="00A441B1">
      <w:rPr>
        <w:rStyle w:val="HideTWBExt"/>
      </w:rPr>
      <w:t>&lt;/PathFdR&gt;</w:t>
    </w:r>
  </w:p>
  <w:p w:rsidR="00000C7D" w:rsidRPr="00A441B1" w:rsidRDefault="00A441B1" w:rsidP="00A441B1">
    <w:pPr>
      <w:pStyle w:val="EPFooter2"/>
    </w:pPr>
    <w:r w:rsidRPr="00A441B1">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1B1" w:rsidRPr="00A441B1" w:rsidRDefault="00A441B1" w:rsidP="00A441B1">
    <w:pPr>
      <w:pStyle w:val="EPFooter"/>
    </w:pPr>
    <w:r w:rsidRPr="00A441B1">
      <w:rPr>
        <w:rStyle w:val="HideTWBExt"/>
      </w:rPr>
      <w:t>&lt;PathFdR&gt;</w:t>
    </w:r>
    <w:r w:rsidRPr="00A441B1">
      <w:t>AL\1330969EN.docx</w:t>
    </w:r>
    <w:r w:rsidRPr="00A441B1">
      <w:rPr>
        <w:rStyle w:val="HideTWBExt"/>
      </w:rPr>
      <w:t>&lt;/PathFdR&gt;</w:t>
    </w:r>
    <w:r w:rsidRPr="00A441B1">
      <w:tab/>
    </w:r>
    <w:r w:rsidRPr="00A441B1">
      <w:fldChar w:fldCharType="begin"/>
    </w:r>
    <w:r w:rsidRPr="00A441B1">
      <w:instrText xml:space="preserve"> PAGE  \* MERGEFORMAT </w:instrText>
    </w:r>
    <w:r w:rsidRPr="00A441B1">
      <w:fldChar w:fldCharType="separate"/>
    </w:r>
    <w:r w:rsidR="006F51B0">
      <w:rPr>
        <w:noProof/>
      </w:rPr>
      <w:t>5</w:t>
    </w:r>
    <w:r w:rsidRPr="00A441B1">
      <w:fldChar w:fldCharType="end"/>
    </w:r>
    <w:r w:rsidRPr="00A441B1">
      <w:t>/</w:t>
    </w:r>
    <w:r w:rsidRPr="00A441B1">
      <w:fldChar w:fldCharType="begin"/>
    </w:r>
    <w:r w:rsidRPr="00A441B1">
      <w:instrText xml:space="preserve"> NUMPAGES  \* MERGEFORMAT </w:instrText>
    </w:r>
    <w:r w:rsidRPr="00A441B1">
      <w:fldChar w:fldCharType="separate"/>
    </w:r>
    <w:r w:rsidR="006F51B0">
      <w:rPr>
        <w:noProof/>
      </w:rPr>
      <w:t>6</w:t>
    </w:r>
    <w:r w:rsidRPr="00A441B1">
      <w:fldChar w:fldCharType="end"/>
    </w:r>
    <w:r w:rsidRPr="00A441B1">
      <w:tab/>
      <w:t>PE</w:t>
    </w:r>
    <w:r w:rsidRPr="00A441B1">
      <w:rPr>
        <w:rStyle w:val="HideTWBExt"/>
      </w:rPr>
      <w:t>&lt;NoPE&gt;</w:t>
    </w:r>
    <w:r w:rsidRPr="00A441B1">
      <w:t>778.317</w:t>
    </w:r>
    <w:r w:rsidRPr="00A441B1">
      <w:rPr>
        <w:rStyle w:val="HideTWBExt"/>
      </w:rPr>
      <w:t>&lt;/NoPE&gt;&lt;Version&gt;</w:t>
    </w:r>
    <w:r w:rsidRPr="00A441B1">
      <w:t>v02-00</w:t>
    </w:r>
    <w:r w:rsidRPr="00A441B1">
      <w:rPr>
        <w:rStyle w:val="HideTWBExt"/>
      </w:rPr>
      <w:t>&lt;/Version&gt;</w:t>
    </w:r>
  </w:p>
  <w:p w:rsidR="00000C7D" w:rsidRPr="00A441B1" w:rsidRDefault="00A441B1" w:rsidP="00A441B1">
    <w:pPr>
      <w:pStyle w:val="EPFooter2"/>
    </w:pPr>
    <w:r w:rsidRPr="00A441B1">
      <w:tab/>
    </w:r>
    <w:r w:rsidRPr="00A441B1">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1B1" w:rsidRPr="00A441B1" w:rsidRDefault="00A441B1" w:rsidP="00A441B1">
    <w:pPr>
      <w:pStyle w:val="EPFooter"/>
    </w:pPr>
    <w:r w:rsidRPr="00A441B1">
      <w:rPr>
        <w:rStyle w:val="HideTWBExt"/>
      </w:rPr>
      <w:t>&lt;PathFdR&gt;</w:t>
    </w:r>
    <w:r w:rsidRPr="00A441B1">
      <w:t>AL\1330969EN.docx</w:t>
    </w:r>
    <w:r w:rsidRPr="00A441B1">
      <w:rPr>
        <w:rStyle w:val="HideTWBExt"/>
      </w:rPr>
      <w:t>&lt;/PathFdR&gt;</w:t>
    </w:r>
    <w:r w:rsidRPr="00A441B1">
      <w:tab/>
    </w:r>
    <w:r w:rsidRPr="00A441B1">
      <w:tab/>
      <w:t>PE</w:t>
    </w:r>
    <w:r w:rsidRPr="00A441B1">
      <w:rPr>
        <w:rStyle w:val="HideTWBExt"/>
      </w:rPr>
      <w:t>&lt;NoPE&gt;</w:t>
    </w:r>
    <w:r w:rsidRPr="00A441B1">
      <w:t>778.317</w:t>
    </w:r>
    <w:r w:rsidRPr="00A441B1">
      <w:rPr>
        <w:rStyle w:val="HideTWBExt"/>
      </w:rPr>
      <w:t>&lt;/NoPE&gt;&lt;Version&gt;</w:t>
    </w:r>
    <w:r w:rsidRPr="00A441B1">
      <w:t>v02-00</w:t>
    </w:r>
    <w:r w:rsidRPr="00A441B1">
      <w:rPr>
        <w:rStyle w:val="HideTWBExt"/>
      </w:rPr>
      <w:t>&lt;/Version&gt;</w:t>
    </w:r>
  </w:p>
  <w:p w:rsidR="00000C7D" w:rsidRPr="00A441B1" w:rsidRDefault="00A441B1" w:rsidP="00A441B1">
    <w:pPr>
      <w:pStyle w:val="EPFooter2"/>
    </w:pPr>
    <w:r w:rsidRPr="00A441B1">
      <w:t>EN</w:t>
    </w:r>
    <w:r w:rsidRPr="00A441B1">
      <w:tab/>
    </w:r>
    <w:r w:rsidRPr="00A441B1">
      <w:rPr>
        <w:b w:val="0"/>
        <w:i/>
        <w:color w:val="C0C0C0"/>
        <w:sz w:val="22"/>
      </w:rPr>
      <w:t>United in diversity</w:t>
    </w:r>
    <w:r w:rsidRPr="00A441B1">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B56" w:rsidRPr="00A441B1" w:rsidRDefault="005C4B56">
      <w:r w:rsidRPr="00A441B1">
        <w:separator/>
      </w:r>
    </w:p>
  </w:footnote>
  <w:footnote w:type="continuationSeparator" w:id="0">
    <w:p w:rsidR="005C4B56" w:rsidRPr="00A441B1" w:rsidRDefault="005C4B56">
      <w:r w:rsidRPr="00A441B1">
        <w:continuationSeparator/>
      </w:r>
    </w:p>
  </w:footnote>
  <w:footnote w:id="1">
    <w:p w:rsidR="00FC1E12" w:rsidRPr="00A441B1" w:rsidRDefault="00FC1E12" w:rsidP="00FC1E12">
      <w:r w:rsidRPr="00A441B1">
        <w:rPr>
          <w:vertAlign w:val="superscript"/>
        </w:rPr>
        <w:footnoteRef/>
      </w:r>
      <w:r w:rsidRPr="00A441B1">
        <w:t xml:space="preserve"> </w:t>
      </w:r>
      <w:r w:rsidRPr="00A441B1">
        <w:rPr>
          <w:sz w:val="20"/>
        </w:rPr>
        <w:t>Regulation (EU) 2016/794 of the European Parliament and of the Council of 11 May 2016 on the European Union Agency for Law Enforcement Cooperation (Europol) and replacing and repealing Council Decisions 2009/371/JHA, 2009/934/JHA, 2009/935/JHA, 2009/936/JHA and 2009/968/JHA (OJ L 135, 24.5.2016, p. 53).</w:t>
      </w:r>
    </w:p>
  </w:footnote>
  <w:footnote w:id="2">
    <w:p w:rsidR="00FC1E12" w:rsidRPr="00A441B1" w:rsidRDefault="00FC1E12" w:rsidP="00FC1E12">
      <w:pPr>
        <w:rPr>
          <w:sz w:val="20"/>
        </w:rPr>
      </w:pPr>
      <w:r w:rsidRPr="00A441B1">
        <w:rPr>
          <w:sz w:val="20"/>
          <w:vertAlign w:val="superscript"/>
        </w:rPr>
        <w:footnoteRef/>
      </w:r>
      <w:r w:rsidRPr="00A441B1">
        <w:rPr>
          <w:sz w:val="20"/>
        </w:rPr>
        <w:t xml:space="preserve"> </w:t>
      </w:r>
      <w:r w:rsidRPr="00A441B1">
        <w:rPr>
          <w:i/>
          <w:sz w:val="20"/>
        </w:rPr>
        <w:t xml:space="preserve">Opinion 2/00 </w:t>
      </w:r>
      <w:r w:rsidRPr="00A441B1">
        <w:rPr>
          <w:i/>
          <w:iCs/>
          <w:sz w:val="20"/>
        </w:rPr>
        <w:t>("Cartagena Protocol")</w:t>
      </w:r>
      <w:r w:rsidRPr="00A441B1">
        <w:rPr>
          <w:sz w:val="20"/>
        </w:rPr>
        <w:t>, ECLI:EU:C:2001:664, para 5.</w:t>
      </w:r>
    </w:p>
  </w:footnote>
  <w:footnote w:id="3">
    <w:p w:rsidR="00FC1E12" w:rsidRPr="00A441B1" w:rsidRDefault="00FC1E12" w:rsidP="00FC1E12">
      <w:pPr>
        <w:rPr>
          <w:sz w:val="20"/>
        </w:rPr>
      </w:pPr>
      <w:r w:rsidRPr="00A441B1">
        <w:rPr>
          <w:sz w:val="20"/>
          <w:vertAlign w:val="superscript"/>
        </w:rPr>
        <w:footnoteRef/>
      </w:r>
      <w:r w:rsidRPr="00A441B1">
        <w:rPr>
          <w:sz w:val="20"/>
        </w:rPr>
        <w:t xml:space="preserve"> Case C-300/89, Commission v Council ("Titanium dioxide"), ECLI:EU:C:1991:244, paragraph 10.</w:t>
      </w:r>
    </w:p>
  </w:footnote>
  <w:footnote w:id="4">
    <w:p w:rsidR="00FC1E12" w:rsidRPr="00A441B1" w:rsidRDefault="00FC1E12" w:rsidP="00FC1E12">
      <w:pPr>
        <w:rPr>
          <w:sz w:val="20"/>
        </w:rPr>
      </w:pPr>
      <w:r w:rsidRPr="00A441B1">
        <w:rPr>
          <w:sz w:val="20"/>
          <w:vertAlign w:val="superscript"/>
        </w:rPr>
        <w:footnoteRef/>
      </w:r>
      <w:r w:rsidRPr="00A441B1">
        <w:rPr>
          <w:sz w:val="20"/>
        </w:rPr>
        <w:t xml:space="preserve"> Ibid. paragraph 30 and Case C-137/12, Commission v Council, ECLI:EU:C:2013:675, paragraph 53 and case law cited.</w:t>
      </w:r>
    </w:p>
  </w:footnote>
  <w:footnote w:id="5">
    <w:p w:rsidR="00FC1E12" w:rsidRPr="00A441B1" w:rsidRDefault="00FC1E12" w:rsidP="00FC1E12">
      <w:pPr>
        <w:rPr>
          <w:sz w:val="20"/>
        </w:rPr>
      </w:pPr>
      <w:r w:rsidRPr="00A441B1">
        <w:rPr>
          <w:sz w:val="20"/>
          <w:vertAlign w:val="superscript"/>
        </w:rPr>
        <w:footnoteRef/>
      </w:r>
      <w:r w:rsidRPr="00A441B1">
        <w:rPr>
          <w:sz w:val="20"/>
        </w:rPr>
        <w:t xml:space="preserve"> Case C-300/89, paragraphs 13 and 17; Case C-42/97, </w:t>
      </w:r>
      <w:r w:rsidRPr="00A441B1">
        <w:rPr>
          <w:rStyle w:val="affairetitle"/>
          <w:i/>
          <w:iCs/>
          <w:sz w:val="20"/>
        </w:rPr>
        <w:t>Parliament v Council</w:t>
      </w:r>
      <w:r w:rsidRPr="00A441B1">
        <w:rPr>
          <w:rStyle w:val="affairetitle"/>
          <w:sz w:val="20"/>
        </w:rPr>
        <w:t>, ECLI:</w:t>
      </w:r>
      <w:r w:rsidRPr="00A441B1">
        <w:rPr>
          <w:rStyle w:val="outputecliaff"/>
          <w:sz w:val="20"/>
        </w:rPr>
        <w:t xml:space="preserve">EU:C:1999:81, </w:t>
      </w:r>
      <w:r w:rsidRPr="00A441B1">
        <w:rPr>
          <w:sz w:val="20"/>
        </w:rPr>
        <w:t xml:space="preserve">paragraph 38; </w:t>
      </w:r>
      <w:r w:rsidRPr="00A441B1">
        <w:rPr>
          <w:i/>
          <w:sz w:val="20"/>
        </w:rPr>
        <w:t>Opinion 2/00</w:t>
      </w:r>
      <w:r w:rsidRPr="00A441B1">
        <w:rPr>
          <w:sz w:val="20"/>
        </w:rPr>
        <w:t xml:space="preserve">, paragraph 23; Case C-94/03, </w:t>
      </w:r>
      <w:r w:rsidRPr="00A441B1">
        <w:rPr>
          <w:rStyle w:val="affairetitle"/>
          <w:i/>
          <w:iCs/>
          <w:sz w:val="20"/>
        </w:rPr>
        <w:t>Commission v Council ("Rotterdam Convention")</w:t>
      </w:r>
      <w:r w:rsidRPr="00A441B1">
        <w:rPr>
          <w:rStyle w:val="affairetitle"/>
          <w:sz w:val="20"/>
        </w:rPr>
        <w:t>, ECLI:</w:t>
      </w:r>
      <w:r w:rsidRPr="00A441B1">
        <w:rPr>
          <w:rStyle w:val="outputecliaff"/>
          <w:sz w:val="20"/>
        </w:rPr>
        <w:t>EU:C:2006:2</w:t>
      </w:r>
      <w:r w:rsidRPr="00A441B1">
        <w:rPr>
          <w:sz w:val="20"/>
        </w:rPr>
        <w:t xml:space="preserve"> and Case C-178/03, </w:t>
      </w:r>
      <w:r w:rsidRPr="00A441B1">
        <w:rPr>
          <w:rStyle w:val="affairetitle"/>
          <w:i/>
          <w:iCs/>
          <w:sz w:val="20"/>
        </w:rPr>
        <w:t>Commission v Parliament and Council</w:t>
      </w:r>
      <w:r w:rsidRPr="00A441B1">
        <w:rPr>
          <w:rStyle w:val="affairetitle"/>
          <w:sz w:val="20"/>
        </w:rPr>
        <w:t>, ECLI:</w:t>
      </w:r>
      <w:r w:rsidRPr="00A441B1">
        <w:rPr>
          <w:rStyle w:val="outputecliaff"/>
          <w:sz w:val="20"/>
        </w:rPr>
        <w:t>EU:C:2006:4,</w:t>
      </w:r>
      <w:r w:rsidRPr="00A441B1">
        <w:rPr>
          <w:sz w:val="20"/>
        </w:rPr>
        <w:t xml:space="preserve"> paragraphs 36 and 43.</w:t>
      </w:r>
    </w:p>
  </w:footnote>
  <w:footnote w:id="6">
    <w:p w:rsidR="00FC1E12" w:rsidRPr="00A441B1" w:rsidRDefault="00FC1E12" w:rsidP="00FC1E12">
      <w:pPr>
        <w:rPr>
          <w:sz w:val="20"/>
        </w:rPr>
      </w:pPr>
      <w:r w:rsidRPr="00A441B1">
        <w:rPr>
          <w:sz w:val="20"/>
          <w:vertAlign w:val="superscript"/>
        </w:rPr>
        <w:footnoteRef/>
      </w:r>
      <w:r w:rsidRPr="00A441B1">
        <w:rPr>
          <w:sz w:val="20"/>
        </w:rPr>
        <w:t xml:space="preserve"> Case C-300/89, paragraphs. 17-25; Case C-268/94 </w:t>
      </w:r>
      <w:r w:rsidRPr="00A441B1">
        <w:rPr>
          <w:i/>
          <w:sz w:val="20"/>
        </w:rPr>
        <w:t>Portugal v Council</w:t>
      </w:r>
      <w:r w:rsidRPr="00A441B1">
        <w:rPr>
          <w:sz w:val="20"/>
        </w:rPr>
        <w:t>, ECLI:EU:C:1996:461.</w:t>
      </w:r>
    </w:p>
  </w:footnote>
  <w:footnote w:id="7">
    <w:p w:rsidR="00FC1E12" w:rsidRPr="00A441B1" w:rsidRDefault="00FC1E12" w:rsidP="006A4CE5">
      <w:pPr>
        <w:rPr>
          <w:sz w:val="20"/>
        </w:rPr>
      </w:pPr>
      <w:r w:rsidRPr="00A441B1">
        <w:rPr>
          <w:sz w:val="20"/>
          <w:vertAlign w:val="superscript"/>
        </w:rPr>
        <w:footnoteRef/>
      </w:r>
      <w:r w:rsidRPr="00A441B1">
        <w:rPr>
          <w:sz w:val="20"/>
        </w:rPr>
        <w:t xml:space="preserve"> The following were present for the final vote: </w:t>
      </w:r>
      <w:r w:rsidR="006A4CE5" w:rsidRPr="00A441B1">
        <w:rPr>
          <w:sz w:val="20"/>
        </w:rPr>
        <w:t>Ilhan Kyuchyuk (Chair), Marion Walsmann (Vice-Chair), Mario Mantovani (Vice Chair), Lara Wolters (Vice-Chair), Maravillas Abadía Jover, Tobiasz Bocheński, Pascal Canfin, José Cepeda, Henrik Dahl, Ton Diepeveen, Sebastian Everding (for Mario Furore pursuant to Rule 2</w:t>
      </w:r>
      <w:r w:rsidR="00571C42" w:rsidRPr="00A441B1">
        <w:rPr>
          <w:sz w:val="20"/>
        </w:rPr>
        <w:t>16</w:t>
      </w:r>
      <w:r w:rsidR="00571C42" w:rsidRPr="00A441B1" w:rsidDel="00571C42">
        <w:rPr>
          <w:sz w:val="20"/>
        </w:rPr>
        <w:t xml:space="preserve"> </w:t>
      </w:r>
      <w:r w:rsidR="006A4CE5" w:rsidRPr="00A441B1">
        <w:rPr>
          <w:sz w:val="20"/>
        </w:rPr>
        <w:t>(7)), Enikő Győri (for Juan Carlos Girauta Vidal pursuant to Rule 2</w:t>
      </w:r>
      <w:r w:rsidR="00571C42" w:rsidRPr="00A441B1">
        <w:rPr>
          <w:sz w:val="20"/>
        </w:rPr>
        <w:t>16</w:t>
      </w:r>
      <w:r w:rsidR="00571C42" w:rsidRPr="00A441B1" w:rsidDel="00571C42">
        <w:rPr>
          <w:sz w:val="20"/>
        </w:rPr>
        <w:t xml:space="preserve"> </w:t>
      </w:r>
      <w:r w:rsidR="006A4CE5" w:rsidRPr="00A441B1">
        <w:rPr>
          <w:sz w:val="20"/>
        </w:rPr>
        <w:t>(7)), Mary Khan, Ana Catarina Mendes (for Victor Negrescu pursuant to Rule 2</w:t>
      </w:r>
      <w:r w:rsidR="00571C42" w:rsidRPr="00A441B1">
        <w:rPr>
          <w:sz w:val="20"/>
        </w:rPr>
        <w:t>16</w:t>
      </w:r>
      <w:r w:rsidR="00571C42" w:rsidRPr="00A441B1" w:rsidDel="00571C42">
        <w:rPr>
          <w:sz w:val="20"/>
        </w:rPr>
        <w:t xml:space="preserve"> </w:t>
      </w:r>
      <w:r w:rsidR="006A4CE5" w:rsidRPr="00A441B1">
        <w:rPr>
          <w:sz w:val="20"/>
        </w:rPr>
        <w:t>(7)), Javier Moreno Sánchez (for Krzysztof Śmiszek pursuant to Rule 2</w:t>
      </w:r>
      <w:r w:rsidR="00571C42" w:rsidRPr="00A441B1">
        <w:rPr>
          <w:sz w:val="20"/>
        </w:rPr>
        <w:t>16</w:t>
      </w:r>
      <w:r w:rsidR="00571C42" w:rsidRPr="00A441B1" w:rsidDel="00571C42">
        <w:rPr>
          <w:sz w:val="20"/>
        </w:rPr>
        <w:t xml:space="preserve"> </w:t>
      </w:r>
      <w:r w:rsidR="006A4CE5" w:rsidRPr="00A441B1">
        <w:rPr>
          <w:sz w:val="20"/>
        </w:rPr>
        <w:t xml:space="preserve">(7)), Angelika Niebler, Pascale Piera, Kira Marie Peter-Hansen, René Repasi, Tomas Tobé, Axel Voss, Adrián Vázquez Lázara, Jörgen Warborn, Maciej Wąsik (for Dominik Tarczyński pursuant to Rule </w:t>
      </w:r>
      <w:r w:rsidR="00571C42" w:rsidRPr="00A441B1">
        <w:rPr>
          <w:sz w:val="20"/>
        </w:rPr>
        <w:t>2</w:t>
      </w:r>
      <w:r w:rsidR="00571C42" w:rsidRPr="00A441B1">
        <w:rPr>
          <w:sz w:val="20"/>
        </w:rPr>
        <w:t>16</w:t>
      </w:r>
      <w:r w:rsidR="006A4CE5" w:rsidRPr="00A441B1">
        <w:rPr>
          <w:sz w:val="20"/>
        </w:rPr>
        <w:t>(7)), Michał Wawrykiewicz, Dainius Žalimas</w:t>
      </w:r>
      <w:r w:rsidRPr="00A441B1">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1B1" w:rsidRPr="00A441B1" w:rsidRDefault="00A44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1B1" w:rsidRPr="00A441B1" w:rsidRDefault="00A44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1B1" w:rsidRPr="00A441B1" w:rsidRDefault="00A441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4"/>
  </w:num>
  <w:num w:numId="43">
    <w:abstractNumId w:val="13"/>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8"/>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50DDD"/>
    <w:rsid w:val="002B6CA1"/>
    <w:rsid w:val="00324EAF"/>
    <w:rsid w:val="00332170"/>
    <w:rsid w:val="003666DE"/>
    <w:rsid w:val="003763A3"/>
    <w:rsid w:val="003C41CE"/>
    <w:rsid w:val="003C6D88"/>
    <w:rsid w:val="00463119"/>
    <w:rsid w:val="00482DA5"/>
    <w:rsid w:val="00493031"/>
    <w:rsid w:val="004D0D33"/>
    <w:rsid w:val="004D0D4E"/>
    <w:rsid w:val="004E5B27"/>
    <w:rsid w:val="004F676F"/>
    <w:rsid w:val="00501E47"/>
    <w:rsid w:val="00505A2E"/>
    <w:rsid w:val="00571C42"/>
    <w:rsid w:val="00595C9D"/>
    <w:rsid w:val="005C4B56"/>
    <w:rsid w:val="005F56BD"/>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37F67"/>
    <w:rsid w:val="00A441B1"/>
    <w:rsid w:val="00A93DB1"/>
    <w:rsid w:val="00AC0580"/>
    <w:rsid w:val="00AE6929"/>
    <w:rsid w:val="00C127ED"/>
    <w:rsid w:val="00C82F7E"/>
    <w:rsid w:val="00CE1655"/>
    <w:rsid w:val="00D478EA"/>
    <w:rsid w:val="00D77B8C"/>
    <w:rsid w:val="00D92A83"/>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DFB3F"/>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1807</Words>
  <Characters>10249</Characters>
  <Application>Microsoft Office Word</Application>
  <DocSecurity>0</DocSecurity>
  <Lines>218</Lines>
  <Paragraphs>75</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ZAHARIE Ana Maria</cp:lastModifiedBy>
  <cp:revision>2</cp:revision>
  <cp:lastPrinted>2004-06-24T10:04:00Z</cp:lastPrinted>
  <dcterms:created xsi:type="dcterms:W3CDTF">2025-10-29T15:14:00Z</dcterms:created>
  <dcterms:modified xsi:type="dcterms:W3CDTF">2025-10-29T15:14:00Z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AL\1330969EN.docx</vt:lpwstr>
  </property>
  <property fmtid="{D5CDD505-2E9C-101B-9397-08002B2CF9AE}" pid="11" name="PE number">
    <vt:lpwstr>778.317</vt:lpwstr>
  </property>
  <property fmtid="{D5CDD505-2E9C-101B-9397-08002B2CF9AE}" pid="12" name="SendToEpades">
    <vt:lpwstr>OK - 2025/10/29 16:13</vt:lpwstr>
  </property>
</Properties>
</file>