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3666DE" w:rsidRPr="0028700A" w14:paraId="6C3449A0" w14:textId="77777777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442E0220" w14:textId="77777777" w:rsidR="003666DE" w:rsidRPr="0028700A" w:rsidRDefault="005C4B56" w:rsidP="00C85D0F">
            <w:pPr>
              <w:pStyle w:val="EPName"/>
            </w:pPr>
            <w:r w:rsidRPr="0028700A">
              <w:t>Európai Parlament</w:t>
            </w:r>
          </w:p>
          <w:p w14:paraId="341471BF" w14:textId="77777777" w:rsidR="003666DE" w:rsidRPr="0028700A" w:rsidRDefault="00324EAF" w:rsidP="00324EAF">
            <w:pPr>
              <w:pStyle w:val="EPTerm"/>
            </w:pPr>
            <w:r w:rsidRPr="0028700A">
              <w:t>2024-2029</w:t>
            </w:r>
          </w:p>
        </w:tc>
        <w:tc>
          <w:tcPr>
            <w:tcW w:w="2268" w:type="dxa"/>
            <w:shd w:val="clear" w:color="auto" w:fill="auto"/>
          </w:tcPr>
          <w:p w14:paraId="0F5C8A5A" w14:textId="77777777" w:rsidR="003666DE" w:rsidRPr="0028700A" w:rsidRDefault="003666DE" w:rsidP="00C85D0F">
            <w:pPr>
              <w:pStyle w:val="EPLogo"/>
            </w:pPr>
            <w:r w:rsidRPr="0028700A">
              <w:rPr>
                <w:noProof/>
              </w:rPr>
              <w:drawing>
                <wp:inline distT="0" distB="0" distL="0" distR="0" wp14:anchorId="6A143840" wp14:editId="24BEE02B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CF98267" w14:textId="77777777" w:rsidR="00000C7D" w:rsidRPr="0028700A" w:rsidRDefault="00000C7D" w:rsidP="00000C7D">
      <w:pPr>
        <w:pStyle w:val="LineTop"/>
      </w:pPr>
    </w:p>
    <w:p w14:paraId="7B0C65E2" w14:textId="77777777" w:rsidR="00000C7D" w:rsidRPr="0028700A" w:rsidRDefault="00000C7D" w:rsidP="00000C7D">
      <w:pPr>
        <w:pStyle w:val="EPBody"/>
      </w:pPr>
      <w:r w:rsidRPr="0028700A">
        <w:rPr>
          <w:rStyle w:val="HideTWBExt"/>
        </w:rPr>
        <w:t>&lt;</w:t>
      </w:r>
      <w:r w:rsidRPr="0028700A">
        <w:rPr>
          <w:rStyle w:val="HideTWBExt"/>
          <w:i w:val="0"/>
        </w:rPr>
        <w:t>Commission</w:t>
      </w:r>
      <w:r w:rsidRPr="0028700A">
        <w:rPr>
          <w:rStyle w:val="HideTWBExt"/>
        </w:rPr>
        <w:t>&gt;</w:t>
      </w:r>
      <w:r w:rsidRPr="0028700A">
        <w:rPr>
          <w:rStyle w:val="HideTWBInt"/>
        </w:rPr>
        <w:t>{JURI}</w:t>
      </w:r>
      <w:r w:rsidRPr="0028700A">
        <w:t>Jogi Bizottság</w:t>
      </w:r>
      <w:r w:rsidRPr="0028700A">
        <w:rPr>
          <w:rStyle w:val="HideTWBExt"/>
        </w:rPr>
        <w:t>&lt;/</w:t>
      </w:r>
      <w:proofErr w:type="spellStart"/>
      <w:r w:rsidRPr="0028700A">
        <w:rPr>
          <w:rStyle w:val="HideTWBExt"/>
          <w:i w:val="0"/>
        </w:rPr>
        <w:t>Commission</w:t>
      </w:r>
      <w:proofErr w:type="spellEnd"/>
      <w:r w:rsidRPr="0028700A">
        <w:rPr>
          <w:rStyle w:val="HideTWBExt"/>
        </w:rPr>
        <w:t>&gt;</w:t>
      </w:r>
    </w:p>
    <w:p w14:paraId="25AD7F59" w14:textId="77777777" w:rsidR="00000C7D" w:rsidRPr="0028700A" w:rsidRDefault="005C4B56" w:rsidP="00000C7D">
      <w:pPr>
        <w:pStyle w:val="EPBody"/>
      </w:pPr>
      <w:r w:rsidRPr="0028700A">
        <w:t>Elnök</w:t>
      </w:r>
    </w:p>
    <w:p w14:paraId="0BFB30B5" w14:textId="77777777" w:rsidR="00000C7D" w:rsidRPr="0028700A" w:rsidRDefault="00000C7D" w:rsidP="00000C7D">
      <w:pPr>
        <w:pStyle w:val="LineBottom"/>
      </w:pPr>
    </w:p>
    <w:p w14:paraId="3E884C26" w14:textId="77777777" w:rsidR="00E71F4C" w:rsidRPr="0028700A" w:rsidRDefault="00501E47" w:rsidP="00A04228">
      <w:pPr>
        <w:pStyle w:val="LetterDate"/>
      </w:pPr>
      <w:r w:rsidRPr="0028700A">
        <w:rPr>
          <w:rStyle w:val="HideTWBExt"/>
        </w:rPr>
        <w:t>&lt;Date&gt;</w:t>
      </w:r>
      <w:r w:rsidRPr="0028700A">
        <w:rPr>
          <w:rStyle w:val="HideTWBInt"/>
        </w:rPr>
        <w:t>{17/10/2025}</w:t>
      </w:r>
      <w:r w:rsidRPr="0028700A">
        <w:t>17.10.2025</w:t>
      </w:r>
      <w:r w:rsidRPr="0028700A">
        <w:rPr>
          <w:rStyle w:val="HideTWBExt"/>
        </w:rPr>
        <w:t>&lt;/</w:t>
      </w:r>
      <w:proofErr w:type="spellStart"/>
      <w:r w:rsidRPr="0028700A">
        <w:rPr>
          <w:rStyle w:val="HideTWBExt"/>
        </w:rPr>
        <w:t>Date</w:t>
      </w:r>
      <w:proofErr w:type="spellEnd"/>
      <w:r w:rsidRPr="0028700A">
        <w:rPr>
          <w:rStyle w:val="HideTWBExt"/>
        </w:rPr>
        <w:t>&gt;</w:t>
      </w:r>
    </w:p>
    <w:p w14:paraId="0DDE10B8" w14:textId="77777777" w:rsidR="007179A7" w:rsidRPr="0028700A" w:rsidRDefault="00324EAF">
      <w:r w:rsidRPr="0028700A">
        <w:t xml:space="preserve">Javier </w:t>
      </w:r>
      <w:proofErr w:type="spellStart"/>
      <w:r w:rsidRPr="0028700A">
        <w:t>Zarzalejos</w:t>
      </w:r>
      <w:proofErr w:type="spellEnd"/>
    </w:p>
    <w:p w14:paraId="1B341E31" w14:textId="77777777" w:rsidR="007179A7" w:rsidRPr="0028700A" w:rsidRDefault="005C4B56">
      <w:r w:rsidRPr="0028700A">
        <w:t>Elnök</w:t>
      </w:r>
    </w:p>
    <w:p w14:paraId="3976EBE2" w14:textId="77777777" w:rsidR="007179A7" w:rsidRPr="0028700A" w:rsidRDefault="00324EAF">
      <w:r w:rsidRPr="0028700A">
        <w:t>Állampolgári Jogi, Bel- és Igazságügyi Bizottság</w:t>
      </w:r>
    </w:p>
    <w:p w14:paraId="22440BC7" w14:textId="77777777" w:rsidR="007179A7" w:rsidRPr="0028700A" w:rsidRDefault="005C4B56">
      <w:r w:rsidRPr="0028700A">
        <w:t>BRÜSSZEL</w:t>
      </w:r>
    </w:p>
    <w:p w14:paraId="2784A07E" w14:textId="77777777" w:rsidR="009F796C" w:rsidRPr="0028700A" w:rsidRDefault="005C4B56" w:rsidP="009F796C">
      <w:pPr>
        <w:pStyle w:val="LetterSubject"/>
      </w:pPr>
      <w:r w:rsidRPr="0028700A">
        <w:t>Tárgy:</w:t>
      </w:r>
      <w:r w:rsidRPr="0028700A">
        <w:tab/>
      </w:r>
      <w:r w:rsidRPr="0028700A">
        <w:rPr>
          <w:rStyle w:val="HideTWBExt"/>
        </w:rPr>
        <w:t>&lt;Titre&gt;</w:t>
      </w:r>
      <w:r w:rsidRPr="0028700A">
        <w:t xml:space="preserve">Vélemény a migránscsempészés és az emberkereskedelem megelőzésével, felderítésével és kivizsgálásával kapcsolatos rendőrségi együttműködés megerősítéséről, valamint az </w:t>
      </w:r>
      <w:proofErr w:type="spellStart"/>
      <w:r w:rsidRPr="0028700A">
        <w:t>Europol</w:t>
      </w:r>
      <w:proofErr w:type="spellEnd"/>
      <w:r w:rsidRPr="0028700A">
        <w:t xml:space="preserve"> által az ilyen bűncselekmények megelőzéséhez és az ellenük folytatott küzdelemhez nyújtott támogatás megerősítéséről, továbbá az (EU) 2016/794 rendelet módosításáról szóló európai parlamenti és tanácsi rendeletre irányuló javaslat jogalapjáról</w:t>
      </w:r>
      <w:r w:rsidRPr="0028700A">
        <w:rPr>
          <w:rStyle w:val="HideTWBExt"/>
        </w:rPr>
        <w:t>&lt;/</w:t>
      </w:r>
      <w:proofErr w:type="spellStart"/>
      <w:r w:rsidRPr="0028700A">
        <w:rPr>
          <w:rStyle w:val="HideTWBExt"/>
        </w:rPr>
        <w:t>Titre</w:t>
      </w:r>
      <w:proofErr w:type="spellEnd"/>
      <w:r w:rsidRPr="0028700A">
        <w:rPr>
          <w:rStyle w:val="HideTWBExt"/>
        </w:rPr>
        <w:t>&gt;</w:t>
      </w:r>
      <w:r w:rsidRPr="0028700A">
        <w:t xml:space="preserve"> </w:t>
      </w:r>
      <w:r w:rsidRPr="0028700A">
        <w:rPr>
          <w:rStyle w:val="HideTWBExt"/>
        </w:rPr>
        <w:t>&lt;DocRef&gt;</w:t>
      </w:r>
      <w:r w:rsidRPr="0028700A">
        <w:t>(COM(2023)0754 – C9</w:t>
      </w:r>
      <w:r w:rsidRPr="0028700A">
        <w:noBreakHyphen/>
        <w:t>0431/2023 – 2023/0438(COD))</w:t>
      </w:r>
      <w:r w:rsidRPr="0028700A">
        <w:rPr>
          <w:rStyle w:val="HideTWBExt"/>
        </w:rPr>
        <w:t>&lt;/</w:t>
      </w:r>
      <w:proofErr w:type="spellStart"/>
      <w:r w:rsidRPr="0028700A">
        <w:rPr>
          <w:rStyle w:val="HideTWBExt"/>
        </w:rPr>
        <w:t>DocRef</w:t>
      </w:r>
      <w:proofErr w:type="spellEnd"/>
      <w:r w:rsidRPr="0028700A">
        <w:rPr>
          <w:rStyle w:val="HideTWBExt"/>
        </w:rPr>
        <w:t>&gt;</w:t>
      </w:r>
    </w:p>
    <w:p w14:paraId="260DDB64" w14:textId="77777777" w:rsidR="00FC1E12" w:rsidRPr="0028700A" w:rsidRDefault="007F3C4A" w:rsidP="00FC1E12">
      <w:pPr>
        <w:pStyle w:val="LetterSalutation"/>
      </w:pPr>
      <w:r w:rsidRPr="0028700A">
        <w:t>Tisztelt Elnök Úr!</w:t>
      </w:r>
    </w:p>
    <w:p w14:paraId="7CA64817" w14:textId="77777777" w:rsidR="00FC1E12" w:rsidRPr="0028700A" w:rsidRDefault="00FC1E12" w:rsidP="006A4CE5">
      <w:pPr>
        <w:pStyle w:val="Normal12a"/>
      </w:pPr>
      <w:r w:rsidRPr="0028700A">
        <w:t xml:space="preserve">2025. szeptember 12-én beérkezett levelében Ön az Állampolgári Jogi, Bel- és Igazságügyi Bizottság (LIBE) elnökeként az eljárási szabályzat 41. cikkének (2) bekezdésével összhangban felkérte a Jogi Bizottságot (JURI), hogy nyilvánítson véleményt a migránscsempészés és az emberkereskedelem megelőzésével, felderítésével és kivizsgálásával kapcsolatos rendőrségi együttműködés megerősítéséről, valamint az </w:t>
      </w:r>
      <w:proofErr w:type="spellStart"/>
      <w:r w:rsidRPr="0028700A">
        <w:t>Europol</w:t>
      </w:r>
      <w:proofErr w:type="spellEnd"/>
      <w:r w:rsidRPr="0028700A">
        <w:t xml:space="preserve"> által az ilyen bűncselekmények megelőzéséhez és az ellenük folytatott küzdelemhez nyújtott támogatás megerősítéséről, továbbá az (EU) 2016/794 rendelet módosításáról szóló európai parlamenti és tanácsi rendeletre irányuló javaslat (2023/0438(COD)) (a továbbiakban: a javasolt rendelet) jogalapjának megfelelőségéről.</w:t>
      </w:r>
    </w:p>
    <w:p w14:paraId="1228A679" w14:textId="77777777" w:rsidR="00FC1E12" w:rsidRPr="0028700A" w:rsidRDefault="00FC1E12" w:rsidP="00FC1E12">
      <w:pPr>
        <w:pStyle w:val="Normal12a"/>
      </w:pPr>
      <w:r w:rsidRPr="0028700A">
        <w:t>2025. október 13-i ülésén a JURI bizottság megvizsgálta a fent említett kérdést.</w:t>
      </w:r>
    </w:p>
    <w:p w14:paraId="3C873D35" w14:textId="77777777" w:rsidR="00FC1E12" w:rsidRPr="0028700A" w:rsidRDefault="00FC1E12" w:rsidP="00FC1E12">
      <w:pPr>
        <w:spacing w:after="240"/>
        <w:jc w:val="both"/>
        <w:rPr>
          <w:b/>
          <w:u w:val="single"/>
        </w:rPr>
      </w:pPr>
      <w:r w:rsidRPr="0028700A">
        <w:rPr>
          <w:b/>
          <w:u w:val="single"/>
        </w:rPr>
        <w:t>I – Háttér</w:t>
      </w:r>
    </w:p>
    <w:p w14:paraId="2B43FE82" w14:textId="1F2824B4" w:rsidR="00FC1E12" w:rsidRPr="0028700A" w:rsidRDefault="00FC1E12" w:rsidP="006A4CE5">
      <w:r w:rsidRPr="0028700A">
        <w:rPr>
          <w:color w:val="000000" w:themeColor="text1"/>
        </w:rPr>
        <w:t>A LIBE bizottság intézményközi tárgyalásokat folytatott a javasolt rendeletről.</w:t>
      </w:r>
    </w:p>
    <w:p w14:paraId="6A879C69" w14:textId="77777777" w:rsidR="00FC1E12" w:rsidRPr="0028700A" w:rsidRDefault="00FC1E12" w:rsidP="00FC1E12">
      <w:pPr>
        <w:jc w:val="both"/>
      </w:pPr>
    </w:p>
    <w:p w14:paraId="6F886A84" w14:textId="77777777" w:rsidR="00FC1E12" w:rsidRPr="0028700A" w:rsidRDefault="00FC1E12" w:rsidP="006A4CE5">
      <w:pPr>
        <w:spacing w:after="240"/>
        <w:rPr>
          <w:color w:val="000000" w:themeColor="text1"/>
        </w:rPr>
      </w:pPr>
      <w:r w:rsidRPr="0028700A">
        <w:rPr>
          <w:color w:val="000000" w:themeColor="text1"/>
        </w:rPr>
        <w:t xml:space="preserve">A javasolt rendelet eredetileg magában foglalt egy új „önálló rendeletet” többek között a Migránscsempészés Elleni Küzdelem Európai Központjának létrehozása, valamint az </w:t>
      </w:r>
      <w:proofErr w:type="spellStart"/>
      <w:r w:rsidRPr="0028700A">
        <w:rPr>
          <w:color w:val="000000" w:themeColor="text1"/>
        </w:rPr>
        <w:t>Europol</w:t>
      </w:r>
      <w:proofErr w:type="spellEnd"/>
      <w:r w:rsidRPr="0028700A">
        <w:rPr>
          <w:color w:val="000000" w:themeColor="text1"/>
        </w:rPr>
        <w:t xml:space="preserve"> </w:t>
      </w:r>
      <w:r w:rsidRPr="0028700A">
        <w:rPr>
          <w:color w:val="000000" w:themeColor="text1"/>
        </w:rPr>
        <w:lastRenderedPageBreak/>
        <w:t>jelenlegi megbízatását érintő célzott módosítások céljából ((EU) 2016/794 rendelet</w:t>
      </w:r>
      <w:r w:rsidRPr="0028700A">
        <w:rPr>
          <w:color w:val="000000" w:themeColor="text1"/>
          <w:vertAlign w:val="superscript"/>
        </w:rPr>
        <w:footnoteReference w:id="1"/>
      </w:r>
      <w:r w:rsidRPr="0028700A">
        <w:rPr>
          <w:color w:val="000000" w:themeColor="text1"/>
        </w:rPr>
        <w:t xml:space="preserve">, a továbbiakban: az </w:t>
      </w:r>
      <w:proofErr w:type="spellStart"/>
      <w:r w:rsidRPr="0028700A">
        <w:rPr>
          <w:color w:val="000000" w:themeColor="text1"/>
        </w:rPr>
        <w:t>Europol</w:t>
      </w:r>
      <w:proofErr w:type="spellEnd"/>
      <w:r w:rsidRPr="0028700A">
        <w:rPr>
          <w:color w:val="000000" w:themeColor="text1"/>
        </w:rPr>
        <w:t xml:space="preserve">-rendelet). </w:t>
      </w:r>
      <w:r w:rsidRPr="0028700A">
        <w:t>A javasolt rendelet az Európai Unió működéséről szóló szerződés (EUMSZ) 85. cikkének (1) bekezdésén, 87. cikkének (2) bekezdésén és 88. cikkének (2) bekezdésén alapult.</w:t>
      </w:r>
      <w:r w:rsidRPr="0028700A">
        <w:rPr>
          <w:color w:val="000000" w:themeColor="text1"/>
        </w:rPr>
        <w:t xml:space="preserve"> A LIBE bizottság nem módosította a Bizottság által javasolt jogalapot.</w:t>
      </w:r>
    </w:p>
    <w:p w14:paraId="5F6B4C40" w14:textId="77777777" w:rsidR="00FC1E12" w:rsidRPr="0028700A" w:rsidRDefault="00FC1E12" w:rsidP="006A4CE5">
      <w:pPr>
        <w:rPr>
          <w:color w:val="000000" w:themeColor="text1"/>
        </w:rPr>
      </w:pPr>
      <w:r w:rsidRPr="0028700A">
        <w:rPr>
          <w:color w:val="000000" w:themeColor="text1"/>
        </w:rPr>
        <w:t xml:space="preserve">Az intézményközi tárgyalásokra vonatkozó megbízatásukban mind a Parlament, mind a Tanács úgy döntött, hogy a javasolt rendelet hatályát az </w:t>
      </w:r>
      <w:proofErr w:type="spellStart"/>
      <w:r w:rsidRPr="0028700A">
        <w:rPr>
          <w:color w:val="000000" w:themeColor="text1"/>
        </w:rPr>
        <w:t>Europol</w:t>
      </w:r>
      <w:proofErr w:type="spellEnd"/>
      <w:r w:rsidRPr="0028700A">
        <w:rPr>
          <w:color w:val="000000" w:themeColor="text1"/>
        </w:rPr>
        <w:t xml:space="preserve"> meglévő megbízatásának módosításaira korlátozza, azonban a jogalapot változatlanul hagyta. A javasolt rendelet céljának és tartalmának ily módon történő korlátozásáról ezt követően az intézményközi tárgyalások során ideiglenes megállapodás született. Következésképpen szükségesnek tűnt a jogalap kiigazítása oly módon, hogy a jogi aktus alapjául kizárólag az EUMSZ 88. cikk (2) bekezdése szolgáljon, vagyis törölni kell az EUSZ 85. cikkének (1) bekezdésére és 87. cikkének (2) bekezdésére való hivatkozásokat.</w:t>
      </w:r>
    </w:p>
    <w:p w14:paraId="32592EA8" w14:textId="77777777" w:rsidR="00FC1E12" w:rsidRPr="0028700A" w:rsidRDefault="00FC1E12" w:rsidP="00FC1E12">
      <w:pPr>
        <w:jc w:val="both"/>
        <w:rPr>
          <w:color w:val="000000" w:themeColor="text1"/>
        </w:rPr>
      </w:pPr>
    </w:p>
    <w:p w14:paraId="225FC317" w14:textId="77777777" w:rsidR="00FC1E12" w:rsidRPr="0028700A" w:rsidRDefault="00FC1E12" w:rsidP="006A4CE5">
      <w:pPr>
        <w:spacing w:after="240"/>
      </w:pPr>
      <w:r w:rsidRPr="0028700A">
        <w:rPr>
          <w:color w:val="000000" w:themeColor="text1"/>
        </w:rPr>
        <w:t>Az eljárási szabályzat 41. cikkének (2) bekezdése alapján a LIBE bizottság ezért felkéri a JURI bizottságot, hogy nyilvánítson véleményt az így módosított jogalap megfelelőségéről.</w:t>
      </w:r>
    </w:p>
    <w:p w14:paraId="4ECC1DF3" w14:textId="77777777" w:rsidR="00FC1E12" w:rsidRPr="0028700A" w:rsidRDefault="00FC1E12" w:rsidP="00FC1E12">
      <w:pPr>
        <w:tabs>
          <w:tab w:val="left" w:pos="567"/>
          <w:tab w:val="left" w:pos="7014"/>
        </w:tabs>
        <w:spacing w:after="240"/>
        <w:ind w:left="567" w:hanging="567"/>
        <w:rPr>
          <w:rStyle w:val="Nessuno"/>
          <w:b/>
          <w:bCs/>
        </w:rPr>
      </w:pPr>
      <w:r w:rsidRPr="0028700A">
        <w:rPr>
          <w:b/>
          <w:u w:val="single"/>
        </w:rPr>
        <w:t>II – A Szerződés vonatkozó cikkei</w:t>
      </w:r>
    </w:p>
    <w:p w14:paraId="07A5CFE4" w14:textId="77777777" w:rsidR="00FC1E12" w:rsidRPr="0028700A" w:rsidRDefault="00FC1E12" w:rsidP="006A4CE5">
      <w:pPr>
        <w:tabs>
          <w:tab w:val="left" w:pos="7014"/>
        </w:tabs>
        <w:rPr>
          <w:rStyle w:val="Nessuno"/>
          <w:bCs/>
        </w:rPr>
      </w:pPr>
      <w:r w:rsidRPr="0028700A">
        <w:rPr>
          <w:rStyle w:val="Nessuno"/>
        </w:rPr>
        <w:t>Az EUMSZ harmadik része V. címének 4. fejezete („Igazságügyi együttműködés büntetőügyekben”) többek között a következőképpen szól (utólagos kiemelés):</w:t>
      </w:r>
    </w:p>
    <w:p w14:paraId="7F2524C8" w14:textId="77777777" w:rsidR="00FC1E12" w:rsidRDefault="00FC1E12" w:rsidP="00FC1E12">
      <w:pPr>
        <w:tabs>
          <w:tab w:val="left" w:pos="7014"/>
        </w:tabs>
        <w:rPr>
          <w:rStyle w:val="Nessuno"/>
          <w:bCs/>
          <w:i/>
        </w:rPr>
      </w:pPr>
    </w:p>
    <w:p w14:paraId="4F010D62" w14:textId="77777777" w:rsidR="00FC1E12" w:rsidRPr="0028700A" w:rsidRDefault="00FC1E12" w:rsidP="00FC1E12">
      <w:pPr>
        <w:tabs>
          <w:tab w:val="left" w:pos="7014"/>
        </w:tabs>
        <w:jc w:val="center"/>
        <w:rPr>
          <w:rStyle w:val="Nessuno"/>
          <w:bCs/>
          <w:i/>
        </w:rPr>
      </w:pPr>
      <w:r w:rsidRPr="0028700A">
        <w:rPr>
          <w:rStyle w:val="Nessuno"/>
          <w:i/>
        </w:rPr>
        <w:t>85. cikk</w:t>
      </w:r>
    </w:p>
    <w:p w14:paraId="766B44D6" w14:textId="77777777" w:rsidR="00FC1E12" w:rsidRPr="0028700A" w:rsidRDefault="00FC1E12" w:rsidP="00FC1E12">
      <w:pPr>
        <w:tabs>
          <w:tab w:val="left" w:pos="7014"/>
        </w:tabs>
        <w:jc w:val="center"/>
        <w:rPr>
          <w:rStyle w:val="Nessuno"/>
          <w:bCs/>
          <w:i/>
        </w:rPr>
      </w:pPr>
      <w:r w:rsidRPr="0028700A">
        <w:rPr>
          <w:i/>
        </w:rPr>
        <w:t xml:space="preserve">(az </w:t>
      </w:r>
      <w:proofErr w:type="spellStart"/>
      <w:r w:rsidRPr="0028700A">
        <w:rPr>
          <w:i/>
        </w:rPr>
        <w:t>EUSz</w:t>
      </w:r>
      <w:proofErr w:type="spellEnd"/>
      <w:r w:rsidRPr="0028700A">
        <w:rPr>
          <w:i/>
        </w:rPr>
        <w:t>. korábbi 31. cikke)</w:t>
      </w:r>
    </w:p>
    <w:p w14:paraId="0C3CB696" w14:textId="77777777" w:rsidR="00FC1E12" w:rsidRPr="0028700A" w:rsidRDefault="00FC1E12" w:rsidP="00FC1E12">
      <w:pPr>
        <w:tabs>
          <w:tab w:val="left" w:pos="7014"/>
        </w:tabs>
        <w:jc w:val="both"/>
        <w:rPr>
          <w:rStyle w:val="Nessuno"/>
          <w:bCs/>
          <w:i/>
        </w:rPr>
      </w:pPr>
    </w:p>
    <w:p w14:paraId="44E8C38A" w14:textId="77777777" w:rsidR="00571C42" w:rsidRPr="0028700A" w:rsidRDefault="00571C42" w:rsidP="00C82F7E">
      <w:pPr>
        <w:tabs>
          <w:tab w:val="left" w:pos="7014"/>
        </w:tabs>
        <w:ind w:left="360" w:hanging="360"/>
        <w:jc w:val="both"/>
        <w:rPr>
          <w:rStyle w:val="Nessuno"/>
          <w:b/>
          <w:i/>
        </w:rPr>
      </w:pPr>
      <w:r w:rsidRPr="0028700A">
        <w:rPr>
          <w:rStyle w:val="Nessuno"/>
          <w:b/>
          <w:i/>
        </w:rPr>
        <w:t>(1)</w:t>
      </w:r>
      <w:r w:rsidRPr="0028700A">
        <w:rPr>
          <w:rStyle w:val="Nessuno"/>
          <w:b/>
          <w:i/>
        </w:rPr>
        <w:tab/>
        <w:t xml:space="preserve">Az </w:t>
      </w:r>
      <w:proofErr w:type="spellStart"/>
      <w:r w:rsidRPr="0028700A">
        <w:rPr>
          <w:rStyle w:val="Nessuno"/>
          <w:b/>
          <w:i/>
        </w:rPr>
        <w:t>Eurojust</w:t>
      </w:r>
      <w:proofErr w:type="spellEnd"/>
      <w:r w:rsidRPr="0028700A">
        <w:rPr>
          <w:rStyle w:val="Nessuno"/>
          <w:b/>
          <w:i/>
        </w:rPr>
        <w:t xml:space="preserve"> feladata a két vagy több tagállamot érintő, illetve a közös alapokon való bűnüldözést szükségessé tevő súlyos bűncselekmények kivizsgálására, valamint az ezekkel kapcsolatos büntetőeljárás lefolytatására hatáskörrel rendelkező nemzeti bűnüldöző hatóságok közötti megfelelő koordináció és együttműködés támogatása és erősítése a nemzeti hatóságok, illetve az </w:t>
      </w:r>
      <w:proofErr w:type="spellStart"/>
      <w:r w:rsidRPr="0028700A">
        <w:rPr>
          <w:rStyle w:val="Nessuno"/>
          <w:b/>
          <w:i/>
        </w:rPr>
        <w:t>Europol</w:t>
      </w:r>
      <w:proofErr w:type="spellEnd"/>
      <w:r w:rsidRPr="0028700A">
        <w:rPr>
          <w:rStyle w:val="Nessuno"/>
          <w:b/>
          <w:i/>
        </w:rPr>
        <w:t xml:space="preserve"> által végzett operatív cselekmények és az általuk szolgáltatott információk alapján.</w:t>
      </w:r>
    </w:p>
    <w:p w14:paraId="30A2711B" w14:textId="77777777" w:rsidR="00571C42" w:rsidRPr="0028700A" w:rsidRDefault="00571C42" w:rsidP="00571C42">
      <w:pPr>
        <w:tabs>
          <w:tab w:val="left" w:pos="7014"/>
        </w:tabs>
        <w:ind w:left="426" w:hanging="426"/>
        <w:jc w:val="both"/>
        <w:rPr>
          <w:rStyle w:val="Nessuno"/>
          <w:b/>
          <w:i/>
        </w:rPr>
      </w:pPr>
      <w:r w:rsidRPr="0028700A">
        <w:rPr>
          <w:rStyle w:val="Nessuno"/>
          <w:b/>
          <w:i/>
        </w:rPr>
        <w:tab/>
        <w:t xml:space="preserve">Ebben az összefüggésben az </w:t>
      </w:r>
      <w:proofErr w:type="spellStart"/>
      <w:r w:rsidRPr="0028700A">
        <w:rPr>
          <w:rStyle w:val="Nessuno"/>
          <w:b/>
          <w:i/>
        </w:rPr>
        <w:t>Eurojust</w:t>
      </w:r>
      <w:proofErr w:type="spellEnd"/>
      <w:r w:rsidRPr="0028700A">
        <w:rPr>
          <w:rStyle w:val="Nessuno"/>
          <w:b/>
          <w:i/>
        </w:rPr>
        <w:t xml:space="preserve"> felépítését, működését, tevékenységi területét és feladatait rendes jogalkotási eljárás keretében elfogadott rendeletekben az Európai Parlament és a Tanács határozza meg. E feladatok a következőket foglalhatják magukban:</w:t>
      </w:r>
    </w:p>
    <w:p w14:paraId="62D9E8D5" w14:textId="77777777" w:rsidR="00571C42" w:rsidRPr="0028700A" w:rsidRDefault="00571C42" w:rsidP="00571C42">
      <w:pPr>
        <w:tabs>
          <w:tab w:val="left" w:pos="7014"/>
        </w:tabs>
        <w:ind w:left="426" w:hanging="426"/>
        <w:jc w:val="both"/>
        <w:rPr>
          <w:rStyle w:val="Nessuno"/>
          <w:b/>
          <w:i/>
        </w:rPr>
      </w:pPr>
    </w:p>
    <w:p w14:paraId="5CC60CEB" w14:textId="129F0D4B" w:rsidR="00571C42" w:rsidRPr="0028700A" w:rsidRDefault="00571C42" w:rsidP="00571C42">
      <w:pPr>
        <w:tabs>
          <w:tab w:val="left" w:pos="7014"/>
        </w:tabs>
        <w:ind w:left="851" w:hanging="426"/>
        <w:jc w:val="both"/>
        <w:rPr>
          <w:rStyle w:val="Nessuno"/>
          <w:b/>
          <w:i/>
        </w:rPr>
      </w:pPr>
      <w:r w:rsidRPr="0028700A">
        <w:rPr>
          <w:rStyle w:val="Nessuno"/>
          <w:b/>
          <w:i/>
        </w:rPr>
        <w:t>a)</w:t>
      </w:r>
      <w:r w:rsidRPr="0028700A">
        <w:rPr>
          <w:rStyle w:val="Nessuno"/>
          <w:b/>
          <w:i/>
        </w:rPr>
        <w:tab/>
        <w:t>az illetékes nemzeti hatóságok által lefolytatandó nyomozások megindítása, illetve javaslattétel a nemzeti hatóságok által lefolytatandó bűnvádi eljárások megindítására különösen az Unió pénzügyi érdekeit sértő bűncselekmények vonatkozásában,</w:t>
      </w:r>
    </w:p>
    <w:p w14:paraId="34EA6F89" w14:textId="77777777" w:rsidR="00571C42" w:rsidRPr="0028700A" w:rsidRDefault="00571C42" w:rsidP="00571C42">
      <w:pPr>
        <w:tabs>
          <w:tab w:val="left" w:pos="7014"/>
        </w:tabs>
        <w:ind w:left="851" w:hanging="426"/>
        <w:jc w:val="both"/>
        <w:rPr>
          <w:rStyle w:val="Nessuno"/>
          <w:b/>
          <w:i/>
        </w:rPr>
      </w:pPr>
    </w:p>
    <w:p w14:paraId="20C59E48" w14:textId="7ACDA8BF" w:rsidR="00571C42" w:rsidRPr="0028700A" w:rsidRDefault="00571C42" w:rsidP="00571C42">
      <w:pPr>
        <w:tabs>
          <w:tab w:val="left" w:pos="7014"/>
        </w:tabs>
        <w:ind w:left="851" w:hanging="426"/>
        <w:jc w:val="both"/>
        <w:rPr>
          <w:rStyle w:val="Nessuno"/>
          <w:b/>
          <w:i/>
        </w:rPr>
      </w:pPr>
      <w:r w:rsidRPr="0028700A">
        <w:rPr>
          <w:rStyle w:val="Nessuno"/>
          <w:b/>
          <w:i/>
        </w:rPr>
        <w:t>b)</w:t>
      </w:r>
      <w:r w:rsidRPr="0028700A">
        <w:rPr>
          <w:rStyle w:val="Nessuno"/>
          <w:b/>
          <w:i/>
        </w:rPr>
        <w:tab/>
        <w:t>az a) pontban említett nyomozások és bűnvádi eljárások kezdeményezésének összehangolása,</w:t>
      </w:r>
    </w:p>
    <w:p w14:paraId="5855FCE2" w14:textId="77777777" w:rsidR="00571C42" w:rsidRPr="0028700A" w:rsidRDefault="00571C42" w:rsidP="00571C42">
      <w:pPr>
        <w:tabs>
          <w:tab w:val="left" w:pos="7014"/>
        </w:tabs>
        <w:ind w:left="851" w:hanging="426"/>
        <w:jc w:val="both"/>
        <w:rPr>
          <w:rStyle w:val="Nessuno"/>
          <w:b/>
          <w:i/>
        </w:rPr>
      </w:pPr>
    </w:p>
    <w:p w14:paraId="75D343F0" w14:textId="3ECF918F" w:rsidR="00571C42" w:rsidRPr="0028700A" w:rsidRDefault="00571C42" w:rsidP="00571C42">
      <w:pPr>
        <w:tabs>
          <w:tab w:val="left" w:pos="7014"/>
        </w:tabs>
        <w:ind w:left="851" w:hanging="426"/>
        <w:jc w:val="both"/>
        <w:rPr>
          <w:rStyle w:val="Nessuno"/>
          <w:b/>
          <w:i/>
        </w:rPr>
      </w:pPr>
      <w:r w:rsidRPr="0028700A">
        <w:rPr>
          <w:rStyle w:val="Nessuno"/>
          <w:b/>
          <w:i/>
        </w:rPr>
        <w:lastRenderedPageBreak/>
        <w:t>c)</w:t>
      </w:r>
      <w:r w:rsidRPr="0028700A">
        <w:rPr>
          <w:rStyle w:val="Nessuno"/>
          <w:b/>
          <w:i/>
        </w:rPr>
        <w:tab/>
        <w:t>az igazságügyi együttműködés erősítése, többek között a joghatósági összeütközések feloldása, valamint az Európai Igazságügyi Hálózattal való szoros együttműködés révén.</w:t>
      </w:r>
    </w:p>
    <w:p w14:paraId="44E24639" w14:textId="77777777" w:rsidR="00571C42" w:rsidRPr="0028700A" w:rsidRDefault="00571C42" w:rsidP="00571C42">
      <w:pPr>
        <w:tabs>
          <w:tab w:val="left" w:pos="7014"/>
        </w:tabs>
        <w:ind w:left="851" w:hanging="426"/>
        <w:jc w:val="both"/>
        <w:rPr>
          <w:rStyle w:val="Nessuno"/>
          <w:b/>
          <w:i/>
        </w:rPr>
      </w:pPr>
    </w:p>
    <w:p w14:paraId="37ACD23F" w14:textId="77777777" w:rsidR="00571C42" w:rsidRPr="0028700A" w:rsidRDefault="00571C42" w:rsidP="00C5783B">
      <w:pPr>
        <w:tabs>
          <w:tab w:val="left" w:pos="7014"/>
        </w:tabs>
        <w:ind w:left="426"/>
        <w:jc w:val="both"/>
        <w:rPr>
          <w:rStyle w:val="Nessuno"/>
          <w:b/>
          <w:bCs/>
          <w:i/>
        </w:rPr>
      </w:pPr>
      <w:r w:rsidRPr="0028700A">
        <w:rPr>
          <w:rStyle w:val="Nessuno"/>
          <w:b/>
          <w:i/>
        </w:rPr>
        <w:t xml:space="preserve">E rendeletekben kell továbbá meghatározni azokat a szabályokat, amelyek alapján az Európai Parlament és a nemzeti parlamentek részt vesznek az </w:t>
      </w:r>
      <w:proofErr w:type="spellStart"/>
      <w:r w:rsidRPr="0028700A">
        <w:rPr>
          <w:rStyle w:val="Nessuno"/>
          <w:b/>
          <w:i/>
        </w:rPr>
        <w:t>Eurojust</w:t>
      </w:r>
      <w:proofErr w:type="spellEnd"/>
      <w:r w:rsidRPr="0028700A">
        <w:rPr>
          <w:rStyle w:val="Nessuno"/>
          <w:b/>
          <w:i/>
        </w:rPr>
        <w:t xml:space="preserve"> tevékenységének értékelésében.</w:t>
      </w:r>
    </w:p>
    <w:p w14:paraId="7C0A970C" w14:textId="77777777" w:rsidR="00FC1E12" w:rsidRPr="0028700A" w:rsidRDefault="00FC1E12" w:rsidP="00FC1E12">
      <w:pPr>
        <w:tabs>
          <w:tab w:val="left" w:pos="7014"/>
        </w:tabs>
        <w:jc w:val="both"/>
        <w:rPr>
          <w:rStyle w:val="Nessuno"/>
          <w:bCs/>
          <w:i/>
        </w:rPr>
      </w:pPr>
    </w:p>
    <w:p w14:paraId="3D51913C" w14:textId="77777777" w:rsidR="00FC1E12" w:rsidRPr="0028700A" w:rsidRDefault="00FC1E12" w:rsidP="00FC1E12">
      <w:pPr>
        <w:tabs>
          <w:tab w:val="left" w:pos="7014"/>
        </w:tabs>
        <w:ind w:left="426" w:hanging="426"/>
        <w:jc w:val="both"/>
        <w:rPr>
          <w:rStyle w:val="Nessuno"/>
          <w:bCs/>
          <w:i/>
        </w:rPr>
      </w:pPr>
      <w:r w:rsidRPr="0028700A">
        <w:rPr>
          <w:rStyle w:val="Nessuno"/>
          <w:i/>
        </w:rPr>
        <w:t>(...)</w:t>
      </w:r>
    </w:p>
    <w:p w14:paraId="7D3D7798" w14:textId="77777777" w:rsidR="00FC1E12" w:rsidRPr="0028700A" w:rsidRDefault="00FC1E12" w:rsidP="00FC1E12">
      <w:pPr>
        <w:tabs>
          <w:tab w:val="left" w:pos="7014"/>
        </w:tabs>
        <w:ind w:left="426" w:hanging="426"/>
        <w:jc w:val="both"/>
        <w:rPr>
          <w:rStyle w:val="Nessuno"/>
          <w:bCs/>
          <w:i/>
        </w:rPr>
      </w:pPr>
    </w:p>
    <w:p w14:paraId="3A220964" w14:textId="77777777" w:rsidR="00FC1E12" w:rsidRPr="0028700A" w:rsidRDefault="00FC1E12" w:rsidP="006A4CE5">
      <w:pPr>
        <w:tabs>
          <w:tab w:val="left" w:pos="7014"/>
        </w:tabs>
        <w:rPr>
          <w:rStyle w:val="Nessuno"/>
          <w:bCs/>
        </w:rPr>
      </w:pPr>
      <w:r w:rsidRPr="0028700A">
        <w:rPr>
          <w:rStyle w:val="Nessuno"/>
        </w:rPr>
        <w:t>Az EUMSZ harmadik része V. címének 5. fejezete („Rendőrségi együttműködés”) többek között a következőképpen szól (utólagos kiemelés):</w:t>
      </w:r>
    </w:p>
    <w:p w14:paraId="46CF0EE1" w14:textId="77777777" w:rsidR="00FC1E12" w:rsidRPr="0028700A" w:rsidRDefault="00FC1E12" w:rsidP="00FC1E12">
      <w:pPr>
        <w:tabs>
          <w:tab w:val="left" w:pos="7014"/>
        </w:tabs>
        <w:jc w:val="both"/>
        <w:rPr>
          <w:rStyle w:val="Nessuno"/>
          <w:bCs/>
        </w:rPr>
      </w:pPr>
    </w:p>
    <w:p w14:paraId="107AA781" w14:textId="77777777" w:rsidR="00FC1E12" w:rsidRPr="0028700A" w:rsidRDefault="00FC1E12" w:rsidP="00FC1E12">
      <w:pPr>
        <w:tabs>
          <w:tab w:val="left" w:pos="7014"/>
        </w:tabs>
        <w:jc w:val="center"/>
        <w:rPr>
          <w:rStyle w:val="Nessuno"/>
          <w:bCs/>
          <w:i/>
        </w:rPr>
      </w:pPr>
      <w:r w:rsidRPr="0028700A">
        <w:rPr>
          <w:rStyle w:val="Nessuno"/>
          <w:i/>
        </w:rPr>
        <w:t>87. cikk</w:t>
      </w:r>
    </w:p>
    <w:p w14:paraId="4C78CA91" w14:textId="77777777" w:rsidR="00FC1E12" w:rsidRPr="0028700A" w:rsidRDefault="00FC1E12" w:rsidP="00FC1E12">
      <w:pPr>
        <w:tabs>
          <w:tab w:val="left" w:pos="7014"/>
        </w:tabs>
        <w:jc w:val="center"/>
        <w:rPr>
          <w:rStyle w:val="Nessuno"/>
          <w:bCs/>
          <w:i/>
        </w:rPr>
      </w:pPr>
      <w:r w:rsidRPr="0028700A">
        <w:rPr>
          <w:rStyle w:val="Nessuno"/>
          <w:i/>
        </w:rPr>
        <w:t xml:space="preserve">(az </w:t>
      </w:r>
      <w:proofErr w:type="spellStart"/>
      <w:r w:rsidRPr="0028700A">
        <w:rPr>
          <w:rStyle w:val="Nessuno"/>
          <w:i/>
        </w:rPr>
        <w:t>EUSz</w:t>
      </w:r>
      <w:proofErr w:type="spellEnd"/>
      <w:r w:rsidRPr="0028700A">
        <w:rPr>
          <w:rStyle w:val="Nessuno"/>
          <w:i/>
        </w:rPr>
        <w:t>. korábbi 30. cikke)</w:t>
      </w:r>
    </w:p>
    <w:p w14:paraId="50FFFA30" w14:textId="77777777" w:rsidR="00FC1E12" w:rsidRPr="0028700A" w:rsidRDefault="00FC1E12" w:rsidP="00FC1E12">
      <w:pPr>
        <w:tabs>
          <w:tab w:val="left" w:pos="7014"/>
        </w:tabs>
        <w:jc w:val="center"/>
        <w:rPr>
          <w:rStyle w:val="Nessuno"/>
          <w:bCs/>
          <w:i/>
        </w:rPr>
      </w:pPr>
    </w:p>
    <w:p w14:paraId="072DD14B" w14:textId="77777777" w:rsidR="00FC1E12" w:rsidRPr="0028700A" w:rsidRDefault="00FC1E12" w:rsidP="00FC1E12">
      <w:pPr>
        <w:tabs>
          <w:tab w:val="left" w:pos="7014"/>
        </w:tabs>
        <w:ind w:left="426" w:hanging="426"/>
        <w:jc w:val="both"/>
        <w:rPr>
          <w:rStyle w:val="Nessuno"/>
          <w:bCs/>
          <w:i/>
        </w:rPr>
      </w:pPr>
      <w:r w:rsidRPr="0028700A">
        <w:rPr>
          <w:rStyle w:val="Nessuno"/>
          <w:i/>
        </w:rPr>
        <w:t>(1)</w:t>
      </w:r>
      <w:r w:rsidRPr="0028700A">
        <w:rPr>
          <w:rStyle w:val="Nessuno"/>
          <w:i/>
        </w:rPr>
        <w:tab/>
        <w:t>Az Unió rendőrségi együttműködést alakít ki, amelyben részt vesz a tagállamok valamennyi hatáskörrel rendelkező hatósága, köztük a tagállamok rendőrségei, vámhatóságai és a bűncselekmények megelőzésére és felderítésére szakosodott egyéb bűnüldöző szolgálatai.</w:t>
      </w:r>
    </w:p>
    <w:p w14:paraId="03C2D329" w14:textId="77777777" w:rsidR="00FC1E12" w:rsidRPr="0028700A" w:rsidRDefault="00FC1E12" w:rsidP="00FC1E12">
      <w:pPr>
        <w:tabs>
          <w:tab w:val="left" w:pos="7014"/>
        </w:tabs>
        <w:jc w:val="both"/>
        <w:rPr>
          <w:rStyle w:val="Nessuno"/>
          <w:bCs/>
          <w:i/>
        </w:rPr>
      </w:pPr>
    </w:p>
    <w:p w14:paraId="642B861D" w14:textId="01B7E4D3" w:rsidR="00FC1E12" w:rsidRPr="0028700A" w:rsidRDefault="00FC1E12" w:rsidP="00FC1E12">
      <w:pPr>
        <w:tabs>
          <w:tab w:val="left" w:pos="7014"/>
        </w:tabs>
        <w:ind w:left="426" w:hanging="426"/>
        <w:jc w:val="both"/>
        <w:rPr>
          <w:rStyle w:val="Nessuno"/>
          <w:b/>
          <w:i/>
        </w:rPr>
      </w:pPr>
      <w:r w:rsidRPr="0028700A">
        <w:rPr>
          <w:rStyle w:val="Nessuno"/>
          <w:b/>
          <w:i/>
        </w:rPr>
        <w:t>(2)</w:t>
      </w:r>
      <w:r w:rsidRPr="0028700A">
        <w:rPr>
          <w:rStyle w:val="Nessuno"/>
          <w:b/>
          <w:i/>
        </w:rPr>
        <w:tab/>
        <w:t>Az (1) bekezdésben foglaltak céljából az Európai Parlament és a Tanács rendes jogalkotási eljárás keretében intézkedéseket állapíthat meg a következőkre vonatkozóan:</w:t>
      </w:r>
    </w:p>
    <w:p w14:paraId="74C4E58B" w14:textId="77777777" w:rsidR="00FC1E12" w:rsidRPr="0028700A" w:rsidRDefault="00FC1E12" w:rsidP="00FC1E12">
      <w:pPr>
        <w:tabs>
          <w:tab w:val="left" w:pos="7014"/>
        </w:tabs>
        <w:jc w:val="both"/>
        <w:rPr>
          <w:rStyle w:val="Nessuno"/>
          <w:b/>
          <w:i/>
        </w:rPr>
      </w:pPr>
    </w:p>
    <w:p w14:paraId="40A6EBA0" w14:textId="77777777" w:rsidR="00FC1E12" w:rsidRPr="0028700A" w:rsidRDefault="00FC1E12" w:rsidP="00FC1E12">
      <w:pPr>
        <w:tabs>
          <w:tab w:val="left" w:pos="7014"/>
        </w:tabs>
        <w:ind w:left="851" w:hanging="425"/>
        <w:jc w:val="both"/>
        <w:rPr>
          <w:rStyle w:val="Nessuno"/>
          <w:b/>
          <w:i/>
        </w:rPr>
      </w:pPr>
      <w:r w:rsidRPr="0028700A">
        <w:rPr>
          <w:rStyle w:val="Nessuno"/>
          <w:b/>
          <w:i/>
        </w:rPr>
        <w:t>a)</w:t>
      </w:r>
      <w:r w:rsidRPr="0028700A">
        <w:rPr>
          <w:rStyle w:val="Nessuno"/>
          <w:b/>
          <w:i/>
        </w:rPr>
        <w:tab/>
        <w:t>a releváns információk összegyűjtése, tárolása, feldolgozása, elemzése és cseréje,</w:t>
      </w:r>
    </w:p>
    <w:p w14:paraId="5EAA22C7" w14:textId="77777777" w:rsidR="00FC1E12" w:rsidRPr="0028700A" w:rsidRDefault="00FC1E12" w:rsidP="00FC1E12">
      <w:pPr>
        <w:tabs>
          <w:tab w:val="left" w:pos="7014"/>
        </w:tabs>
        <w:ind w:left="851" w:hanging="425"/>
        <w:jc w:val="both"/>
        <w:rPr>
          <w:rStyle w:val="Nessuno"/>
          <w:b/>
          <w:i/>
        </w:rPr>
      </w:pPr>
    </w:p>
    <w:p w14:paraId="40051B56" w14:textId="77777777" w:rsidR="00FC1E12" w:rsidRPr="0028700A" w:rsidRDefault="00FC1E12" w:rsidP="00FC1E12">
      <w:pPr>
        <w:tabs>
          <w:tab w:val="left" w:pos="7014"/>
        </w:tabs>
        <w:ind w:left="851" w:hanging="425"/>
        <w:jc w:val="both"/>
        <w:rPr>
          <w:rStyle w:val="Nessuno"/>
          <w:b/>
          <w:i/>
        </w:rPr>
      </w:pPr>
      <w:r w:rsidRPr="0028700A">
        <w:rPr>
          <w:rStyle w:val="Nessuno"/>
          <w:b/>
          <w:i/>
        </w:rPr>
        <w:t>b)</w:t>
      </w:r>
      <w:r w:rsidRPr="0028700A">
        <w:rPr>
          <w:rStyle w:val="Nessuno"/>
          <w:b/>
          <w:i/>
        </w:rPr>
        <w:tab/>
        <w:t>az állomány képzésének támogatása, valamint együttműködés az állomány egymás közötti cseréje, a felszerelések használata és a kriminalisztikai kutatások terén,</w:t>
      </w:r>
    </w:p>
    <w:p w14:paraId="1EF6936D" w14:textId="77777777" w:rsidR="00FC1E12" w:rsidRPr="0028700A" w:rsidRDefault="00FC1E12" w:rsidP="00FC1E12">
      <w:pPr>
        <w:tabs>
          <w:tab w:val="left" w:pos="7014"/>
        </w:tabs>
        <w:ind w:left="851" w:hanging="425"/>
        <w:jc w:val="both"/>
        <w:rPr>
          <w:rStyle w:val="Nessuno"/>
          <w:b/>
          <w:i/>
        </w:rPr>
      </w:pPr>
    </w:p>
    <w:p w14:paraId="748286A0" w14:textId="77777777" w:rsidR="00FC1E12" w:rsidRPr="0028700A" w:rsidRDefault="00FC1E12" w:rsidP="00FC1E12">
      <w:pPr>
        <w:tabs>
          <w:tab w:val="left" w:pos="7014"/>
        </w:tabs>
        <w:ind w:left="851" w:hanging="425"/>
        <w:jc w:val="both"/>
        <w:rPr>
          <w:rStyle w:val="Nessuno"/>
          <w:b/>
          <w:i/>
        </w:rPr>
      </w:pPr>
      <w:r w:rsidRPr="0028700A">
        <w:rPr>
          <w:rStyle w:val="Nessuno"/>
          <w:b/>
          <w:i/>
        </w:rPr>
        <w:t>c)</w:t>
      </w:r>
      <w:r w:rsidRPr="0028700A">
        <w:rPr>
          <w:rStyle w:val="Nessuno"/>
          <w:b/>
          <w:i/>
        </w:rPr>
        <w:tab/>
        <w:t>a szervezett bűnözés súlyos formáinak felderítésére vonatkozó közös nyomozási technikák.</w:t>
      </w:r>
    </w:p>
    <w:p w14:paraId="4E7393A6" w14:textId="77777777" w:rsidR="00FC1E12" w:rsidRPr="0028700A" w:rsidRDefault="00FC1E12" w:rsidP="00FC1E12">
      <w:pPr>
        <w:tabs>
          <w:tab w:val="left" w:pos="7014"/>
        </w:tabs>
        <w:jc w:val="both"/>
        <w:rPr>
          <w:rStyle w:val="Nessuno"/>
          <w:bCs/>
          <w:i/>
        </w:rPr>
      </w:pPr>
    </w:p>
    <w:p w14:paraId="42F413F5" w14:textId="77777777" w:rsidR="00FC1E12" w:rsidRPr="0028700A" w:rsidRDefault="00FC1E12" w:rsidP="00FC1E12">
      <w:pPr>
        <w:tabs>
          <w:tab w:val="left" w:pos="7014"/>
        </w:tabs>
        <w:jc w:val="both"/>
        <w:rPr>
          <w:rStyle w:val="Nessuno"/>
          <w:bCs/>
          <w:i/>
        </w:rPr>
      </w:pPr>
      <w:r w:rsidRPr="0028700A">
        <w:rPr>
          <w:rStyle w:val="Nessuno"/>
          <w:i/>
        </w:rPr>
        <w:t>(...)</w:t>
      </w:r>
    </w:p>
    <w:p w14:paraId="28AE70E0" w14:textId="77777777" w:rsidR="00FC1E12" w:rsidRPr="0028700A" w:rsidRDefault="00FC1E12" w:rsidP="00FC1E12">
      <w:pPr>
        <w:tabs>
          <w:tab w:val="left" w:pos="7014"/>
        </w:tabs>
        <w:jc w:val="both"/>
        <w:rPr>
          <w:rStyle w:val="Nessuno"/>
          <w:bCs/>
          <w:i/>
        </w:rPr>
      </w:pPr>
    </w:p>
    <w:p w14:paraId="472D172B" w14:textId="77777777" w:rsidR="00FC1E12" w:rsidRPr="0028700A" w:rsidRDefault="00FC1E12" w:rsidP="00FC1E12">
      <w:pPr>
        <w:tabs>
          <w:tab w:val="left" w:pos="7014"/>
        </w:tabs>
        <w:jc w:val="center"/>
        <w:rPr>
          <w:rStyle w:val="Nessuno"/>
          <w:bCs/>
          <w:i/>
        </w:rPr>
      </w:pPr>
      <w:r w:rsidRPr="0028700A">
        <w:rPr>
          <w:rStyle w:val="Nessuno"/>
          <w:i/>
        </w:rPr>
        <w:t>88. cikk</w:t>
      </w:r>
    </w:p>
    <w:p w14:paraId="27DEA5A3" w14:textId="77777777" w:rsidR="00FC1E12" w:rsidRPr="0028700A" w:rsidRDefault="00FC1E12" w:rsidP="00FC1E12">
      <w:pPr>
        <w:tabs>
          <w:tab w:val="left" w:pos="7014"/>
        </w:tabs>
        <w:jc w:val="center"/>
        <w:rPr>
          <w:rStyle w:val="Nessuno"/>
          <w:bCs/>
          <w:i/>
        </w:rPr>
      </w:pPr>
      <w:r w:rsidRPr="0028700A">
        <w:rPr>
          <w:rStyle w:val="Nessuno"/>
          <w:i/>
        </w:rPr>
        <w:t xml:space="preserve">(az </w:t>
      </w:r>
      <w:proofErr w:type="spellStart"/>
      <w:r w:rsidRPr="0028700A">
        <w:rPr>
          <w:rStyle w:val="Nessuno"/>
          <w:i/>
        </w:rPr>
        <w:t>EUSz</w:t>
      </w:r>
      <w:proofErr w:type="spellEnd"/>
      <w:r w:rsidRPr="0028700A">
        <w:rPr>
          <w:rStyle w:val="Nessuno"/>
          <w:i/>
        </w:rPr>
        <w:t>. korábbi 30. cikke)</w:t>
      </w:r>
    </w:p>
    <w:p w14:paraId="23852FF7" w14:textId="77777777" w:rsidR="00FC1E12" w:rsidRPr="0028700A" w:rsidRDefault="00FC1E12" w:rsidP="00FC1E12">
      <w:pPr>
        <w:tabs>
          <w:tab w:val="left" w:pos="7014"/>
        </w:tabs>
        <w:jc w:val="center"/>
        <w:rPr>
          <w:rStyle w:val="Nessuno"/>
          <w:bCs/>
          <w:i/>
        </w:rPr>
      </w:pPr>
    </w:p>
    <w:p w14:paraId="478DD0BA" w14:textId="06D22E39" w:rsidR="00FC1E12" w:rsidRPr="0028700A" w:rsidRDefault="00FC1E12" w:rsidP="00FC1E12">
      <w:pPr>
        <w:tabs>
          <w:tab w:val="left" w:pos="7014"/>
        </w:tabs>
        <w:ind w:left="426" w:hanging="426"/>
        <w:jc w:val="both"/>
        <w:rPr>
          <w:rStyle w:val="Nessuno"/>
          <w:bCs/>
          <w:i/>
        </w:rPr>
      </w:pPr>
      <w:r w:rsidRPr="0028700A">
        <w:rPr>
          <w:rStyle w:val="Nessuno"/>
          <w:i/>
        </w:rPr>
        <w:t>(1)</w:t>
      </w:r>
      <w:r w:rsidRPr="0028700A">
        <w:rPr>
          <w:rStyle w:val="Nessuno"/>
          <w:i/>
        </w:rPr>
        <w:tab/>
        <w:t xml:space="preserve">Az </w:t>
      </w:r>
      <w:proofErr w:type="spellStart"/>
      <w:r w:rsidRPr="0028700A">
        <w:rPr>
          <w:rStyle w:val="Nessuno"/>
          <w:i/>
        </w:rPr>
        <w:t>Europol</w:t>
      </w:r>
      <w:proofErr w:type="spellEnd"/>
      <w:r w:rsidRPr="0028700A">
        <w:rPr>
          <w:rStyle w:val="Nessuno"/>
          <w:i/>
        </w:rPr>
        <w:t xml:space="preserve"> feladata, hogy támogassa és erősítse a tagállamok rendőri hatóságainak és egyéb bűnüldöző szolgálatainak tevékenységét, valamint a közöttük folytatott kölcsönös együttműködést a két vagy több tagállamot érintő bűncselekmények és a terrorizmus, valamint az uniós politikák alkalmazási körébe tartozó közös érdekeket sértő bűnözési formák megelőzése és üldözése terén.</w:t>
      </w:r>
    </w:p>
    <w:p w14:paraId="268D39AD" w14:textId="77777777" w:rsidR="00FC1E12" w:rsidRPr="0028700A" w:rsidRDefault="00FC1E12" w:rsidP="00FC1E12">
      <w:pPr>
        <w:tabs>
          <w:tab w:val="left" w:pos="7014"/>
        </w:tabs>
        <w:ind w:left="426" w:hanging="426"/>
        <w:jc w:val="both"/>
        <w:rPr>
          <w:rStyle w:val="Nessuno"/>
          <w:bCs/>
          <w:i/>
        </w:rPr>
      </w:pPr>
    </w:p>
    <w:p w14:paraId="12EA6DFA" w14:textId="484403B2" w:rsidR="00FC1E12" w:rsidRPr="0028700A" w:rsidRDefault="00FC1E12" w:rsidP="00FC1E12">
      <w:pPr>
        <w:tabs>
          <w:tab w:val="left" w:pos="7014"/>
        </w:tabs>
        <w:ind w:left="426" w:hanging="426"/>
        <w:jc w:val="both"/>
        <w:rPr>
          <w:rStyle w:val="Nessuno"/>
          <w:b/>
          <w:i/>
        </w:rPr>
      </w:pPr>
      <w:r w:rsidRPr="0028700A">
        <w:rPr>
          <w:rStyle w:val="Nessuno"/>
          <w:b/>
          <w:i/>
        </w:rPr>
        <w:t>(2)</w:t>
      </w:r>
      <w:r w:rsidRPr="0028700A">
        <w:rPr>
          <w:rStyle w:val="Nessuno"/>
          <w:b/>
          <w:i/>
        </w:rPr>
        <w:tab/>
        <w:t xml:space="preserve">Az </w:t>
      </w:r>
      <w:proofErr w:type="spellStart"/>
      <w:r w:rsidRPr="0028700A">
        <w:rPr>
          <w:rStyle w:val="Nessuno"/>
          <w:b/>
          <w:i/>
        </w:rPr>
        <w:t>Europol</w:t>
      </w:r>
      <w:proofErr w:type="spellEnd"/>
      <w:r w:rsidRPr="0028700A">
        <w:rPr>
          <w:rStyle w:val="Nessuno"/>
          <w:b/>
          <w:i/>
        </w:rPr>
        <w:t xml:space="preserve"> felépítését, működését, tevékenységi területét és feladatait rendes jogalkotási eljárás keretében elfogadott rendeletekben az Európai Parlament és a Tanács határozza meg. E feladatok a következőket foglalhatják magukban:</w:t>
      </w:r>
    </w:p>
    <w:p w14:paraId="4689D847" w14:textId="77777777" w:rsidR="00FC1E12" w:rsidRPr="0028700A" w:rsidRDefault="00FC1E12" w:rsidP="00FC1E12">
      <w:pPr>
        <w:tabs>
          <w:tab w:val="left" w:pos="7014"/>
        </w:tabs>
        <w:jc w:val="both"/>
        <w:rPr>
          <w:rStyle w:val="Nessuno"/>
          <w:b/>
          <w:i/>
        </w:rPr>
      </w:pPr>
    </w:p>
    <w:p w14:paraId="313AE812" w14:textId="77777777" w:rsidR="00FC1E12" w:rsidRPr="0028700A" w:rsidRDefault="00FC1E12" w:rsidP="00FC1E12">
      <w:pPr>
        <w:tabs>
          <w:tab w:val="left" w:pos="7014"/>
        </w:tabs>
        <w:ind w:left="851" w:hanging="425"/>
        <w:jc w:val="both"/>
        <w:rPr>
          <w:rStyle w:val="Nessuno"/>
          <w:b/>
          <w:i/>
        </w:rPr>
      </w:pPr>
      <w:r w:rsidRPr="0028700A">
        <w:rPr>
          <w:rStyle w:val="Nessuno"/>
          <w:b/>
          <w:i/>
        </w:rPr>
        <w:t>a)</w:t>
      </w:r>
      <w:r w:rsidRPr="0028700A">
        <w:rPr>
          <w:rStyle w:val="Nessuno"/>
          <w:b/>
          <w:i/>
        </w:rPr>
        <w:tab/>
        <w:t xml:space="preserve">az információk, így különösen a tagállamok vagy harmadik országok hatóságai, illetve az Unión kívüli szervezetek által szolgáltatott információk összegyűjtése, </w:t>
      </w:r>
      <w:r w:rsidRPr="0028700A">
        <w:rPr>
          <w:rStyle w:val="Nessuno"/>
          <w:b/>
          <w:i/>
        </w:rPr>
        <w:lastRenderedPageBreak/>
        <w:t>tárolása, feldolgozása, elemzése és cseréje,</w:t>
      </w:r>
    </w:p>
    <w:p w14:paraId="3BE5D0EF" w14:textId="77777777" w:rsidR="00FC1E12" w:rsidRPr="0028700A" w:rsidRDefault="00FC1E12" w:rsidP="00FC1E12">
      <w:pPr>
        <w:tabs>
          <w:tab w:val="left" w:pos="7014"/>
        </w:tabs>
        <w:ind w:left="851" w:hanging="425"/>
        <w:jc w:val="both"/>
        <w:rPr>
          <w:rStyle w:val="Nessuno"/>
          <w:b/>
          <w:i/>
        </w:rPr>
      </w:pPr>
    </w:p>
    <w:p w14:paraId="7A8D24DB" w14:textId="77777777" w:rsidR="00FC1E12" w:rsidRPr="0028700A" w:rsidRDefault="00FC1E12" w:rsidP="00FC1E12">
      <w:pPr>
        <w:tabs>
          <w:tab w:val="left" w:pos="7014"/>
        </w:tabs>
        <w:ind w:left="851" w:hanging="425"/>
        <w:jc w:val="both"/>
        <w:rPr>
          <w:rStyle w:val="Nessuno"/>
          <w:b/>
          <w:i/>
        </w:rPr>
      </w:pPr>
      <w:r w:rsidRPr="0028700A">
        <w:rPr>
          <w:rStyle w:val="Nessuno"/>
          <w:b/>
          <w:i/>
        </w:rPr>
        <w:t>b)</w:t>
      </w:r>
      <w:r w:rsidRPr="0028700A">
        <w:rPr>
          <w:rStyle w:val="Nessuno"/>
          <w:b/>
          <w:i/>
        </w:rPr>
        <w:tab/>
        <w:t xml:space="preserve">a tagállamok hatáskörrel rendelkező hatóságaival közösen vagy közös nyomozócsoportok keretében végzett nyomozati és operatív tevékenységek összehangolása, megszervezése és végrehajtása, adott esetben az </w:t>
      </w:r>
      <w:proofErr w:type="spellStart"/>
      <w:r w:rsidRPr="0028700A">
        <w:rPr>
          <w:rStyle w:val="Nessuno"/>
          <w:b/>
          <w:i/>
        </w:rPr>
        <w:t>Eurojusttal</w:t>
      </w:r>
      <w:proofErr w:type="spellEnd"/>
      <w:r w:rsidRPr="0028700A">
        <w:rPr>
          <w:rStyle w:val="Nessuno"/>
          <w:b/>
          <w:i/>
        </w:rPr>
        <w:t xml:space="preserve"> kapcsolatot tartva.</w:t>
      </w:r>
    </w:p>
    <w:p w14:paraId="13CBE311" w14:textId="77777777" w:rsidR="00FC1E12" w:rsidRPr="0028700A" w:rsidRDefault="00FC1E12" w:rsidP="00FC1E12">
      <w:pPr>
        <w:tabs>
          <w:tab w:val="left" w:pos="7014"/>
        </w:tabs>
        <w:jc w:val="both"/>
        <w:rPr>
          <w:rStyle w:val="Nessuno"/>
          <w:b/>
          <w:i/>
        </w:rPr>
      </w:pPr>
    </w:p>
    <w:p w14:paraId="0FD2C03F" w14:textId="77777777" w:rsidR="00FC1E12" w:rsidRPr="0028700A" w:rsidRDefault="00FC1E12" w:rsidP="00FC1E12">
      <w:pPr>
        <w:tabs>
          <w:tab w:val="left" w:pos="7014"/>
        </w:tabs>
        <w:ind w:left="426" w:hanging="426"/>
        <w:jc w:val="both"/>
        <w:rPr>
          <w:rStyle w:val="Nessuno"/>
          <w:b/>
          <w:i/>
        </w:rPr>
      </w:pPr>
      <w:r w:rsidRPr="0028700A">
        <w:rPr>
          <w:rStyle w:val="Nessuno"/>
          <w:b/>
          <w:i/>
        </w:rPr>
        <w:tab/>
        <w:t xml:space="preserve">E rendeletek határozzák meg azokat az eljárásokat, amelyek szerint az Európai Parlament – a nemzeti parlamentekkel közösen – ellenőrzi az </w:t>
      </w:r>
      <w:proofErr w:type="spellStart"/>
      <w:r w:rsidRPr="0028700A">
        <w:rPr>
          <w:rStyle w:val="Nessuno"/>
          <w:b/>
          <w:i/>
        </w:rPr>
        <w:t>Europol</w:t>
      </w:r>
      <w:proofErr w:type="spellEnd"/>
      <w:r w:rsidRPr="0028700A">
        <w:rPr>
          <w:rStyle w:val="Nessuno"/>
          <w:b/>
          <w:i/>
        </w:rPr>
        <w:t xml:space="preserve"> tevékenységét.</w:t>
      </w:r>
    </w:p>
    <w:p w14:paraId="2325E5CA" w14:textId="77777777" w:rsidR="00FC1E12" w:rsidRPr="0028700A" w:rsidRDefault="00FC1E12" w:rsidP="00FC1E12">
      <w:pPr>
        <w:tabs>
          <w:tab w:val="left" w:pos="7014"/>
        </w:tabs>
        <w:jc w:val="both"/>
        <w:rPr>
          <w:rStyle w:val="Nessuno"/>
          <w:bCs/>
          <w:i/>
        </w:rPr>
      </w:pPr>
    </w:p>
    <w:p w14:paraId="7FED32FF" w14:textId="77777777" w:rsidR="00FC1E12" w:rsidRPr="0028700A" w:rsidRDefault="00FC1E12" w:rsidP="00FC1E12">
      <w:pPr>
        <w:ind w:left="426" w:hanging="426"/>
        <w:jc w:val="both"/>
        <w:rPr>
          <w:rStyle w:val="Nessuno"/>
          <w:b/>
          <w:bCs/>
          <w:i/>
        </w:rPr>
      </w:pPr>
      <w:r w:rsidRPr="0028700A">
        <w:rPr>
          <w:rStyle w:val="Nessuno"/>
          <w:i/>
        </w:rPr>
        <w:t>(3)</w:t>
      </w:r>
      <w:r w:rsidRPr="0028700A">
        <w:rPr>
          <w:rStyle w:val="Nessuno"/>
          <w:i/>
        </w:rPr>
        <w:tab/>
        <w:t xml:space="preserve">Az </w:t>
      </w:r>
      <w:proofErr w:type="spellStart"/>
      <w:r w:rsidRPr="0028700A">
        <w:rPr>
          <w:rStyle w:val="Nessuno"/>
          <w:i/>
        </w:rPr>
        <w:t>Europol</w:t>
      </w:r>
      <w:proofErr w:type="spellEnd"/>
      <w:r w:rsidRPr="0028700A">
        <w:rPr>
          <w:rStyle w:val="Nessuno"/>
          <w:i/>
        </w:rPr>
        <w:t xml:space="preserve"> által végzett operatív cselekményeket annak a tagállamnak a hatóságaival kapcsolatot tartva és velük egyetértésben kell végrehajtani, amelynek területét ezek a cselekmények érintették. Kényszerítő intézkedések alkalmazására kizárólag a hatáskörrel rendelkező nemzeti hatóságok jogosultak.</w:t>
      </w:r>
    </w:p>
    <w:p w14:paraId="73A44D44" w14:textId="77777777" w:rsidR="00FC1E12" w:rsidRPr="0028700A" w:rsidRDefault="00FC1E12" w:rsidP="00FC1E12">
      <w:pPr>
        <w:tabs>
          <w:tab w:val="left" w:pos="567"/>
          <w:tab w:val="left" w:pos="7014"/>
        </w:tabs>
        <w:ind w:left="397" w:hanging="397"/>
        <w:jc w:val="both"/>
        <w:rPr>
          <w:rStyle w:val="Nessuno"/>
          <w:bCs/>
          <w:i/>
        </w:rPr>
      </w:pPr>
    </w:p>
    <w:p w14:paraId="013525A4" w14:textId="77777777" w:rsidR="00FC1E12" w:rsidRPr="0028700A" w:rsidRDefault="00FC1E12" w:rsidP="00C5783B">
      <w:pPr>
        <w:spacing w:after="240"/>
        <w:rPr>
          <w:b/>
          <w:u w:val="single"/>
        </w:rPr>
      </w:pPr>
      <w:r w:rsidRPr="0028700A">
        <w:rPr>
          <w:b/>
          <w:u w:val="single"/>
        </w:rPr>
        <w:t>III – Az EUB ítélkezési gyakorlata a jogalap megválasztásáról</w:t>
      </w:r>
    </w:p>
    <w:p w14:paraId="6EF1A279" w14:textId="77777777" w:rsidR="00FC1E12" w:rsidRPr="0028700A" w:rsidRDefault="00FC1E12" w:rsidP="006A4CE5">
      <w:pPr>
        <w:pStyle w:val="Point123"/>
        <w:numPr>
          <w:ilvl w:val="0"/>
          <w:numId w:val="0"/>
        </w:numPr>
        <w:spacing w:before="0" w:after="0" w:line="240" w:lineRule="auto"/>
        <w:rPr>
          <w:color w:val="000000" w:themeColor="text1"/>
        </w:rPr>
      </w:pPr>
      <w:r w:rsidRPr="0028700A">
        <w:rPr>
          <w:color w:val="000000" w:themeColor="text1"/>
        </w:rPr>
        <w:t>A Bíróság a megfelelő jogalap kérdését hagyományosan alkotmányos jelentőségű kérdésnek tekinti, amely garantálja a hatáskör-átruházás elvének betartását (az Európai Unióról szóló szerződés 5. cikke), és meghatározza az Unió hatáskörének jellegét és terjedelmét</w:t>
      </w:r>
      <w:r w:rsidRPr="0028700A">
        <w:rPr>
          <w:color w:val="000000" w:themeColor="text1"/>
          <w:vertAlign w:val="superscript"/>
        </w:rPr>
        <w:footnoteReference w:id="2"/>
      </w:r>
      <w:r w:rsidRPr="0028700A">
        <w:rPr>
          <w:color w:val="000000" w:themeColor="text1"/>
        </w:rPr>
        <w:t>.</w:t>
      </w:r>
    </w:p>
    <w:p w14:paraId="46F2E801" w14:textId="77777777" w:rsidR="00FC1E12" w:rsidRPr="0028700A" w:rsidRDefault="00FC1E12" w:rsidP="00FC1E12">
      <w:pPr>
        <w:pStyle w:val="Point123"/>
        <w:numPr>
          <w:ilvl w:val="0"/>
          <w:numId w:val="0"/>
        </w:numPr>
        <w:spacing w:before="0" w:after="0" w:line="240" w:lineRule="auto"/>
        <w:jc w:val="both"/>
        <w:rPr>
          <w:color w:val="000000" w:themeColor="text1"/>
        </w:rPr>
      </w:pPr>
    </w:p>
    <w:p w14:paraId="6FBB50E4" w14:textId="744E9CF7" w:rsidR="00FC1E12" w:rsidRPr="0028700A" w:rsidRDefault="00FC1E12" w:rsidP="006A4CE5">
      <w:pPr>
        <w:pStyle w:val="Point123"/>
        <w:numPr>
          <w:ilvl w:val="0"/>
          <w:numId w:val="0"/>
        </w:numPr>
        <w:spacing w:before="0" w:after="0" w:line="240" w:lineRule="auto"/>
        <w:rPr>
          <w:color w:val="000000" w:themeColor="text1"/>
          <w:vertAlign w:val="superscript"/>
        </w:rPr>
      </w:pPr>
      <w:r w:rsidRPr="0028700A">
        <w:rPr>
          <w:color w:val="000000" w:themeColor="text1"/>
        </w:rPr>
        <w:t>Az állandó ítélkezési gyakorlat szerint egy uniós jogi aktus jogalapja nem attól függ, hogy valamely intézmény meggyőződése szerint a jogi aktus milyen célt szolgál, hanem a jogalapot bírósági felülvizsgálatra alkalmas, objektív kritériumok – különösen az intézkedés célja és tartalma – alapján kell meghatározni</w:t>
      </w:r>
      <w:r w:rsidRPr="0028700A">
        <w:rPr>
          <w:color w:val="000000" w:themeColor="text1"/>
          <w:vertAlign w:val="superscript"/>
        </w:rPr>
        <w:footnoteReference w:id="3"/>
      </w:r>
      <w:r w:rsidRPr="0028700A">
        <w:rPr>
          <w:color w:val="000000" w:themeColor="text1"/>
        </w:rPr>
        <w:t>.</w:t>
      </w:r>
    </w:p>
    <w:p w14:paraId="001B3591" w14:textId="77777777" w:rsidR="00FC1E12" w:rsidRPr="0028700A" w:rsidRDefault="00FC1E12" w:rsidP="00FC1E12">
      <w:pPr>
        <w:pStyle w:val="Point123"/>
        <w:numPr>
          <w:ilvl w:val="0"/>
          <w:numId w:val="0"/>
        </w:numPr>
        <w:spacing w:before="0" w:after="0" w:line="240" w:lineRule="auto"/>
        <w:jc w:val="both"/>
        <w:rPr>
          <w:color w:val="000000" w:themeColor="text1"/>
          <w:vertAlign w:val="superscript"/>
        </w:rPr>
      </w:pPr>
    </w:p>
    <w:p w14:paraId="2EE29D2C" w14:textId="77777777" w:rsidR="00FC1E12" w:rsidRPr="0028700A" w:rsidRDefault="00FC1E12" w:rsidP="006A4CE5">
      <w:pPr>
        <w:pStyle w:val="Point123"/>
        <w:numPr>
          <w:ilvl w:val="0"/>
          <w:numId w:val="0"/>
        </w:numPr>
        <w:tabs>
          <w:tab w:val="left" w:pos="720"/>
        </w:tabs>
        <w:spacing w:before="0" w:after="0" w:line="240" w:lineRule="auto"/>
      </w:pPr>
      <w:r w:rsidRPr="0028700A">
        <w:rPr>
          <w:color w:val="000000" w:themeColor="text1"/>
        </w:rPr>
        <w:t>Ha egy jogi aktus vizsgálatából az derül ki, hogy az két cél elérésére irányul, vagy két összetevőt foglal magában, és ezek egyike elsődlegesnek vagy túlnyomó súlyúnak mutatkozik, míg a másik csak járulékos jellegű, a jogi aktust csak egy jogalapra kell alapozni, mégpedig arra, amelyet az elsődleges vagy döntő cél vagy összetevő megkövetel</w:t>
      </w:r>
      <w:r w:rsidRPr="0028700A">
        <w:rPr>
          <w:color w:val="000000" w:themeColor="text1"/>
          <w:vertAlign w:val="superscript"/>
        </w:rPr>
        <w:footnoteReference w:id="4"/>
      </w:r>
      <w:r w:rsidRPr="0028700A">
        <w:rPr>
          <w:color w:val="000000" w:themeColor="text1"/>
        </w:rPr>
        <w:t>. Egy ilyen jogi aktus kizárólag kivételes esetben épülhet több különböző, megfelelő jogalapra, amennyiben megállapítható, hogy a jogi aktusnak több párhuzamos célja van, amelyek egymástól elválaszthatatlanok, és egyik sem tekinthető másodlagosnak és közvetettnek a másikhoz képest</w:t>
      </w:r>
      <w:r w:rsidRPr="0028700A">
        <w:rPr>
          <w:color w:val="000000" w:themeColor="text1"/>
          <w:vertAlign w:val="superscript"/>
        </w:rPr>
        <w:footnoteReference w:id="5"/>
      </w:r>
      <w:r w:rsidRPr="0028700A">
        <w:rPr>
          <w:color w:val="000000" w:themeColor="text1"/>
        </w:rPr>
        <w:t>. Ez azonban csak akkor lehetséges, ha a vonatkozó jogalapokhoz előírt eljárások nem összeegyeztethetetlenek az Európai Parlament jogával, és nem sértik azt</w:t>
      </w:r>
      <w:r w:rsidRPr="0028700A">
        <w:rPr>
          <w:color w:val="000000" w:themeColor="text1"/>
          <w:vertAlign w:val="superscript"/>
        </w:rPr>
        <w:footnoteReference w:id="6"/>
      </w:r>
      <w:r w:rsidRPr="0028700A">
        <w:rPr>
          <w:color w:val="000000" w:themeColor="text1"/>
        </w:rPr>
        <w:t>.</w:t>
      </w:r>
    </w:p>
    <w:p w14:paraId="46B45BE1" w14:textId="77777777" w:rsidR="00FC1E12" w:rsidRPr="0028700A" w:rsidRDefault="00FC1E12" w:rsidP="00FC1E12">
      <w:pPr>
        <w:spacing w:after="240"/>
        <w:ind w:left="567" w:hanging="567"/>
        <w:jc w:val="both"/>
        <w:rPr>
          <w:b/>
          <w:u w:val="single"/>
        </w:rPr>
      </w:pPr>
    </w:p>
    <w:p w14:paraId="1035A620" w14:textId="77777777" w:rsidR="00FC1E12" w:rsidRPr="0028700A" w:rsidRDefault="00FC1E12" w:rsidP="00C5783B">
      <w:pPr>
        <w:spacing w:after="240"/>
        <w:ind w:left="567" w:hanging="567"/>
      </w:pPr>
      <w:r w:rsidRPr="0028700A">
        <w:rPr>
          <w:b/>
          <w:u w:val="single"/>
        </w:rPr>
        <w:t>IV – A javasolt rendelet célja és tartalma</w:t>
      </w:r>
    </w:p>
    <w:p w14:paraId="7532D5DD" w14:textId="77777777" w:rsidR="00FC1E12" w:rsidRPr="0028700A" w:rsidRDefault="00FC1E12" w:rsidP="00F30938">
      <w:r w:rsidRPr="0028700A">
        <w:t xml:space="preserve">Amint azt a Bizottság előterjesztette, a javasolt rendelet célja, hogy megerősítse az </w:t>
      </w:r>
      <w:proofErr w:type="spellStart"/>
      <w:r w:rsidRPr="0028700A">
        <w:t>Europol</w:t>
      </w:r>
      <w:proofErr w:type="spellEnd"/>
      <w:r w:rsidRPr="0028700A">
        <w:t xml:space="preserve"> </w:t>
      </w:r>
      <w:r w:rsidRPr="0028700A">
        <w:lastRenderedPageBreak/>
        <w:t xml:space="preserve">szerepét a migránscsempészés és az emberkereskedelem elleni küzdelemben, valamint a Migránscsempészés Elleni Küzdelem Európai Központjának szerepét, továbbá megerősítse a tagállamok és az </w:t>
      </w:r>
      <w:proofErr w:type="spellStart"/>
      <w:r w:rsidRPr="0028700A">
        <w:t>Europol</w:t>
      </w:r>
      <w:proofErr w:type="spellEnd"/>
      <w:r w:rsidRPr="0028700A">
        <w:t xml:space="preserve"> közötti együttműködést a migránscsempészés és az emberkereskedelem megelőzése és az ellene folytatott küzdelem terén.</w:t>
      </w:r>
    </w:p>
    <w:p w14:paraId="3A4380FD" w14:textId="77777777" w:rsidR="00FC1E12" w:rsidRPr="0028700A" w:rsidRDefault="00FC1E12" w:rsidP="00FC1E12">
      <w:pPr>
        <w:jc w:val="both"/>
      </w:pPr>
    </w:p>
    <w:p w14:paraId="4AB82D92" w14:textId="77777777" w:rsidR="00FC1E12" w:rsidRPr="0028700A" w:rsidRDefault="00FC1E12" w:rsidP="00F30938">
      <w:pPr>
        <w:spacing w:line="257" w:lineRule="auto"/>
      </w:pPr>
      <w:r w:rsidRPr="0028700A">
        <w:t xml:space="preserve">E célkitűzések elérése érdekében a Bizottság szabályok megállapítását javasolta a következők tekintetében: a) az </w:t>
      </w:r>
      <w:proofErr w:type="spellStart"/>
      <w:r w:rsidRPr="0028700A">
        <w:t>Europolon</w:t>
      </w:r>
      <w:proofErr w:type="spellEnd"/>
      <w:r w:rsidRPr="0028700A">
        <w:t xml:space="preserve"> belül a Migránscsempészés Elleni Küzdelem Európai Központjának (a továbbiakban: a központ), valamint tevékenységeinek szabályozására és támogatására szolgáló irányítási keret létrehozása; b) a tagállamok, az </w:t>
      </w:r>
      <w:proofErr w:type="spellStart"/>
      <w:r w:rsidRPr="0028700A">
        <w:t>Europol</w:t>
      </w:r>
      <w:proofErr w:type="spellEnd"/>
      <w:r w:rsidRPr="0028700A">
        <w:t xml:space="preserve"> és más uniós ügynökségek közötti együttműködés és koordináció megerősítése; c) a tagállamok közötti és az </w:t>
      </w:r>
      <w:proofErr w:type="spellStart"/>
      <w:r w:rsidRPr="0028700A">
        <w:t>Europollal</w:t>
      </w:r>
      <w:proofErr w:type="spellEnd"/>
      <w:r w:rsidRPr="0028700A">
        <w:t xml:space="preserve"> folytatott információcsere megerősítése; d) az </w:t>
      </w:r>
      <w:proofErr w:type="spellStart"/>
      <w:r w:rsidRPr="0028700A">
        <w:t>Europol</w:t>
      </w:r>
      <w:proofErr w:type="spellEnd"/>
      <w:r w:rsidRPr="0028700A">
        <w:t xml:space="preserve"> számára az ahhoz szükséges eszközök biztosítása, hogy támogassa és megerősítse a tagállamok illetékes hatóságainak fellépéseit, valamint kölcsönös együttműködésüket az </w:t>
      </w:r>
      <w:proofErr w:type="spellStart"/>
      <w:r w:rsidRPr="0028700A">
        <w:t>Europol</w:t>
      </w:r>
      <w:proofErr w:type="spellEnd"/>
      <w:r w:rsidRPr="0028700A">
        <w:t xml:space="preserve"> célkitűzéseibe tartozó bűncselekmények megelőzése és az ellenük folytatott küzdelem terén; e) az </w:t>
      </w:r>
      <w:proofErr w:type="spellStart"/>
      <w:r w:rsidRPr="0028700A">
        <w:t>Europol</w:t>
      </w:r>
      <w:proofErr w:type="spellEnd"/>
      <w:r w:rsidRPr="0028700A">
        <w:t xml:space="preserve"> és harmadik országok közötti együttműködés megerősítése.</w:t>
      </w:r>
    </w:p>
    <w:p w14:paraId="16B914B5" w14:textId="77777777" w:rsidR="00FC1E12" w:rsidRPr="0028700A" w:rsidRDefault="00FC1E12" w:rsidP="00FC1E12">
      <w:pPr>
        <w:autoSpaceDE w:val="0"/>
        <w:autoSpaceDN w:val="0"/>
        <w:adjustRightInd w:val="0"/>
        <w:jc w:val="both"/>
      </w:pPr>
    </w:p>
    <w:p w14:paraId="555C0EFD" w14:textId="77777777" w:rsidR="00FC1E12" w:rsidRPr="0028700A" w:rsidRDefault="00FC1E12" w:rsidP="00F30938">
      <w:pPr>
        <w:autoSpaceDE w:val="0"/>
        <w:autoSpaceDN w:val="0"/>
        <w:adjustRightInd w:val="0"/>
      </w:pPr>
      <w:r w:rsidRPr="0028700A">
        <w:t xml:space="preserve">E célból a javasolt rendelet eredetileg egyrészt egy „önálló rendeletből” állt, amely létrehozta az </w:t>
      </w:r>
      <w:proofErr w:type="spellStart"/>
      <w:r w:rsidRPr="0028700A">
        <w:t>Europolon</w:t>
      </w:r>
      <w:proofErr w:type="spellEnd"/>
      <w:r w:rsidRPr="0028700A">
        <w:t xml:space="preserve"> belül a központot, és részletes szabályokat állapított meg annak összetételére és feladataira vonatkozóan, valamint rendelkezéseket tartalmazott a migránscsempészés és az emberkereskedelem megelőzését és leküzdését célzó információmegosztásra és nemzeti szakszolgálatokra vonatkozóan. Másrészt a javasolt rendelet az </w:t>
      </w:r>
      <w:proofErr w:type="spellStart"/>
      <w:r w:rsidRPr="0028700A">
        <w:t>Europol</w:t>
      </w:r>
      <w:proofErr w:type="spellEnd"/>
      <w:r w:rsidRPr="0028700A">
        <w:t>-rendeletre vonatkozó módosításokat is tartalmazott.</w:t>
      </w:r>
    </w:p>
    <w:p w14:paraId="47B7D255" w14:textId="77777777" w:rsidR="00FC1E12" w:rsidRPr="0028700A" w:rsidRDefault="00FC1E12" w:rsidP="00FC1E12">
      <w:pPr>
        <w:autoSpaceDE w:val="0"/>
        <w:autoSpaceDN w:val="0"/>
        <w:adjustRightInd w:val="0"/>
        <w:jc w:val="both"/>
      </w:pPr>
    </w:p>
    <w:p w14:paraId="720CD939" w14:textId="7D7A90D9" w:rsidR="00FC1E12" w:rsidRPr="0028700A" w:rsidRDefault="00FC1E12" w:rsidP="00F30938">
      <w:r w:rsidRPr="0028700A">
        <w:t xml:space="preserve">Az intézményközi tárgyalások során megállapodás született arról, hogy mind a Parlament, mind a Tanács megbízatásával összhangban törölni kell a javasolt rendelet azon részeit, amelyek célja egy „önálló rendelet” létrehozása, és azt pusztán az </w:t>
      </w:r>
      <w:proofErr w:type="spellStart"/>
      <w:r w:rsidRPr="0028700A">
        <w:t>Europol</w:t>
      </w:r>
      <w:proofErr w:type="spellEnd"/>
      <w:r w:rsidRPr="0028700A">
        <w:t>-rendeletet módosító jogi aktussá kell átalakítani.</w:t>
      </w:r>
    </w:p>
    <w:p w14:paraId="71F65172" w14:textId="77777777" w:rsidR="00FC1E12" w:rsidRPr="0028700A" w:rsidRDefault="00FC1E12" w:rsidP="00FC1E12">
      <w:pPr>
        <w:autoSpaceDE w:val="0"/>
        <w:autoSpaceDN w:val="0"/>
        <w:adjustRightInd w:val="0"/>
        <w:jc w:val="both"/>
      </w:pPr>
    </w:p>
    <w:p w14:paraId="119F786E" w14:textId="77777777" w:rsidR="00FC1E12" w:rsidRPr="0028700A" w:rsidRDefault="00FC1E12" w:rsidP="00F30938">
      <w:pPr>
        <w:pStyle w:val="Point123"/>
        <w:numPr>
          <w:ilvl w:val="0"/>
          <w:numId w:val="0"/>
        </w:numPr>
        <w:tabs>
          <w:tab w:val="left" w:pos="720"/>
        </w:tabs>
        <w:spacing w:before="0" w:after="0" w:line="240" w:lineRule="auto"/>
      </w:pPr>
      <w:r w:rsidRPr="0028700A">
        <w:t xml:space="preserve">A társjogalkotók által módosított javasolt rendelet tehát kizárólag az </w:t>
      </w:r>
      <w:proofErr w:type="spellStart"/>
      <w:r w:rsidRPr="0028700A">
        <w:t>Europol</w:t>
      </w:r>
      <w:proofErr w:type="spellEnd"/>
      <w:r w:rsidRPr="0028700A">
        <w:t xml:space="preserve"> struktúrájára, működésére, tevékenységi területére és feladataira vonatkozik. A társjogalkotók által módosított és ideiglenesen elfogadott javasolt rendelet fő céljai jelenleg a következők: az </w:t>
      </w:r>
      <w:proofErr w:type="spellStart"/>
      <w:r w:rsidRPr="0028700A">
        <w:t>Europol</w:t>
      </w:r>
      <w:proofErr w:type="spellEnd"/>
      <w:r w:rsidRPr="0028700A">
        <w:t xml:space="preserve"> megerősítése a bűnüldöző szervek migránscsempészés és emberkereskedelem elleni fellépései hatékonyságának növelése érdekében; az </w:t>
      </w:r>
      <w:proofErr w:type="spellStart"/>
      <w:r w:rsidRPr="0028700A">
        <w:t>Europolnak</w:t>
      </w:r>
      <w:proofErr w:type="spellEnd"/>
      <w:r w:rsidRPr="0028700A">
        <w:t xml:space="preserve"> az Unió bűnügyi információs központjaként és szolgáltatóként betöltött szerepének megerősítése, különösen az adatok cseréjére szolgáló biztonságos hálózat, például a Biztonságos Információcsere Hálózati Alkalmazás biztosítása révén; annak biztosítása, hogy a tagállamok információkat cseréljenek az </w:t>
      </w:r>
      <w:proofErr w:type="spellStart"/>
      <w:r w:rsidRPr="0028700A">
        <w:t>Europol-lal</w:t>
      </w:r>
      <w:proofErr w:type="spellEnd"/>
      <w:r w:rsidRPr="0028700A">
        <w:t xml:space="preserve">; valamint annak egyértelművé tétele, hogy az </w:t>
      </w:r>
      <w:proofErr w:type="spellStart"/>
      <w:r w:rsidRPr="0028700A">
        <w:t>Europol</w:t>
      </w:r>
      <w:proofErr w:type="spellEnd"/>
      <w:r w:rsidRPr="0028700A">
        <w:t xml:space="preserve"> céljai kifejezetten kiterjednek az uniós korlátozó intézkedések megsértésére is.</w:t>
      </w:r>
    </w:p>
    <w:p w14:paraId="2DDBCABC" w14:textId="77777777" w:rsidR="00FC1E12" w:rsidRPr="0028700A" w:rsidRDefault="00FC1E12" w:rsidP="00FC1E12">
      <w:pPr>
        <w:jc w:val="both"/>
        <w:rPr>
          <w:b/>
          <w:u w:val="single"/>
        </w:rPr>
      </w:pPr>
    </w:p>
    <w:p w14:paraId="63FD5FAB" w14:textId="6213D2A3" w:rsidR="00FC1E12" w:rsidRPr="0028700A" w:rsidRDefault="00FC1E12" w:rsidP="00C5783B">
      <w:pPr>
        <w:spacing w:after="240"/>
        <w:rPr>
          <w:b/>
          <w:u w:val="single"/>
        </w:rPr>
      </w:pPr>
      <w:r w:rsidRPr="0028700A">
        <w:rPr>
          <w:b/>
          <w:u w:val="single"/>
        </w:rPr>
        <w:t>V – Elemzés</w:t>
      </w:r>
    </w:p>
    <w:p w14:paraId="0A4C0701" w14:textId="77777777" w:rsidR="00FC1E12" w:rsidRPr="0028700A" w:rsidRDefault="00FC1E12" w:rsidP="00F30938">
      <w:r w:rsidRPr="0028700A">
        <w:t xml:space="preserve">A fentiekből, valamint a javasolt rendelet preambulumbekezdéseinek és rendelkező részében foglalt rendelkezéseknek a társjogalkotók által ideiglenesen elfogadott vizsgálatából az következik, hogy a javasolt rendelet ténylegesen csupán az </w:t>
      </w:r>
      <w:proofErr w:type="spellStart"/>
      <w:r w:rsidRPr="0028700A">
        <w:t>Europol</w:t>
      </w:r>
      <w:proofErr w:type="spellEnd"/>
      <w:r w:rsidRPr="0028700A">
        <w:t xml:space="preserve">-rendelet módosításait tartalmazza. Célja és tartalma ezért jelenleg kizárólag az </w:t>
      </w:r>
      <w:proofErr w:type="spellStart"/>
      <w:r w:rsidRPr="0028700A">
        <w:t>Europol</w:t>
      </w:r>
      <w:proofErr w:type="spellEnd"/>
      <w:r w:rsidRPr="0028700A">
        <w:t xml:space="preserve"> struktúrájára, működésére, tevékenységi területére és feladataira vonatkozik.</w:t>
      </w:r>
    </w:p>
    <w:p w14:paraId="21B569B6" w14:textId="77777777" w:rsidR="00FC1E12" w:rsidRPr="0028700A" w:rsidRDefault="00FC1E12" w:rsidP="00FC1E12">
      <w:pPr>
        <w:jc w:val="both"/>
      </w:pPr>
    </w:p>
    <w:p w14:paraId="47A5355F" w14:textId="77777777" w:rsidR="00FC1E12" w:rsidRPr="0028700A" w:rsidRDefault="00FC1E12" w:rsidP="00F30938">
      <w:r w:rsidRPr="0028700A">
        <w:lastRenderedPageBreak/>
        <w:t xml:space="preserve">Az EUMSZ 88. cikke (2) bekezdésének megfelelően a Parlament és a Tanács rendes jogalkotási eljárás keretében elfogadott rendeletekben határozza meg az </w:t>
      </w:r>
      <w:proofErr w:type="spellStart"/>
      <w:r w:rsidRPr="0028700A">
        <w:t>Europol</w:t>
      </w:r>
      <w:proofErr w:type="spellEnd"/>
      <w:r w:rsidRPr="0028700A">
        <w:t xml:space="preserve"> felépítését, működését, tevékenységi területét és feladatait.</w:t>
      </w:r>
    </w:p>
    <w:p w14:paraId="27FD5794" w14:textId="77777777" w:rsidR="00FC1E12" w:rsidRPr="0028700A" w:rsidRDefault="00FC1E12" w:rsidP="00FC1E12">
      <w:pPr>
        <w:jc w:val="both"/>
      </w:pPr>
    </w:p>
    <w:p w14:paraId="3D1588FB" w14:textId="77777777" w:rsidR="00FC1E12" w:rsidRPr="0028700A" w:rsidRDefault="00FC1E12" w:rsidP="00F30938">
      <w:pPr>
        <w:pStyle w:val="Point123"/>
        <w:numPr>
          <w:ilvl w:val="0"/>
          <w:numId w:val="0"/>
        </w:numPr>
        <w:tabs>
          <w:tab w:val="left" w:pos="720"/>
        </w:tabs>
        <w:spacing w:before="0" w:after="0" w:line="240" w:lineRule="auto"/>
      </w:pPr>
      <w:r w:rsidRPr="0028700A">
        <w:t>A Bíróság fent említett állandó ítélkezési gyakorlatával összhangban az intézkedést tehát egyetlen jogalapra, nevezetesen a fő célja vagy tartalma által megkövetelt jogalapra kell alapozni.</w:t>
      </w:r>
    </w:p>
    <w:p w14:paraId="7E34D235" w14:textId="77777777" w:rsidR="00FC1E12" w:rsidRPr="0028700A" w:rsidRDefault="00FC1E12" w:rsidP="00FC1E12">
      <w:pPr>
        <w:jc w:val="both"/>
        <w:rPr>
          <w:b/>
          <w:u w:val="single"/>
        </w:rPr>
      </w:pPr>
    </w:p>
    <w:p w14:paraId="4B7130F7" w14:textId="77777777" w:rsidR="00FC1E12" w:rsidRPr="0028700A" w:rsidRDefault="00FC1E12" w:rsidP="00C5783B">
      <w:pPr>
        <w:spacing w:after="240"/>
        <w:rPr>
          <w:b/>
          <w:u w:val="single"/>
        </w:rPr>
      </w:pPr>
      <w:r w:rsidRPr="0028700A">
        <w:rPr>
          <w:b/>
          <w:u w:val="single"/>
        </w:rPr>
        <w:t>VI – Következtetés és ajánlás</w:t>
      </w:r>
    </w:p>
    <w:p w14:paraId="50705B5B" w14:textId="77777777" w:rsidR="007179A7" w:rsidRPr="0028700A" w:rsidRDefault="00FC1E12" w:rsidP="00FC1E12">
      <w:pPr>
        <w:pStyle w:val="Normal12a"/>
      </w:pPr>
      <w:r w:rsidRPr="0028700A">
        <w:t>2025. október 13-i ülésén a Jogi Bizottság ennek megfelelően egyhangúlag (25 szavazattal) úgy határozott</w:t>
      </w:r>
      <w:r w:rsidRPr="0028700A">
        <w:rPr>
          <w:vertAlign w:val="superscript"/>
        </w:rPr>
        <w:footnoteReference w:id="7"/>
      </w:r>
      <w:r w:rsidRPr="0028700A">
        <w:t>, hogy javasolja az Állampolgári Jogi, Bel- és Igazságügyi Bizottságnak, hogy az EUMSZ 88. cikkének (2) bekezdése legyen az egyetlen megfelelő jogalap a javasolt rendelethez, a társjogalkotók által az intézményközi tárgyalások során módosított és ideiglenesen elfogadott formában.</w:t>
      </w:r>
    </w:p>
    <w:p w14:paraId="016D93EB" w14:textId="77777777" w:rsidR="007179A7" w:rsidRPr="0028700A" w:rsidRDefault="005C4B56" w:rsidP="00A04228">
      <w:pPr>
        <w:pStyle w:val="Normal12a"/>
      </w:pPr>
      <w:r w:rsidRPr="0028700A">
        <w:t>Tisztelettel:</w:t>
      </w:r>
    </w:p>
    <w:p w14:paraId="63D05A63" w14:textId="77777777" w:rsidR="007179A7" w:rsidRPr="0028700A" w:rsidRDefault="00324EAF">
      <w:pPr>
        <w:pStyle w:val="LetterSignature66b"/>
      </w:pPr>
      <w:proofErr w:type="spellStart"/>
      <w:r w:rsidRPr="0028700A">
        <w:t>Ilhan</w:t>
      </w:r>
      <w:proofErr w:type="spellEnd"/>
      <w:r w:rsidRPr="0028700A">
        <w:t xml:space="preserve"> </w:t>
      </w:r>
      <w:proofErr w:type="spellStart"/>
      <w:r w:rsidRPr="0028700A">
        <w:t>Kyuchyuk</w:t>
      </w:r>
      <w:proofErr w:type="spellEnd"/>
    </w:p>
    <w:p w14:paraId="4B2874C3" w14:textId="77777777" w:rsidR="009D564F" w:rsidRPr="0028700A" w:rsidRDefault="009D564F" w:rsidP="00332170">
      <w:pPr>
        <w:widowControl/>
      </w:pPr>
    </w:p>
    <w:sectPr w:rsidR="009D564F" w:rsidRPr="0028700A" w:rsidSect="002870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18B11" w14:textId="77777777" w:rsidR="005C4B56" w:rsidRPr="0028700A" w:rsidRDefault="005C4B56">
      <w:r w:rsidRPr="0028700A">
        <w:separator/>
      </w:r>
    </w:p>
  </w:endnote>
  <w:endnote w:type="continuationSeparator" w:id="0">
    <w:p w14:paraId="05761DA0" w14:textId="77777777" w:rsidR="005C4B56" w:rsidRPr="0028700A" w:rsidRDefault="005C4B56">
      <w:r w:rsidRPr="0028700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816E6" w14:textId="77777777" w:rsidR="0028700A" w:rsidRPr="0028700A" w:rsidRDefault="0028700A" w:rsidP="0028700A">
    <w:pPr>
      <w:pStyle w:val="EPFooter"/>
    </w:pPr>
    <w:r w:rsidRPr="0028700A">
      <w:t>PE</w:t>
    </w:r>
    <w:r w:rsidRPr="0028700A">
      <w:rPr>
        <w:rStyle w:val="HideTWBExt"/>
      </w:rPr>
      <w:t>&lt;</w:t>
    </w:r>
    <w:proofErr w:type="spellStart"/>
    <w:r w:rsidRPr="0028700A">
      <w:rPr>
        <w:rStyle w:val="HideTWBExt"/>
      </w:rPr>
      <w:t>NoPE</w:t>
    </w:r>
    <w:proofErr w:type="spellEnd"/>
    <w:r w:rsidRPr="0028700A">
      <w:rPr>
        <w:rStyle w:val="HideTWBExt"/>
      </w:rPr>
      <w:t>&gt;</w:t>
    </w:r>
    <w:r w:rsidRPr="0028700A">
      <w:t>778.317</w:t>
    </w:r>
    <w:r w:rsidRPr="0028700A">
      <w:rPr>
        <w:rStyle w:val="HideTWBExt"/>
      </w:rPr>
      <w:t>&lt;/</w:t>
    </w:r>
    <w:proofErr w:type="spellStart"/>
    <w:r w:rsidRPr="0028700A">
      <w:rPr>
        <w:rStyle w:val="HideTWBExt"/>
      </w:rPr>
      <w:t>NoPE</w:t>
    </w:r>
    <w:proofErr w:type="spellEnd"/>
    <w:r w:rsidRPr="0028700A">
      <w:rPr>
        <w:rStyle w:val="HideTWBExt"/>
      </w:rPr>
      <w:t>&gt;&lt;Version&gt;</w:t>
    </w:r>
    <w:r w:rsidRPr="0028700A">
      <w:t>v02-00</w:t>
    </w:r>
    <w:r w:rsidRPr="0028700A">
      <w:rPr>
        <w:rStyle w:val="HideTWBExt"/>
      </w:rPr>
      <w:t>&lt;/Version&gt;</w:t>
    </w:r>
    <w:r w:rsidRPr="0028700A">
      <w:tab/>
    </w:r>
    <w:r w:rsidRPr="0028700A">
      <w:fldChar w:fldCharType="begin"/>
    </w:r>
    <w:r w:rsidRPr="0028700A">
      <w:instrText xml:space="preserve"> PAGE  \* MERGEFORMAT </w:instrText>
    </w:r>
    <w:r w:rsidRPr="0028700A">
      <w:fldChar w:fldCharType="separate"/>
    </w:r>
    <w:r w:rsidRPr="0028700A">
      <w:rPr>
        <w:noProof/>
      </w:rPr>
      <w:t>2</w:t>
    </w:r>
    <w:r w:rsidRPr="0028700A">
      <w:fldChar w:fldCharType="end"/>
    </w:r>
    <w:r w:rsidRPr="0028700A">
      <w:t>/</w:t>
    </w:r>
    <w:fldSimple w:instr=" NUMPAGES  \* MERGEFORMAT ">
      <w:r w:rsidRPr="0028700A">
        <w:rPr>
          <w:noProof/>
        </w:rPr>
        <w:t>6</w:t>
      </w:r>
    </w:fldSimple>
    <w:r w:rsidRPr="0028700A">
      <w:tab/>
    </w:r>
    <w:r w:rsidRPr="0028700A">
      <w:rPr>
        <w:rStyle w:val="HideTWBExt"/>
      </w:rPr>
      <w:t>&lt;PathFdR&gt;</w:t>
    </w:r>
    <w:r w:rsidRPr="0028700A">
      <w:t>AL\1330969HU.docx</w:t>
    </w:r>
    <w:r w:rsidRPr="0028700A">
      <w:rPr>
        <w:rStyle w:val="HideTWBExt"/>
      </w:rPr>
      <w:t>&lt;/</w:t>
    </w:r>
    <w:proofErr w:type="spellStart"/>
    <w:r w:rsidRPr="0028700A">
      <w:rPr>
        <w:rStyle w:val="HideTWBExt"/>
      </w:rPr>
      <w:t>PathFdR</w:t>
    </w:r>
    <w:proofErr w:type="spellEnd"/>
    <w:r w:rsidRPr="0028700A">
      <w:rPr>
        <w:rStyle w:val="HideTWBExt"/>
      </w:rPr>
      <w:t>&gt;</w:t>
    </w:r>
  </w:p>
  <w:p w14:paraId="4B3DAE60" w14:textId="3D77CB14" w:rsidR="00000C7D" w:rsidRPr="0028700A" w:rsidRDefault="0028700A" w:rsidP="0028700A">
    <w:pPr>
      <w:pStyle w:val="EPFooter2"/>
    </w:pPr>
    <w:r w:rsidRPr="0028700A">
      <w:t>HU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3EC98" w14:textId="77777777" w:rsidR="0028700A" w:rsidRPr="0028700A" w:rsidRDefault="0028700A" w:rsidP="0028700A">
    <w:pPr>
      <w:pStyle w:val="EPFooter"/>
    </w:pPr>
    <w:r w:rsidRPr="0028700A">
      <w:rPr>
        <w:rStyle w:val="HideTWBExt"/>
      </w:rPr>
      <w:t>&lt;PathFdR&gt;</w:t>
    </w:r>
    <w:r w:rsidRPr="0028700A">
      <w:t>AL\1330969HU.docx</w:t>
    </w:r>
    <w:r w:rsidRPr="0028700A">
      <w:rPr>
        <w:rStyle w:val="HideTWBExt"/>
      </w:rPr>
      <w:t>&lt;/</w:t>
    </w:r>
    <w:proofErr w:type="spellStart"/>
    <w:r w:rsidRPr="0028700A">
      <w:rPr>
        <w:rStyle w:val="HideTWBExt"/>
      </w:rPr>
      <w:t>PathFdR</w:t>
    </w:r>
    <w:proofErr w:type="spellEnd"/>
    <w:r w:rsidRPr="0028700A">
      <w:rPr>
        <w:rStyle w:val="HideTWBExt"/>
      </w:rPr>
      <w:t>&gt;</w:t>
    </w:r>
    <w:r w:rsidRPr="0028700A">
      <w:tab/>
    </w:r>
    <w:r w:rsidRPr="0028700A">
      <w:fldChar w:fldCharType="begin"/>
    </w:r>
    <w:r w:rsidRPr="0028700A">
      <w:instrText xml:space="preserve"> PAGE  \* MERGEFORMAT </w:instrText>
    </w:r>
    <w:r w:rsidRPr="0028700A">
      <w:fldChar w:fldCharType="separate"/>
    </w:r>
    <w:r w:rsidRPr="0028700A">
      <w:rPr>
        <w:noProof/>
      </w:rPr>
      <w:t>5</w:t>
    </w:r>
    <w:r w:rsidRPr="0028700A">
      <w:fldChar w:fldCharType="end"/>
    </w:r>
    <w:r w:rsidRPr="0028700A">
      <w:t>/</w:t>
    </w:r>
    <w:fldSimple w:instr=" NUMPAGES  \* MERGEFORMAT ">
      <w:r w:rsidRPr="0028700A">
        <w:rPr>
          <w:noProof/>
        </w:rPr>
        <w:t>6</w:t>
      </w:r>
    </w:fldSimple>
    <w:r w:rsidRPr="0028700A">
      <w:tab/>
      <w:t>PE</w:t>
    </w:r>
    <w:r w:rsidRPr="0028700A">
      <w:rPr>
        <w:rStyle w:val="HideTWBExt"/>
      </w:rPr>
      <w:t>&lt;</w:t>
    </w:r>
    <w:proofErr w:type="spellStart"/>
    <w:r w:rsidRPr="0028700A">
      <w:rPr>
        <w:rStyle w:val="HideTWBExt"/>
      </w:rPr>
      <w:t>NoPE</w:t>
    </w:r>
    <w:proofErr w:type="spellEnd"/>
    <w:r w:rsidRPr="0028700A">
      <w:rPr>
        <w:rStyle w:val="HideTWBExt"/>
      </w:rPr>
      <w:t>&gt;</w:t>
    </w:r>
    <w:r w:rsidRPr="0028700A">
      <w:t>778.317</w:t>
    </w:r>
    <w:r w:rsidRPr="0028700A">
      <w:rPr>
        <w:rStyle w:val="HideTWBExt"/>
      </w:rPr>
      <w:t>&lt;/</w:t>
    </w:r>
    <w:proofErr w:type="spellStart"/>
    <w:r w:rsidRPr="0028700A">
      <w:rPr>
        <w:rStyle w:val="HideTWBExt"/>
      </w:rPr>
      <w:t>NoPE</w:t>
    </w:r>
    <w:proofErr w:type="spellEnd"/>
    <w:r w:rsidRPr="0028700A">
      <w:rPr>
        <w:rStyle w:val="HideTWBExt"/>
      </w:rPr>
      <w:t>&gt;&lt;Version&gt;</w:t>
    </w:r>
    <w:r w:rsidRPr="0028700A">
      <w:t>v02-00</w:t>
    </w:r>
    <w:r w:rsidRPr="0028700A">
      <w:rPr>
        <w:rStyle w:val="HideTWBExt"/>
      </w:rPr>
      <w:t>&lt;/Version&gt;</w:t>
    </w:r>
  </w:p>
  <w:p w14:paraId="293543F6" w14:textId="4EF1ABFB" w:rsidR="00000C7D" w:rsidRPr="0028700A" w:rsidRDefault="0028700A" w:rsidP="0028700A">
    <w:pPr>
      <w:pStyle w:val="EPFooter2"/>
    </w:pPr>
    <w:r w:rsidRPr="0028700A">
      <w:tab/>
    </w:r>
    <w:r w:rsidRPr="0028700A">
      <w:tab/>
      <w:t>HU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CDC2C" w14:textId="77777777" w:rsidR="0028700A" w:rsidRPr="0028700A" w:rsidRDefault="0028700A" w:rsidP="0028700A">
    <w:pPr>
      <w:pStyle w:val="EPFooter"/>
    </w:pPr>
    <w:r w:rsidRPr="0028700A">
      <w:rPr>
        <w:rStyle w:val="HideTWBExt"/>
      </w:rPr>
      <w:t>&lt;PathFdR&gt;</w:t>
    </w:r>
    <w:r w:rsidRPr="0028700A">
      <w:t>AL\1330969HU.docx</w:t>
    </w:r>
    <w:r w:rsidRPr="0028700A">
      <w:rPr>
        <w:rStyle w:val="HideTWBExt"/>
      </w:rPr>
      <w:t>&lt;/</w:t>
    </w:r>
    <w:proofErr w:type="spellStart"/>
    <w:r w:rsidRPr="0028700A">
      <w:rPr>
        <w:rStyle w:val="HideTWBExt"/>
      </w:rPr>
      <w:t>PathFdR</w:t>
    </w:r>
    <w:proofErr w:type="spellEnd"/>
    <w:r w:rsidRPr="0028700A">
      <w:rPr>
        <w:rStyle w:val="HideTWBExt"/>
      </w:rPr>
      <w:t>&gt;</w:t>
    </w:r>
    <w:r w:rsidRPr="0028700A">
      <w:tab/>
    </w:r>
    <w:r w:rsidRPr="0028700A">
      <w:tab/>
      <w:t>PE</w:t>
    </w:r>
    <w:r w:rsidRPr="0028700A">
      <w:rPr>
        <w:rStyle w:val="HideTWBExt"/>
      </w:rPr>
      <w:t>&lt;</w:t>
    </w:r>
    <w:proofErr w:type="spellStart"/>
    <w:r w:rsidRPr="0028700A">
      <w:rPr>
        <w:rStyle w:val="HideTWBExt"/>
      </w:rPr>
      <w:t>NoPE</w:t>
    </w:r>
    <w:proofErr w:type="spellEnd"/>
    <w:r w:rsidRPr="0028700A">
      <w:rPr>
        <w:rStyle w:val="HideTWBExt"/>
      </w:rPr>
      <w:t>&gt;</w:t>
    </w:r>
    <w:r w:rsidRPr="0028700A">
      <w:t>778.317</w:t>
    </w:r>
    <w:r w:rsidRPr="0028700A">
      <w:rPr>
        <w:rStyle w:val="HideTWBExt"/>
      </w:rPr>
      <w:t>&lt;/</w:t>
    </w:r>
    <w:proofErr w:type="spellStart"/>
    <w:r w:rsidRPr="0028700A">
      <w:rPr>
        <w:rStyle w:val="HideTWBExt"/>
      </w:rPr>
      <w:t>NoPE</w:t>
    </w:r>
    <w:proofErr w:type="spellEnd"/>
    <w:r w:rsidRPr="0028700A">
      <w:rPr>
        <w:rStyle w:val="HideTWBExt"/>
      </w:rPr>
      <w:t>&gt;&lt;Version&gt;</w:t>
    </w:r>
    <w:r w:rsidRPr="0028700A">
      <w:t>v02-00</w:t>
    </w:r>
    <w:r w:rsidRPr="0028700A">
      <w:rPr>
        <w:rStyle w:val="HideTWBExt"/>
      </w:rPr>
      <w:t>&lt;/Version&gt;</w:t>
    </w:r>
  </w:p>
  <w:p w14:paraId="2683C8B7" w14:textId="724AB0E3" w:rsidR="00000C7D" w:rsidRPr="0028700A" w:rsidRDefault="0028700A" w:rsidP="0028700A">
    <w:pPr>
      <w:pStyle w:val="EPFooter2"/>
    </w:pPr>
    <w:r w:rsidRPr="0028700A">
      <w:t>HU</w:t>
    </w:r>
    <w:r w:rsidRPr="0028700A">
      <w:tab/>
    </w:r>
    <w:r w:rsidRPr="0028700A">
      <w:rPr>
        <w:b w:val="0"/>
        <w:i/>
        <w:color w:val="C0C0C0"/>
        <w:sz w:val="22"/>
      </w:rPr>
      <w:t>Egyesülve a sokféleségben</w:t>
    </w:r>
    <w:r w:rsidRPr="0028700A">
      <w:tab/>
      <w:t>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6D142" w14:textId="77777777" w:rsidR="005C4B56" w:rsidRPr="0028700A" w:rsidRDefault="005C4B56">
      <w:r w:rsidRPr="0028700A">
        <w:separator/>
      </w:r>
    </w:p>
  </w:footnote>
  <w:footnote w:type="continuationSeparator" w:id="0">
    <w:p w14:paraId="32E1D920" w14:textId="77777777" w:rsidR="005C4B56" w:rsidRPr="0028700A" w:rsidRDefault="005C4B56">
      <w:r w:rsidRPr="0028700A">
        <w:continuationSeparator/>
      </w:r>
    </w:p>
  </w:footnote>
  <w:footnote w:id="1">
    <w:p w14:paraId="1E36D139" w14:textId="77777777" w:rsidR="00FC1E12" w:rsidRPr="0028700A" w:rsidRDefault="00FC1E12" w:rsidP="00FC1E12">
      <w:r w:rsidRPr="00C5783B">
        <w:rPr>
          <w:sz w:val="20"/>
          <w:vertAlign w:val="superscript"/>
        </w:rPr>
        <w:footnoteRef/>
      </w:r>
      <w:r w:rsidRPr="00C5783B">
        <w:rPr>
          <w:sz w:val="20"/>
        </w:rPr>
        <w:t xml:space="preserve"> Az Európai Parlament és a Tanács (EU) 2016/794 rendelete (2016. május 11.) a Bűnüldözési Együttműködés Európai Uniós Ügynökségéről (</w:t>
      </w:r>
      <w:proofErr w:type="spellStart"/>
      <w:r w:rsidRPr="00C5783B">
        <w:rPr>
          <w:sz w:val="20"/>
        </w:rPr>
        <w:t>Europol</w:t>
      </w:r>
      <w:proofErr w:type="spellEnd"/>
      <w:r w:rsidRPr="00C5783B">
        <w:rPr>
          <w:sz w:val="20"/>
        </w:rPr>
        <w:t>), valamint a 2009/371/IB, a 2009/934/IB, a 2009/935/IB, a 2009/936/IB és a 2009/968/IB tanácsi határozat felváltásáról és hatályon kívül helyezéséről (HL L 135., 2016.5.24., 53. o.).</w:t>
      </w:r>
    </w:p>
  </w:footnote>
  <w:footnote w:id="2">
    <w:p w14:paraId="38053599" w14:textId="77777777" w:rsidR="00FC1E12" w:rsidRPr="00C5783B" w:rsidRDefault="00FC1E12" w:rsidP="00FC1E12">
      <w:pPr>
        <w:rPr>
          <w:sz w:val="20"/>
        </w:rPr>
      </w:pPr>
      <w:r w:rsidRPr="00C5783B">
        <w:rPr>
          <w:sz w:val="20"/>
          <w:vertAlign w:val="superscript"/>
        </w:rPr>
        <w:footnoteRef/>
      </w:r>
      <w:r w:rsidRPr="00C5783B">
        <w:rPr>
          <w:sz w:val="20"/>
        </w:rPr>
        <w:t xml:space="preserve"> 2/00. sz. vélemény („</w:t>
      </w:r>
      <w:proofErr w:type="spellStart"/>
      <w:r w:rsidRPr="00C5783B">
        <w:rPr>
          <w:sz w:val="20"/>
        </w:rPr>
        <w:t>Cartagena</w:t>
      </w:r>
      <w:proofErr w:type="spellEnd"/>
      <w:r w:rsidRPr="00C5783B">
        <w:rPr>
          <w:sz w:val="20"/>
        </w:rPr>
        <w:t xml:space="preserve"> Jegyzőkönyv”), ECLI:EU:C:2001:664, 5. pont.</w:t>
      </w:r>
    </w:p>
  </w:footnote>
  <w:footnote w:id="3">
    <w:p w14:paraId="3AE609C5" w14:textId="77777777" w:rsidR="00FC1E12" w:rsidRPr="00C5783B" w:rsidRDefault="00FC1E12" w:rsidP="00FC1E12">
      <w:pPr>
        <w:rPr>
          <w:sz w:val="20"/>
        </w:rPr>
      </w:pPr>
      <w:r w:rsidRPr="00C5783B">
        <w:rPr>
          <w:sz w:val="20"/>
          <w:vertAlign w:val="superscript"/>
        </w:rPr>
        <w:footnoteRef/>
      </w:r>
      <w:r w:rsidRPr="00C5783B">
        <w:rPr>
          <w:sz w:val="20"/>
        </w:rPr>
        <w:t xml:space="preserve"> C-300/89. sz., Bizottság kontra Tanács („Titán-dioxid”) ügy, ECLI:EU:C:1991:244, 10. pont.</w:t>
      </w:r>
    </w:p>
  </w:footnote>
  <w:footnote w:id="4">
    <w:p w14:paraId="2611A695" w14:textId="77777777" w:rsidR="00FC1E12" w:rsidRPr="00C5783B" w:rsidRDefault="00FC1E12" w:rsidP="00FC1E12">
      <w:pPr>
        <w:rPr>
          <w:sz w:val="20"/>
        </w:rPr>
      </w:pPr>
      <w:r w:rsidRPr="00C5783B">
        <w:rPr>
          <w:sz w:val="20"/>
          <w:vertAlign w:val="superscript"/>
        </w:rPr>
        <w:footnoteRef/>
      </w:r>
      <w:r w:rsidRPr="00C5783B">
        <w:rPr>
          <w:sz w:val="20"/>
        </w:rPr>
        <w:t xml:space="preserve"> Ugyanott, 30. pont, valamint a C-137/12. sz., Bizottság kontra Tanács ügy, ECLI:EU:C:2013:675, 53. pont és az ott hivatkozott ítélkezési gyakorlat.</w:t>
      </w:r>
    </w:p>
  </w:footnote>
  <w:footnote w:id="5">
    <w:p w14:paraId="0E3057B5" w14:textId="77777777" w:rsidR="00FC1E12" w:rsidRPr="00C5783B" w:rsidRDefault="00FC1E12" w:rsidP="00FC1E12">
      <w:pPr>
        <w:rPr>
          <w:sz w:val="20"/>
        </w:rPr>
      </w:pPr>
      <w:r w:rsidRPr="00C5783B">
        <w:rPr>
          <w:sz w:val="20"/>
          <w:vertAlign w:val="superscript"/>
        </w:rPr>
        <w:footnoteRef/>
      </w:r>
      <w:r w:rsidRPr="00C5783B">
        <w:rPr>
          <w:sz w:val="20"/>
        </w:rPr>
        <w:t xml:space="preserve"> C-300/89. sz. ügy, 13. és 17. pont; C-42/97. sz., </w:t>
      </w:r>
      <w:r w:rsidRPr="00C5783B">
        <w:rPr>
          <w:rStyle w:val="affairetitle"/>
          <w:sz w:val="20"/>
        </w:rPr>
        <w:t>Parlament kontra Tanács ügy, ECLI:</w:t>
      </w:r>
      <w:r w:rsidRPr="00C5783B">
        <w:rPr>
          <w:rStyle w:val="outputecliaff"/>
          <w:sz w:val="20"/>
        </w:rPr>
        <w:t>EU:C:1999:81,</w:t>
      </w:r>
      <w:r w:rsidRPr="00C5783B">
        <w:rPr>
          <w:sz w:val="20"/>
        </w:rPr>
        <w:t xml:space="preserve"> 38. pont; 2/00 sz. vélemény, 23. pont; C-94/03. sz., </w:t>
      </w:r>
      <w:r w:rsidRPr="00C5783B">
        <w:rPr>
          <w:rStyle w:val="affairetitle"/>
          <w:sz w:val="20"/>
        </w:rPr>
        <w:t>Bizottság kontra Tanács („Rotterdami Egyezmény”) ügy, ECLI:</w:t>
      </w:r>
      <w:r w:rsidRPr="00C5783B">
        <w:rPr>
          <w:rStyle w:val="outputecliaff"/>
          <w:sz w:val="20"/>
        </w:rPr>
        <w:t>EU:C:2006:2</w:t>
      </w:r>
      <w:r w:rsidRPr="00C5783B">
        <w:rPr>
          <w:sz w:val="20"/>
        </w:rPr>
        <w:t xml:space="preserve"> és C-178/03., </w:t>
      </w:r>
      <w:r w:rsidRPr="00C5783B">
        <w:rPr>
          <w:rStyle w:val="affairetitle"/>
          <w:sz w:val="20"/>
        </w:rPr>
        <w:t>Bizottság kontra Parlament és Tanács ügy, ECLI:</w:t>
      </w:r>
      <w:r w:rsidRPr="00C5783B">
        <w:rPr>
          <w:rStyle w:val="outputecliaff"/>
          <w:sz w:val="20"/>
        </w:rPr>
        <w:t>EU:C:2006:4,</w:t>
      </w:r>
      <w:r w:rsidRPr="00C5783B">
        <w:rPr>
          <w:sz w:val="20"/>
        </w:rPr>
        <w:t xml:space="preserve"> 36. és 43. pont.</w:t>
      </w:r>
    </w:p>
  </w:footnote>
  <w:footnote w:id="6">
    <w:p w14:paraId="6FA1695B" w14:textId="77777777" w:rsidR="00FC1E12" w:rsidRPr="0028700A" w:rsidRDefault="00FC1E12" w:rsidP="00FC1E12">
      <w:pPr>
        <w:rPr>
          <w:sz w:val="20"/>
        </w:rPr>
      </w:pPr>
      <w:r w:rsidRPr="00C5783B">
        <w:rPr>
          <w:sz w:val="20"/>
          <w:vertAlign w:val="superscript"/>
        </w:rPr>
        <w:footnoteRef/>
      </w:r>
      <w:r w:rsidRPr="00C5783B">
        <w:rPr>
          <w:sz w:val="20"/>
        </w:rPr>
        <w:t xml:space="preserve"> C-300/89. sz. ügy, 17–25. pont; C-268/94. sz., Portugália kontra Tanács ügy, ECLI:EU:C:1996:461.</w:t>
      </w:r>
    </w:p>
  </w:footnote>
  <w:footnote w:id="7">
    <w:p w14:paraId="1E53C784" w14:textId="77777777" w:rsidR="00FC1E12" w:rsidRPr="00C5783B" w:rsidRDefault="00FC1E12" w:rsidP="006A4CE5">
      <w:pPr>
        <w:rPr>
          <w:sz w:val="20"/>
        </w:rPr>
      </w:pPr>
      <w:r w:rsidRPr="00C5783B">
        <w:rPr>
          <w:sz w:val="20"/>
          <w:vertAlign w:val="superscript"/>
        </w:rPr>
        <w:footnoteRef/>
      </w:r>
      <w:r w:rsidRPr="00C5783B">
        <w:rPr>
          <w:sz w:val="20"/>
        </w:rPr>
        <w:t xml:space="preserve"> A zárószavazáson a következők voltak jelen: </w:t>
      </w:r>
      <w:proofErr w:type="spellStart"/>
      <w:r w:rsidRPr="00C5783B">
        <w:rPr>
          <w:sz w:val="20"/>
        </w:rPr>
        <w:t>Ilhan</w:t>
      </w:r>
      <w:proofErr w:type="spellEnd"/>
      <w:r w:rsidRPr="00C5783B">
        <w:rPr>
          <w:sz w:val="20"/>
        </w:rPr>
        <w:t xml:space="preserve"> </w:t>
      </w:r>
      <w:proofErr w:type="spellStart"/>
      <w:r w:rsidRPr="00C5783B">
        <w:rPr>
          <w:sz w:val="20"/>
        </w:rPr>
        <w:t>Kyuchyuk</w:t>
      </w:r>
      <w:proofErr w:type="spellEnd"/>
      <w:r w:rsidRPr="00C5783B">
        <w:rPr>
          <w:sz w:val="20"/>
        </w:rPr>
        <w:t xml:space="preserve"> (elnök), Marion </w:t>
      </w:r>
      <w:proofErr w:type="spellStart"/>
      <w:r w:rsidRPr="00C5783B">
        <w:rPr>
          <w:sz w:val="20"/>
        </w:rPr>
        <w:t>Walsmann</w:t>
      </w:r>
      <w:proofErr w:type="spellEnd"/>
      <w:r w:rsidRPr="00C5783B">
        <w:rPr>
          <w:sz w:val="20"/>
        </w:rPr>
        <w:t xml:space="preserve"> (alelnök), Mario </w:t>
      </w:r>
      <w:proofErr w:type="spellStart"/>
      <w:r w:rsidRPr="00C5783B">
        <w:rPr>
          <w:sz w:val="20"/>
        </w:rPr>
        <w:t>Mantovani</w:t>
      </w:r>
      <w:proofErr w:type="spellEnd"/>
      <w:r w:rsidRPr="00C5783B">
        <w:rPr>
          <w:sz w:val="20"/>
        </w:rPr>
        <w:t xml:space="preserve"> (alelnök), Lara </w:t>
      </w:r>
      <w:proofErr w:type="spellStart"/>
      <w:r w:rsidRPr="00C5783B">
        <w:rPr>
          <w:sz w:val="20"/>
        </w:rPr>
        <w:t>Wolters</w:t>
      </w:r>
      <w:proofErr w:type="spellEnd"/>
      <w:r w:rsidRPr="00C5783B">
        <w:rPr>
          <w:sz w:val="20"/>
        </w:rPr>
        <w:t xml:space="preserve"> (alelnök), </w:t>
      </w:r>
      <w:proofErr w:type="spellStart"/>
      <w:r w:rsidRPr="00C5783B">
        <w:rPr>
          <w:sz w:val="20"/>
        </w:rPr>
        <w:t>Maravillas</w:t>
      </w:r>
      <w:proofErr w:type="spellEnd"/>
      <w:r w:rsidRPr="00C5783B">
        <w:rPr>
          <w:sz w:val="20"/>
        </w:rPr>
        <w:t xml:space="preserve"> </w:t>
      </w:r>
      <w:proofErr w:type="spellStart"/>
      <w:r w:rsidRPr="00C5783B">
        <w:rPr>
          <w:sz w:val="20"/>
        </w:rPr>
        <w:t>Abadía</w:t>
      </w:r>
      <w:proofErr w:type="spellEnd"/>
      <w:r w:rsidRPr="00C5783B">
        <w:rPr>
          <w:sz w:val="20"/>
        </w:rPr>
        <w:t xml:space="preserve"> </w:t>
      </w:r>
      <w:proofErr w:type="spellStart"/>
      <w:r w:rsidRPr="00C5783B">
        <w:rPr>
          <w:sz w:val="20"/>
        </w:rPr>
        <w:t>Jover</w:t>
      </w:r>
      <w:proofErr w:type="spellEnd"/>
      <w:r w:rsidRPr="00C5783B">
        <w:rPr>
          <w:sz w:val="20"/>
        </w:rPr>
        <w:t xml:space="preserve">, </w:t>
      </w:r>
      <w:proofErr w:type="spellStart"/>
      <w:r w:rsidRPr="00C5783B">
        <w:rPr>
          <w:sz w:val="20"/>
        </w:rPr>
        <w:t>Tobiasz</w:t>
      </w:r>
      <w:proofErr w:type="spellEnd"/>
      <w:r w:rsidRPr="00C5783B">
        <w:rPr>
          <w:sz w:val="20"/>
        </w:rPr>
        <w:t xml:space="preserve"> </w:t>
      </w:r>
      <w:proofErr w:type="spellStart"/>
      <w:r w:rsidRPr="00C5783B">
        <w:rPr>
          <w:sz w:val="20"/>
        </w:rPr>
        <w:t>Bocheński</w:t>
      </w:r>
      <w:proofErr w:type="spellEnd"/>
      <w:r w:rsidRPr="00C5783B">
        <w:rPr>
          <w:sz w:val="20"/>
        </w:rPr>
        <w:t xml:space="preserve">, Pascal </w:t>
      </w:r>
      <w:proofErr w:type="spellStart"/>
      <w:r w:rsidRPr="00C5783B">
        <w:rPr>
          <w:sz w:val="20"/>
        </w:rPr>
        <w:t>Canfin</w:t>
      </w:r>
      <w:proofErr w:type="spellEnd"/>
      <w:r w:rsidRPr="00C5783B">
        <w:rPr>
          <w:sz w:val="20"/>
        </w:rPr>
        <w:t xml:space="preserve">, José </w:t>
      </w:r>
      <w:proofErr w:type="spellStart"/>
      <w:r w:rsidRPr="00C5783B">
        <w:rPr>
          <w:sz w:val="20"/>
        </w:rPr>
        <w:t>Cepeda</w:t>
      </w:r>
      <w:proofErr w:type="spellEnd"/>
      <w:r w:rsidRPr="00C5783B">
        <w:rPr>
          <w:sz w:val="20"/>
        </w:rPr>
        <w:t xml:space="preserve">, Henrik </w:t>
      </w:r>
      <w:proofErr w:type="spellStart"/>
      <w:r w:rsidRPr="00C5783B">
        <w:rPr>
          <w:sz w:val="20"/>
        </w:rPr>
        <w:t>Dahl</w:t>
      </w:r>
      <w:proofErr w:type="spellEnd"/>
      <w:r w:rsidRPr="00C5783B">
        <w:rPr>
          <w:sz w:val="20"/>
        </w:rPr>
        <w:t xml:space="preserve">, Ton </w:t>
      </w:r>
      <w:proofErr w:type="spellStart"/>
      <w:r w:rsidRPr="00C5783B">
        <w:rPr>
          <w:sz w:val="20"/>
        </w:rPr>
        <w:t>Diepeveen</w:t>
      </w:r>
      <w:proofErr w:type="spellEnd"/>
      <w:r w:rsidRPr="00C5783B">
        <w:rPr>
          <w:sz w:val="20"/>
        </w:rPr>
        <w:t xml:space="preserve">, Sebastian </w:t>
      </w:r>
      <w:proofErr w:type="spellStart"/>
      <w:r w:rsidRPr="00C5783B">
        <w:rPr>
          <w:sz w:val="20"/>
        </w:rPr>
        <w:t>Everding</w:t>
      </w:r>
      <w:proofErr w:type="spellEnd"/>
      <w:r w:rsidRPr="00C5783B">
        <w:rPr>
          <w:sz w:val="20"/>
        </w:rPr>
        <w:t xml:space="preserve"> (Mario </w:t>
      </w:r>
      <w:proofErr w:type="spellStart"/>
      <w:r w:rsidRPr="00C5783B">
        <w:rPr>
          <w:sz w:val="20"/>
        </w:rPr>
        <w:t>Furore</w:t>
      </w:r>
      <w:proofErr w:type="spellEnd"/>
      <w:r w:rsidRPr="00C5783B">
        <w:rPr>
          <w:sz w:val="20"/>
        </w:rPr>
        <w:t xml:space="preserve"> helyett az eljárási szabályzat 216. cikkének (7) bekezdése alapján), Győri Enikő (Jan Carlos </w:t>
      </w:r>
      <w:proofErr w:type="spellStart"/>
      <w:r w:rsidRPr="00C5783B">
        <w:rPr>
          <w:sz w:val="20"/>
        </w:rPr>
        <w:t>Girauta</w:t>
      </w:r>
      <w:proofErr w:type="spellEnd"/>
      <w:r w:rsidRPr="00C5783B">
        <w:rPr>
          <w:sz w:val="20"/>
        </w:rPr>
        <w:t xml:space="preserve"> Vidal helyett az eljárási szabályzat 216. cikkének (7) bekezdése alapján), Mary </w:t>
      </w:r>
      <w:proofErr w:type="spellStart"/>
      <w:r w:rsidRPr="00C5783B">
        <w:rPr>
          <w:sz w:val="20"/>
        </w:rPr>
        <w:t>Khan</w:t>
      </w:r>
      <w:proofErr w:type="spellEnd"/>
      <w:r w:rsidRPr="00C5783B">
        <w:rPr>
          <w:sz w:val="20"/>
        </w:rPr>
        <w:t xml:space="preserve">, </w:t>
      </w:r>
      <w:proofErr w:type="spellStart"/>
      <w:r w:rsidRPr="00C5783B">
        <w:rPr>
          <w:sz w:val="20"/>
        </w:rPr>
        <w:t>Ana</w:t>
      </w:r>
      <w:proofErr w:type="spellEnd"/>
      <w:r w:rsidRPr="00C5783B">
        <w:rPr>
          <w:sz w:val="20"/>
        </w:rPr>
        <w:t xml:space="preserve"> </w:t>
      </w:r>
      <w:proofErr w:type="spellStart"/>
      <w:r w:rsidRPr="00C5783B">
        <w:rPr>
          <w:sz w:val="20"/>
        </w:rPr>
        <w:t>Catarina</w:t>
      </w:r>
      <w:proofErr w:type="spellEnd"/>
      <w:r w:rsidRPr="00C5783B">
        <w:rPr>
          <w:sz w:val="20"/>
        </w:rPr>
        <w:t xml:space="preserve"> </w:t>
      </w:r>
      <w:proofErr w:type="spellStart"/>
      <w:r w:rsidRPr="00C5783B">
        <w:rPr>
          <w:sz w:val="20"/>
        </w:rPr>
        <w:t>Mendes</w:t>
      </w:r>
      <w:proofErr w:type="spellEnd"/>
      <w:r w:rsidRPr="00C5783B">
        <w:rPr>
          <w:sz w:val="20"/>
        </w:rPr>
        <w:t xml:space="preserve"> (Victor </w:t>
      </w:r>
      <w:proofErr w:type="spellStart"/>
      <w:r w:rsidRPr="00C5783B">
        <w:rPr>
          <w:sz w:val="20"/>
        </w:rPr>
        <w:t>Negrescu</w:t>
      </w:r>
      <w:proofErr w:type="spellEnd"/>
      <w:r w:rsidRPr="00C5783B">
        <w:rPr>
          <w:sz w:val="20"/>
        </w:rPr>
        <w:t xml:space="preserve"> helyett az eljárási szabályzat 216. cikkének (7) bekezdése alapján), Javier </w:t>
      </w:r>
      <w:proofErr w:type="spellStart"/>
      <w:r w:rsidRPr="00C5783B">
        <w:rPr>
          <w:sz w:val="20"/>
        </w:rPr>
        <w:t>Moreno</w:t>
      </w:r>
      <w:proofErr w:type="spellEnd"/>
      <w:r w:rsidRPr="00C5783B">
        <w:rPr>
          <w:sz w:val="20"/>
        </w:rPr>
        <w:t xml:space="preserve"> </w:t>
      </w:r>
      <w:proofErr w:type="spellStart"/>
      <w:r w:rsidRPr="00C5783B">
        <w:rPr>
          <w:sz w:val="20"/>
        </w:rPr>
        <w:t>Sánchez</w:t>
      </w:r>
      <w:proofErr w:type="spellEnd"/>
      <w:r w:rsidRPr="00C5783B">
        <w:rPr>
          <w:sz w:val="20"/>
        </w:rPr>
        <w:t xml:space="preserve"> (</w:t>
      </w:r>
      <w:proofErr w:type="spellStart"/>
      <w:r w:rsidRPr="00C5783B">
        <w:rPr>
          <w:sz w:val="20"/>
        </w:rPr>
        <w:t>Krzysztof</w:t>
      </w:r>
      <w:proofErr w:type="spellEnd"/>
      <w:r w:rsidRPr="00C5783B">
        <w:rPr>
          <w:sz w:val="20"/>
        </w:rPr>
        <w:t xml:space="preserve"> </w:t>
      </w:r>
      <w:proofErr w:type="spellStart"/>
      <w:r w:rsidRPr="00C5783B">
        <w:rPr>
          <w:sz w:val="20"/>
        </w:rPr>
        <w:t>Śmiszek</w:t>
      </w:r>
      <w:proofErr w:type="spellEnd"/>
      <w:r w:rsidRPr="00C5783B">
        <w:rPr>
          <w:sz w:val="20"/>
        </w:rPr>
        <w:t xml:space="preserve"> helyett az eljárási szabályzat 216. cikkének (7) bekezdése alapján), Angelika </w:t>
      </w:r>
      <w:proofErr w:type="spellStart"/>
      <w:r w:rsidRPr="00C5783B">
        <w:rPr>
          <w:sz w:val="20"/>
        </w:rPr>
        <w:t>Niebler</w:t>
      </w:r>
      <w:proofErr w:type="spellEnd"/>
      <w:r w:rsidRPr="00C5783B">
        <w:rPr>
          <w:sz w:val="20"/>
        </w:rPr>
        <w:t xml:space="preserve">, </w:t>
      </w:r>
      <w:proofErr w:type="spellStart"/>
      <w:r w:rsidRPr="00C5783B">
        <w:rPr>
          <w:sz w:val="20"/>
        </w:rPr>
        <w:t>Pascale</w:t>
      </w:r>
      <w:proofErr w:type="spellEnd"/>
      <w:r w:rsidRPr="00C5783B">
        <w:rPr>
          <w:sz w:val="20"/>
        </w:rPr>
        <w:t xml:space="preserve"> </w:t>
      </w:r>
      <w:proofErr w:type="spellStart"/>
      <w:r w:rsidRPr="00C5783B">
        <w:rPr>
          <w:sz w:val="20"/>
        </w:rPr>
        <w:t>Piera</w:t>
      </w:r>
      <w:proofErr w:type="spellEnd"/>
      <w:r w:rsidRPr="00C5783B">
        <w:rPr>
          <w:sz w:val="20"/>
        </w:rPr>
        <w:t xml:space="preserve">, </w:t>
      </w:r>
      <w:proofErr w:type="spellStart"/>
      <w:r w:rsidRPr="00C5783B">
        <w:rPr>
          <w:sz w:val="20"/>
        </w:rPr>
        <w:t>Kira</w:t>
      </w:r>
      <w:proofErr w:type="spellEnd"/>
      <w:r w:rsidRPr="00C5783B">
        <w:rPr>
          <w:sz w:val="20"/>
        </w:rPr>
        <w:t xml:space="preserve"> Marie Peter-Hansen, René </w:t>
      </w:r>
      <w:proofErr w:type="spellStart"/>
      <w:r w:rsidRPr="00C5783B">
        <w:rPr>
          <w:sz w:val="20"/>
        </w:rPr>
        <w:t>Repasi</w:t>
      </w:r>
      <w:proofErr w:type="spellEnd"/>
      <w:r w:rsidRPr="00C5783B">
        <w:rPr>
          <w:sz w:val="20"/>
        </w:rPr>
        <w:t xml:space="preserve">, </w:t>
      </w:r>
      <w:proofErr w:type="spellStart"/>
      <w:r w:rsidRPr="00C5783B">
        <w:rPr>
          <w:sz w:val="20"/>
        </w:rPr>
        <w:t>Tomas</w:t>
      </w:r>
      <w:proofErr w:type="spellEnd"/>
      <w:r w:rsidRPr="00C5783B">
        <w:rPr>
          <w:sz w:val="20"/>
        </w:rPr>
        <w:t xml:space="preserve"> </w:t>
      </w:r>
      <w:proofErr w:type="spellStart"/>
      <w:r w:rsidRPr="00C5783B">
        <w:rPr>
          <w:sz w:val="20"/>
        </w:rPr>
        <w:t>Tobé</w:t>
      </w:r>
      <w:proofErr w:type="spellEnd"/>
      <w:r w:rsidRPr="00C5783B">
        <w:rPr>
          <w:sz w:val="20"/>
        </w:rPr>
        <w:t xml:space="preserve">, Axel </w:t>
      </w:r>
      <w:proofErr w:type="spellStart"/>
      <w:r w:rsidRPr="00C5783B">
        <w:rPr>
          <w:sz w:val="20"/>
        </w:rPr>
        <w:t>Voss</w:t>
      </w:r>
      <w:proofErr w:type="spellEnd"/>
      <w:r w:rsidRPr="00C5783B">
        <w:rPr>
          <w:sz w:val="20"/>
        </w:rPr>
        <w:t xml:space="preserve">, Adrián </w:t>
      </w:r>
      <w:proofErr w:type="spellStart"/>
      <w:r w:rsidRPr="00C5783B">
        <w:rPr>
          <w:sz w:val="20"/>
        </w:rPr>
        <w:t>Vázquez</w:t>
      </w:r>
      <w:proofErr w:type="spellEnd"/>
      <w:r w:rsidRPr="00C5783B">
        <w:rPr>
          <w:sz w:val="20"/>
        </w:rPr>
        <w:t xml:space="preserve"> Lázara, </w:t>
      </w:r>
      <w:proofErr w:type="spellStart"/>
      <w:r w:rsidRPr="00C5783B">
        <w:rPr>
          <w:sz w:val="20"/>
        </w:rPr>
        <w:t>Jörgen</w:t>
      </w:r>
      <w:proofErr w:type="spellEnd"/>
      <w:r w:rsidRPr="00C5783B">
        <w:rPr>
          <w:sz w:val="20"/>
        </w:rPr>
        <w:t xml:space="preserve"> </w:t>
      </w:r>
      <w:proofErr w:type="spellStart"/>
      <w:r w:rsidRPr="00C5783B">
        <w:rPr>
          <w:sz w:val="20"/>
        </w:rPr>
        <w:t>Warborn</w:t>
      </w:r>
      <w:proofErr w:type="spellEnd"/>
      <w:r w:rsidRPr="00C5783B">
        <w:rPr>
          <w:sz w:val="20"/>
        </w:rPr>
        <w:t xml:space="preserve">, </w:t>
      </w:r>
      <w:proofErr w:type="spellStart"/>
      <w:r w:rsidRPr="00C5783B">
        <w:rPr>
          <w:sz w:val="20"/>
        </w:rPr>
        <w:t>Maciej</w:t>
      </w:r>
      <w:proofErr w:type="spellEnd"/>
      <w:r w:rsidRPr="00C5783B">
        <w:rPr>
          <w:sz w:val="20"/>
        </w:rPr>
        <w:t xml:space="preserve"> </w:t>
      </w:r>
      <w:proofErr w:type="spellStart"/>
      <w:r w:rsidRPr="00C5783B">
        <w:rPr>
          <w:sz w:val="20"/>
        </w:rPr>
        <w:t>Wąsik</w:t>
      </w:r>
      <w:proofErr w:type="spellEnd"/>
      <w:r w:rsidRPr="00C5783B">
        <w:rPr>
          <w:sz w:val="20"/>
        </w:rPr>
        <w:t xml:space="preserve"> (Dominik </w:t>
      </w:r>
      <w:proofErr w:type="spellStart"/>
      <w:r w:rsidRPr="00C5783B">
        <w:rPr>
          <w:sz w:val="20"/>
        </w:rPr>
        <w:t>Tarczyński</w:t>
      </w:r>
      <w:proofErr w:type="spellEnd"/>
      <w:r w:rsidRPr="00C5783B">
        <w:rPr>
          <w:sz w:val="20"/>
        </w:rPr>
        <w:t xml:space="preserve"> helyett az eljárási szabályzat 216. cikkének (7) bekezdése alapján), </w:t>
      </w:r>
      <w:proofErr w:type="spellStart"/>
      <w:r w:rsidRPr="00C5783B">
        <w:rPr>
          <w:sz w:val="20"/>
        </w:rPr>
        <w:t>Michał</w:t>
      </w:r>
      <w:proofErr w:type="spellEnd"/>
      <w:r w:rsidRPr="00C5783B">
        <w:rPr>
          <w:sz w:val="20"/>
        </w:rPr>
        <w:t xml:space="preserve"> </w:t>
      </w:r>
      <w:proofErr w:type="spellStart"/>
      <w:r w:rsidRPr="00C5783B">
        <w:rPr>
          <w:sz w:val="20"/>
        </w:rPr>
        <w:t>Wawrykiewicz</w:t>
      </w:r>
      <w:proofErr w:type="spellEnd"/>
      <w:r w:rsidRPr="00C5783B">
        <w:rPr>
          <w:sz w:val="20"/>
        </w:rPr>
        <w:t xml:space="preserve">, </w:t>
      </w:r>
      <w:proofErr w:type="spellStart"/>
      <w:r w:rsidRPr="00C5783B">
        <w:rPr>
          <w:sz w:val="20"/>
        </w:rPr>
        <w:t>Dainius</w:t>
      </w:r>
      <w:proofErr w:type="spellEnd"/>
      <w:r w:rsidRPr="00C5783B">
        <w:rPr>
          <w:sz w:val="20"/>
        </w:rPr>
        <w:t xml:space="preserve"> </w:t>
      </w:r>
      <w:proofErr w:type="spellStart"/>
      <w:r w:rsidRPr="00C5783B">
        <w:rPr>
          <w:sz w:val="20"/>
        </w:rPr>
        <w:t>Žalimas</w:t>
      </w:r>
      <w:proofErr w:type="spellEnd"/>
      <w:r w:rsidRPr="00C5783B">
        <w:rPr>
          <w:sz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77011" w14:textId="77777777" w:rsidR="00C5783B" w:rsidRDefault="00C578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31D7D" w14:textId="77777777" w:rsidR="00C5783B" w:rsidRDefault="00C578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FFBEE" w14:textId="77777777" w:rsidR="00C5783B" w:rsidRDefault="00C578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640A28"/>
    <w:multiLevelType w:val="singleLevel"/>
    <w:tmpl w:val="A01CE988"/>
    <w:lvl w:ilvl="0">
      <w:start w:val="352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06495604"/>
    <w:multiLevelType w:val="multilevel"/>
    <w:tmpl w:val="B8A4F914"/>
    <w:lvl w:ilvl="0">
      <w:start w:val="1"/>
      <w:numFmt w:val="decimal"/>
      <w:pStyle w:val="Point123"/>
      <w:lvlText w:val="%1."/>
      <w:lvlJc w:val="left"/>
      <w:pPr>
        <w:tabs>
          <w:tab w:val="num" w:pos="567"/>
        </w:tabs>
        <w:ind w:left="567" w:hanging="567"/>
      </w:pPr>
      <w:rPr>
        <w:i w:val="0"/>
        <w:iCs w:val="0"/>
      </w:rPr>
    </w:lvl>
    <w:lvl w:ilvl="1">
      <w:start w:val="1"/>
      <w:numFmt w:val="lowerLetter"/>
      <w:pStyle w:val="Pointabc"/>
      <w:lvlText w:val="%2)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Point1231"/>
      <w:lvlText w:val="%3."/>
      <w:lvlJc w:val="left"/>
      <w:pPr>
        <w:tabs>
          <w:tab w:val="num" w:pos="1134"/>
        </w:tabs>
        <w:ind w:left="1134" w:hanging="567"/>
      </w:pPr>
    </w:lvl>
    <w:lvl w:ilvl="3">
      <w:start w:val="1"/>
      <w:numFmt w:val="lowerLetter"/>
      <w:pStyle w:val="Pointabc1"/>
      <w:lvlText w:val="%4)"/>
      <w:lvlJc w:val="left"/>
      <w:pPr>
        <w:tabs>
          <w:tab w:val="num" w:pos="1134"/>
        </w:tabs>
        <w:ind w:left="1134" w:hanging="567"/>
      </w:pPr>
    </w:lvl>
    <w:lvl w:ilvl="4">
      <w:start w:val="1"/>
      <w:numFmt w:val="decimal"/>
      <w:pStyle w:val="Point1232"/>
      <w:lvlText w:val="%5."/>
      <w:lvlJc w:val="left"/>
      <w:pPr>
        <w:tabs>
          <w:tab w:val="num" w:pos="1701"/>
        </w:tabs>
        <w:ind w:left="1701" w:hanging="567"/>
      </w:pPr>
    </w:lvl>
    <w:lvl w:ilvl="5">
      <w:start w:val="1"/>
      <w:numFmt w:val="lowerLetter"/>
      <w:pStyle w:val="Pointabc2"/>
      <w:lvlText w:val="%6)"/>
      <w:lvlJc w:val="left"/>
      <w:pPr>
        <w:tabs>
          <w:tab w:val="num" w:pos="1701"/>
        </w:tabs>
        <w:ind w:left="1701" w:hanging="567"/>
      </w:pPr>
    </w:lvl>
    <w:lvl w:ilvl="6">
      <w:start w:val="1"/>
      <w:numFmt w:val="decimal"/>
      <w:pStyle w:val="Point1233"/>
      <w:lvlText w:val="%7."/>
      <w:lvlJc w:val="left"/>
      <w:pPr>
        <w:tabs>
          <w:tab w:val="num" w:pos="2268"/>
        </w:tabs>
        <w:ind w:left="2268" w:hanging="567"/>
      </w:pPr>
    </w:lvl>
    <w:lvl w:ilvl="7">
      <w:start w:val="1"/>
      <w:numFmt w:val="lowerLetter"/>
      <w:pStyle w:val="Pointabc3"/>
      <w:lvlText w:val="%8)"/>
      <w:lvlJc w:val="left"/>
      <w:pPr>
        <w:tabs>
          <w:tab w:val="num" w:pos="2268"/>
        </w:tabs>
        <w:ind w:left="2268" w:hanging="567"/>
      </w:pPr>
    </w:lvl>
    <w:lvl w:ilvl="8">
      <w:start w:val="1"/>
      <w:numFmt w:val="lowerLetter"/>
      <w:pStyle w:val="Pointabc4"/>
      <w:lvlText w:val="%9)"/>
      <w:lvlJc w:val="left"/>
      <w:pPr>
        <w:tabs>
          <w:tab w:val="num" w:pos="2835"/>
        </w:tabs>
        <w:ind w:left="2835" w:hanging="567"/>
      </w:pPr>
    </w:lvl>
  </w:abstractNum>
  <w:abstractNum w:abstractNumId="12" w15:restartNumberingAfterBreak="0">
    <w:nsid w:val="11D26130"/>
    <w:multiLevelType w:val="hybridMultilevel"/>
    <w:tmpl w:val="B964B4C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A866D9D"/>
    <w:multiLevelType w:val="singleLevel"/>
    <w:tmpl w:val="88A23CC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4C092F15"/>
    <w:multiLevelType w:val="singleLevel"/>
    <w:tmpl w:val="0809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53273985">
    <w:abstractNumId w:val="9"/>
  </w:num>
  <w:num w:numId="2" w16cid:durableId="213349796">
    <w:abstractNumId w:val="9"/>
  </w:num>
  <w:num w:numId="3" w16cid:durableId="1179202114">
    <w:abstractNumId w:val="7"/>
  </w:num>
  <w:num w:numId="4" w16cid:durableId="1941642848">
    <w:abstractNumId w:val="7"/>
  </w:num>
  <w:num w:numId="5" w16cid:durableId="1103919697">
    <w:abstractNumId w:val="6"/>
  </w:num>
  <w:num w:numId="6" w16cid:durableId="906719387">
    <w:abstractNumId w:val="6"/>
  </w:num>
  <w:num w:numId="7" w16cid:durableId="62535488">
    <w:abstractNumId w:val="5"/>
  </w:num>
  <w:num w:numId="8" w16cid:durableId="1265721669">
    <w:abstractNumId w:val="5"/>
  </w:num>
  <w:num w:numId="9" w16cid:durableId="1675568943">
    <w:abstractNumId w:val="4"/>
  </w:num>
  <w:num w:numId="10" w16cid:durableId="331106998">
    <w:abstractNumId w:val="4"/>
  </w:num>
  <w:num w:numId="11" w16cid:durableId="1514491047">
    <w:abstractNumId w:val="8"/>
  </w:num>
  <w:num w:numId="12" w16cid:durableId="932931865">
    <w:abstractNumId w:val="8"/>
  </w:num>
  <w:num w:numId="13" w16cid:durableId="239021829">
    <w:abstractNumId w:val="3"/>
  </w:num>
  <w:num w:numId="14" w16cid:durableId="327173004">
    <w:abstractNumId w:val="3"/>
  </w:num>
  <w:num w:numId="15" w16cid:durableId="1767462536">
    <w:abstractNumId w:val="2"/>
  </w:num>
  <w:num w:numId="16" w16cid:durableId="1164131059">
    <w:abstractNumId w:val="2"/>
  </w:num>
  <w:num w:numId="17" w16cid:durableId="2038196760">
    <w:abstractNumId w:val="1"/>
  </w:num>
  <w:num w:numId="18" w16cid:durableId="1497963733">
    <w:abstractNumId w:val="1"/>
  </w:num>
  <w:num w:numId="19" w16cid:durableId="1484199108">
    <w:abstractNumId w:val="0"/>
  </w:num>
  <w:num w:numId="20" w16cid:durableId="1787461029">
    <w:abstractNumId w:val="0"/>
  </w:num>
  <w:num w:numId="21" w16cid:durableId="714278344">
    <w:abstractNumId w:val="9"/>
  </w:num>
  <w:num w:numId="22" w16cid:durableId="316347911">
    <w:abstractNumId w:val="7"/>
  </w:num>
  <w:num w:numId="23" w16cid:durableId="42143750">
    <w:abstractNumId w:val="6"/>
  </w:num>
  <w:num w:numId="24" w16cid:durableId="661549609">
    <w:abstractNumId w:val="5"/>
  </w:num>
  <w:num w:numId="25" w16cid:durableId="1828548320">
    <w:abstractNumId w:val="4"/>
  </w:num>
  <w:num w:numId="26" w16cid:durableId="1558779012">
    <w:abstractNumId w:val="8"/>
  </w:num>
  <w:num w:numId="27" w16cid:durableId="1375346819">
    <w:abstractNumId w:val="3"/>
  </w:num>
  <w:num w:numId="28" w16cid:durableId="1616517393">
    <w:abstractNumId w:val="2"/>
  </w:num>
  <w:num w:numId="29" w16cid:durableId="615409849">
    <w:abstractNumId w:val="1"/>
  </w:num>
  <w:num w:numId="30" w16cid:durableId="1627196943">
    <w:abstractNumId w:val="0"/>
  </w:num>
  <w:num w:numId="31" w16cid:durableId="484126399">
    <w:abstractNumId w:val="9"/>
  </w:num>
  <w:num w:numId="32" w16cid:durableId="1368095788">
    <w:abstractNumId w:val="7"/>
  </w:num>
  <w:num w:numId="33" w16cid:durableId="1651715292">
    <w:abstractNumId w:val="6"/>
  </w:num>
  <w:num w:numId="34" w16cid:durableId="869031735">
    <w:abstractNumId w:val="5"/>
  </w:num>
  <w:num w:numId="35" w16cid:durableId="1074813820">
    <w:abstractNumId w:val="4"/>
  </w:num>
  <w:num w:numId="36" w16cid:durableId="665321795">
    <w:abstractNumId w:val="8"/>
  </w:num>
  <w:num w:numId="37" w16cid:durableId="846746537">
    <w:abstractNumId w:val="3"/>
  </w:num>
  <w:num w:numId="38" w16cid:durableId="1437866853">
    <w:abstractNumId w:val="2"/>
  </w:num>
  <w:num w:numId="39" w16cid:durableId="1549489362">
    <w:abstractNumId w:val="1"/>
  </w:num>
  <w:num w:numId="40" w16cid:durableId="480392547">
    <w:abstractNumId w:val="0"/>
  </w:num>
  <w:num w:numId="41" w16cid:durableId="1577007489">
    <w:abstractNumId w:val="10"/>
  </w:num>
  <w:num w:numId="42" w16cid:durableId="1677919027">
    <w:abstractNumId w:val="14"/>
  </w:num>
  <w:num w:numId="43" w16cid:durableId="476580367">
    <w:abstractNumId w:val="13"/>
  </w:num>
  <w:num w:numId="44" w16cid:durableId="32683209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23732397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mirrorMargin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DDRESSMNU" w:val=" 1"/>
    <w:docVar w:name="LastEditedSection" w:val=" 1"/>
    <w:docVar w:name="strDocTypeID" w:val="AL_JURI"/>
    <w:docVar w:name="strSubDir" w:val="1330"/>
    <w:docVar w:name="TXTLANGUE" w:val="HU"/>
    <w:docVar w:name="TXTLANGUEMIN" w:val="hu"/>
    <w:docVar w:name="TXTNRC" w:val="0754"/>
    <w:docVar w:name="TXTNRCOM" w:val="2023"/>
    <w:docVar w:name="TXTNRPE" w:val="778.317"/>
    <w:docVar w:name="TXTNRPROC" w:val="2023/0438"/>
    <w:docVar w:name="TXTPEorAP" w:val="PE"/>
    <w:docVar w:name="TXTROUTE" w:val="AL\1330969HU.docx"/>
    <w:docVar w:name="TXTVERSION" w:val="02-00"/>
  </w:docVars>
  <w:rsids>
    <w:rsidRoot w:val="005C4B56"/>
    <w:rsid w:val="00000C7D"/>
    <w:rsid w:val="0000696F"/>
    <w:rsid w:val="00012F0D"/>
    <w:rsid w:val="00035402"/>
    <w:rsid w:val="000C3F41"/>
    <w:rsid w:val="000D2B86"/>
    <w:rsid w:val="0012665B"/>
    <w:rsid w:val="001422AE"/>
    <w:rsid w:val="00157D4E"/>
    <w:rsid w:val="001701D6"/>
    <w:rsid w:val="001D1646"/>
    <w:rsid w:val="00250DDD"/>
    <w:rsid w:val="0028700A"/>
    <w:rsid w:val="002B6CA1"/>
    <w:rsid w:val="00324EAF"/>
    <w:rsid w:val="00332170"/>
    <w:rsid w:val="003666DE"/>
    <w:rsid w:val="003763A3"/>
    <w:rsid w:val="003C41CE"/>
    <w:rsid w:val="003C6D88"/>
    <w:rsid w:val="00463119"/>
    <w:rsid w:val="00482DA5"/>
    <w:rsid w:val="00493031"/>
    <w:rsid w:val="004D0D33"/>
    <w:rsid w:val="004D0D4E"/>
    <w:rsid w:val="004E5B27"/>
    <w:rsid w:val="004F676F"/>
    <w:rsid w:val="00501E47"/>
    <w:rsid w:val="00505A2E"/>
    <w:rsid w:val="00571C42"/>
    <w:rsid w:val="00595C9D"/>
    <w:rsid w:val="005C4B56"/>
    <w:rsid w:val="005F56BD"/>
    <w:rsid w:val="006574DC"/>
    <w:rsid w:val="006A4CE5"/>
    <w:rsid w:val="006F51B0"/>
    <w:rsid w:val="007179A7"/>
    <w:rsid w:val="0074577C"/>
    <w:rsid w:val="0077327E"/>
    <w:rsid w:val="007829F6"/>
    <w:rsid w:val="007E6351"/>
    <w:rsid w:val="007F3C4A"/>
    <w:rsid w:val="007F7DB6"/>
    <w:rsid w:val="00802D65"/>
    <w:rsid w:val="008249C6"/>
    <w:rsid w:val="0084209A"/>
    <w:rsid w:val="00853AFA"/>
    <w:rsid w:val="0089677B"/>
    <w:rsid w:val="008A7815"/>
    <w:rsid w:val="008C0413"/>
    <w:rsid w:val="008E2161"/>
    <w:rsid w:val="009957FA"/>
    <w:rsid w:val="009D564F"/>
    <w:rsid w:val="009F796C"/>
    <w:rsid w:val="00A02D71"/>
    <w:rsid w:val="00A04228"/>
    <w:rsid w:val="00A37F67"/>
    <w:rsid w:val="00A441B1"/>
    <w:rsid w:val="00A93DB1"/>
    <w:rsid w:val="00AC0580"/>
    <w:rsid w:val="00AE6929"/>
    <w:rsid w:val="00C127ED"/>
    <w:rsid w:val="00C5783B"/>
    <w:rsid w:val="00C82F7E"/>
    <w:rsid w:val="00CE1655"/>
    <w:rsid w:val="00D478EA"/>
    <w:rsid w:val="00D77B8C"/>
    <w:rsid w:val="00D92A83"/>
    <w:rsid w:val="00E71F4C"/>
    <w:rsid w:val="00E743B3"/>
    <w:rsid w:val="00F12926"/>
    <w:rsid w:val="00F30938"/>
    <w:rsid w:val="00F501D2"/>
    <w:rsid w:val="00F70D50"/>
    <w:rsid w:val="00FC1E12"/>
    <w:rsid w:val="00FD6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C8C4C5"/>
  <w15:chartTrackingRefBased/>
  <w15:docId w15:val="{60A0B861-4EFF-4947-B01B-BBA31F701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 w:qFormat="1"/>
    <w:lsdException w:name="footer" w:semiHidden="1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2665B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Normal12a">
    <w:name w:val="Normal12a"/>
    <w:basedOn w:val="Normal"/>
    <w:pPr>
      <w:spacing w:after="240"/>
    </w:pPr>
  </w:style>
  <w:style w:type="paragraph" w:customStyle="1" w:styleId="EPFooter2">
    <w:name w:val="EPFooter2"/>
    <w:basedOn w:val="Normal"/>
    <w:next w:val="Normal"/>
    <w:rsid w:val="00A04228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LetterDate">
    <w:name w:val="LetterDate"/>
    <w:basedOn w:val="Normal"/>
    <w:rsid w:val="00A04228"/>
    <w:pPr>
      <w:spacing w:before="720" w:after="240"/>
    </w:p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Name">
    <w:name w:val="EPName"/>
    <w:basedOn w:val="Normal"/>
    <w:rsid w:val="00CE1655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CE1655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CE1655"/>
    <w:pPr>
      <w:jc w:val="right"/>
    </w:pPr>
  </w:style>
  <w:style w:type="paragraph" w:customStyle="1" w:styleId="LetterSubject">
    <w:name w:val="LetterSubject"/>
    <w:basedOn w:val="Normal"/>
    <w:rsid w:val="00463119"/>
    <w:pPr>
      <w:spacing w:before="480"/>
      <w:ind w:left="1134" w:hanging="1134"/>
    </w:pPr>
  </w:style>
  <w:style w:type="paragraph" w:customStyle="1" w:styleId="LetterSignature66b">
    <w:name w:val="LetterSignature66b"/>
    <w:basedOn w:val="Normal"/>
    <w:next w:val="Normal"/>
    <w:rsid w:val="00595C9D"/>
    <w:pPr>
      <w:spacing w:before="1320"/>
    </w:pPr>
  </w:style>
  <w:style w:type="table" w:styleId="TableGrid">
    <w:name w:val="Table Grid"/>
    <w:basedOn w:val="TableNormal"/>
    <w:rsid w:val="00000C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A04228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000C7D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00696F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LetterSalutation">
    <w:name w:val="LetterSalutation"/>
    <w:basedOn w:val="Normal"/>
    <w:rsid w:val="008A7815"/>
    <w:pPr>
      <w:spacing w:before="600" w:after="360"/>
    </w:pPr>
  </w:style>
  <w:style w:type="paragraph" w:customStyle="1" w:styleId="EPFooter">
    <w:name w:val="EPFooter"/>
    <w:basedOn w:val="Normal"/>
    <w:rsid w:val="000C3F41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paragraph" w:styleId="Header">
    <w:name w:val="header"/>
    <w:basedOn w:val="Normal"/>
    <w:link w:val="HeaderChar"/>
    <w:semiHidden/>
    <w:rsid w:val="000C3F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semiHidden/>
    <w:rsid w:val="00332170"/>
    <w:rPr>
      <w:sz w:val="24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802D65"/>
    <w:pPr>
      <w:keepLines/>
      <w:spacing w:after="240"/>
    </w:pPr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</w:rPr>
  </w:style>
  <w:style w:type="paragraph" w:customStyle="1" w:styleId="Pointabc">
    <w:name w:val="Point abc"/>
    <w:basedOn w:val="Normal"/>
    <w:rsid w:val="00FC1E12"/>
    <w:pPr>
      <w:widowControl/>
      <w:numPr>
        <w:ilvl w:val="1"/>
        <w:numId w:val="44"/>
      </w:numPr>
      <w:spacing w:before="120" w:after="120" w:line="360" w:lineRule="auto"/>
    </w:pPr>
    <w:rPr>
      <w:rFonts w:eastAsiaTheme="minorHAnsi"/>
      <w:szCs w:val="22"/>
      <w:lang w:eastAsia="en-US"/>
    </w:rPr>
  </w:style>
  <w:style w:type="paragraph" w:customStyle="1" w:styleId="Pointabc1">
    <w:name w:val="Point abc (1)"/>
    <w:basedOn w:val="Normal"/>
    <w:rsid w:val="00FC1E12"/>
    <w:pPr>
      <w:widowControl/>
      <w:numPr>
        <w:ilvl w:val="3"/>
        <w:numId w:val="44"/>
      </w:numPr>
      <w:spacing w:before="120" w:after="120" w:line="360" w:lineRule="auto"/>
    </w:pPr>
    <w:rPr>
      <w:rFonts w:eastAsiaTheme="minorHAnsi"/>
      <w:szCs w:val="22"/>
      <w:lang w:eastAsia="en-US"/>
    </w:rPr>
  </w:style>
  <w:style w:type="paragraph" w:customStyle="1" w:styleId="Pointabc2">
    <w:name w:val="Point abc (2)"/>
    <w:basedOn w:val="Normal"/>
    <w:rsid w:val="00FC1E12"/>
    <w:pPr>
      <w:widowControl/>
      <w:numPr>
        <w:ilvl w:val="5"/>
        <w:numId w:val="44"/>
      </w:numPr>
      <w:spacing w:before="120" w:after="120" w:line="360" w:lineRule="auto"/>
    </w:pPr>
    <w:rPr>
      <w:rFonts w:eastAsiaTheme="minorHAnsi"/>
      <w:szCs w:val="22"/>
      <w:lang w:eastAsia="en-US"/>
    </w:rPr>
  </w:style>
  <w:style w:type="paragraph" w:customStyle="1" w:styleId="Pointabc3">
    <w:name w:val="Point abc (3)"/>
    <w:basedOn w:val="Normal"/>
    <w:rsid w:val="00FC1E12"/>
    <w:pPr>
      <w:widowControl/>
      <w:numPr>
        <w:ilvl w:val="7"/>
        <w:numId w:val="44"/>
      </w:numPr>
      <w:spacing w:before="120" w:after="120" w:line="360" w:lineRule="auto"/>
    </w:pPr>
    <w:rPr>
      <w:rFonts w:eastAsiaTheme="minorHAnsi"/>
      <w:szCs w:val="22"/>
      <w:lang w:eastAsia="en-US"/>
    </w:rPr>
  </w:style>
  <w:style w:type="paragraph" w:customStyle="1" w:styleId="Pointabc4">
    <w:name w:val="Point abc (4)"/>
    <w:basedOn w:val="Normal"/>
    <w:rsid w:val="00FC1E12"/>
    <w:pPr>
      <w:widowControl/>
      <w:numPr>
        <w:ilvl w:val="8"/>
        <w:numId w:val="44"/>
      </w:numPr>
      <w:spacing w:before="120" w:after="120" w:line="360" w:lineRule="auto"/>
    </w:pPr>
    <w:rPr>
      <w:rFonts w:eastAsiaTheme="minorHAnsi"/>
      <w:szCs w:val="22"/>
      <w:lang w:eastAsia="en-US"/>
    </w:rPr>
  </w:style>
  <w:style w:type="paragraph" w:customStyle="1" w:styleId="Point123">
    <w:name w:val="Point 123"/>
    <w:basedOn w:val="Normal"/>
    <w:rsid w:val="00FC1E12"/>
    <w:pPr>
      <w:widowControl/>
      <w:numPr>
        <w:numId w:val="44"/>
      </w:numPr>
      <w:spacing w:before="120" w:after="120" w:line="360" w:lineRule="auto"/>
    </w:pPr>
    <w:rPr>
      <w:rFonts w:eastAsiaTheme="minorHAnsi"/>
      <w:szCs w:val="22"/>
      <w:lang w:eastAsia="en-US"/>
    </w:rPr>
  </w:style>
  <w:style w:type="paragraph" w:customStyle="1" w:styleId="Point1231">
    <w:name w:val="Point 123 (1)"/>
    <w:basedOn w:val="Normal"/>
    <w:rsid w:val="00FC1E12"/>
    <w:pPr>
      <w:widowControl/>
      <w:numPr>
        <w:ilvl w:val="2"/>
        <w:numId w:val="44"/>
      </w:numPr>
      <w:spacing w:before="120" w:after="120" w:line="360" w:lineRule="auto"/>
    </w:pPr>
    <w:rPr>
      <w:rFonts w:eastAsiaTheme="minorHAnsi"/>
      <w:szCs w:val="22"/>
      <w:lang w:eastAsia="en-US"/>
    </w:rPr>
  </w:style>
  <w:style w:type="paragraph" w:customStyle="1" w:styleId="Point1232">
    <w:name w:val="Point 123 (2)"/>
    <w:basedOn w:val="Normal"/>
    <w:rsid w:val="00FC1E12"/>
    <w:pPr>
      <w:widowControl/>
      <w:numPr>
        <w:ilvl w:val="4"/>
        <w:numId w:val="44"/>
      </w:numPr>
      <w:spacing w:before="120" w:after="120" w:line="360" w:lineRule="auto"/>
    </w:pPr>
    <w:rPr>
      <w:rFonts w:eastAsiaTheme="minorHAnsi"/>
      <w:szCs w:val="22"/>
      <w:lang w:eastAsia="en-US"/>
    </w:rPr>
  </w:style>
  <w:style w:type="paragraph" w:customStyle="1" w:styleId="Point1233">
    <w:name w:val="Point 123 (3)"/>
    <w:basedOn w:val="Normal"/>
    <w:rsid w:val="00FC1E12"/>
    <w:pPr>
      <w:widowControl/>
      <w:numPr>
        <w:ilvl w:val="6"/>
        <w:numId w:val="44"/>
      </w:numPr>
      <w:spacing w:before="120" w:after="120" w:line="360" w:lineRule="auto"/>
    </w:pPr>
    <w:rPr>
      <w:rFonts w:eastAsiaTheme="minorHAnsi"/>
      <w:szCs w:val="22"/>
      <w:lang w:eastAsia="en-US"/>
    </w:rPr>
  </w:style>
  <w:style w:type="character" w:customStyle="1" w:styleId="Nessuno">
    <w:name w:val="Nessuno"/>
    <w:rsid w:val="00FC1E12"/>
  </w:style>
  <w:style w:type="character" w:customStyle="1" w:styleId="outputecliaff">
    <w:name w:val="outputecliaff"/>
    <w:basedOn w:val="DefaultParagraphFont"/>
    <w:rsid w:val="00FC1E12"/>
  </w:style>
  <w:style w:type="character" w:customStyle="1" w:styleId="affairetitle">
    <w:name w:val="affaire_title"/>
    <w:basedOn w:val="DefaultParagraphFont"/>
    <w:rsid w:val="00FC1E12"/>
  </w:style>
  <w:style w:type="paragraph" w:styleId="Footer">
    <w:name w:val="footer"/>
    <w:basedOn w:val="Normal"/>
    <w:link w:val="FooterChar"/>
    <w:semiHidden/>
    <w:rsid w:val="00A93DB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A93DB1"/>
    <w:rPr>
      <w:sz w:val="24"/>
    </w:rPr>
  </w:style>
  <w:style w:type="paragraph" w:styleId="BalloonText">
    <w:name w:val="Balloon Text"/>
    <w:basedOn w:val="Normal"/>
    <w:link w:val="BalloonTextChar"/>
    <w:semiHidden/>
    <w:unhideWhenUsed/>
    <w:rsid w:val="00571C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71C4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71C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7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1562</Words>
  <Characters>11175</Characters>
  <Application>Microsoft Office Word</Application>
  <DocSecurity>0</DocSecurity>
  <Lines>224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AL_JURI</vt:lpstr>
    </vt:vector>
  </TitlesOfParts>
  <Company/>
  <LinksUpToDate>false</LinksUpToDate>
  <CharactersWithSpaces>12680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AL_JURI</dc:title>
  <dc:subject/>
  <dc:creator>ZAHARIE Ana Maria</dc:creator>
  <cp:keywords/>
  <dc:description/>
  <cp:lastModifiedBy>CSANDAL Zsolt</cp:lastModifiedBy>
  <cp:revision>2</cp:revision>
  <cp:lastPrinted>2004-06-24T10:04:00Z</cp:lastPrinted>
  <dcterms:created xsi:type="dcterms:W3CDTF">2025-10-31T10:59:00Z</dcterms:created>
  <dcterms:modified xsi:type="dcterms:W3CDTF">2025-10-31T10:59:00Z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HU</vt:lpwstr>
  </property>
  <property fmtid="{D5CDD505-2E9C-101B-9397-08002B2CF9AE}" pid="3" name="Created with">
    <vt:lpwstr>10.1.2 Build [20250817]</vt:lpwstr>
  </property>
  <property fmtid="{D5CDD505-2E9C-101B-9397-08002B2CF9AE}" pid="4" name="LastEdited with">
    <vt:lpwstr>10.2.0 Build [20251001]</vt:lpwstr>
  </property>
  <property fmtid="{D5CDD505-2E9C-101B-9397-08002B2CF9AE}" pid="5" name="&lt;FdR&gt;">
    <vt:lpwstr>1330969</vt:lpwstr>
  </property>
  <property fmtid="{D5CDD505-2E9C-101B-9397-08002B2CF9AE}" pid="6" name="&lt;Type&gt;">
    <vt:lpwstr>AL</vt:lpwstr>
  </property>
  <property fmtid="{D5CDD505-2E9C-101B-9397-08002B2CF9AE}" pid="7" name="&lt;ModelCod&gt;">
    <vt:lpwstr>\\eiciBRUpr1\pdocep$\DocEP\DOCS\General\AL\AL_JURI.dotx(20/01/2023 22:25:05)</vt:lpwstr>
  </property>
  <property fmtid="{D5CDD505-2E9C-101B-9397-08002B2CF9AE}" pid="8" name="&lt;ModelTra&gt;">
    <vt:lpwstr>\\eiciBRUpr1\pdocep$\DocEP\TRANSFIL\EN\AL_JURI.EN(11/09/2024 09:05:01)</vt:lpwstr>
  </property>
  <property fmtid="{D5CDD505-2E9C-101B-9397-08002B2CF9AE}" pid="9" name="&lt;Model&gt;">
    <vt:lpwstr>AL_JURI</vt:lpwstr>
  </property>
  <property fmtid="{D5CDD505-2E9C-101B-9397-08002B2CF9AE}" pid="10" name="FooterPath">
    <vt:lpwstr>AL\1330969HU.docx</vt:lpwstr>
  </property>
  <property fmtid="{D5CDD505-2E9C-101B-9397-08002B2CF9AE}" pid="11" name="PE number">
    <vt:lpwstr>778.317</vt:lpwstr>
  </property>
  <property fmtid="{D5CDD505-2E9C-101B-9397-08002B2CF9AE}" pid="12" name="SendToEpades">
    <vt:lpwstr>OK - 2025/10/29 16:13</vt:lpwstr>
  </property>
  <property fmtid="{D5CDD505-2E9C-101B-9397-08002B2CF9AE}" pid="13" name="SDLStudio">
    <vt:lpwstr/>
  </property>
  <property fmtid="{D5CDD505-2E9C-101B-9397-08002B2CF9AE}" pid="14" name="Bookout">
    <vt:lpwstr>OK - 2025/10/31 11:59</vt:lpwstr>
  </property>
</Properties>
</file>