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666DE" w:rsidRPr="00CD149B" w14:paraId="586099A7" w14:textId="77777777" w:rsidTr="00C85D0F">
        <w:trPr>
          <w:trHeight w:hRule="exact" w:val="1418"/>
        </w:trPr>
        <w:tc>
          <w:tcPr>
            <w:tcW w:w="6804" w:type="dxa"/>
            <w:shd w:val="clear" w:color="auto" w:fill="auto"/>
            <w:vAlign w:val="center"/>
          </w:tcPr>
          <w:p w14:paraId="0D049BCE" w14:textId="77777777" w:rsidR="003666DE" w:rsidRPr="00CD149B" w:rsidRDefault="005C4B56" w:rsidP="00C85D0F">
            <w:pPr>
              <w:pStyle w:val="EPName"/>
            </w:pPr>
            <w:r w:rsidRPr="00CD149B">
              <w:t>Europos Parlamentas</w:t>
            </w:r>
          </w:p>
          <w:p w14:paraId="04D9DB2C" w14:textId="77777777" w:rsidR="003666DE" w:rsidRPr="00CD149B" w:rsidRDefault="00324EAF" w:rsidP="00324EAF">
            <w:pPr>
              <w:pStyle w:val="EPTerm"/>
            </w:pPr>
            <w:r w:rsidRPr="00CD149B">
              <w:t>2024-2029</w:t>
            </w:r>
          </w:p>
        </w:tc>
        <w:tc>
          <w:tcPr>
            <w:tcW w:w="2268" w:type="dxa"/>
            <w:shd w:val="clear" w:color="auto" w:fill="auto"/>
          </w:tcPr>
          <w:p w14:paraId="34B9D657" w14:textId="77777777" w:rsidR="003666DE" w:rsidRPr="00CD149B" w:rsidRDefault="003666DE" w:rsidP="00C85D0F">
            <w:pPr>
              <w:pStyle w:val="EPLogo"/>
            </w:pPr>
            <w:r w:rsidRPr="00CD149B">
              <w:rPr>
                <w:noProof/>
              </w:rPr>
              <w:drawing>
                <wp:inline distT="0" distB="0" distL="0" distR="0" wp14:anchorId="2AE5C3AE" wp14:editId="4B90C4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F3718A" w14:textId="77777777" w:rsidR="00000C7D" w:rsidRPr="00CD149B" w:rsidRDefault="00000C7D" w:rsidP="00000C7D">
      <w:pPr>
        <w:pStyle w:val="LineTop"/>
      </w:pPr>
    </w:p>
    <w:p w14:paraId="725774C0" w14:textId="77777777" w:rsidR="00000C7D" w:rsidRPr="00CD149B" w:rsidRDefault="00000C7D" w:rsidP="00000C7D">
      <w:pPr>
        <w:pStyle w:val="EPBody"/>
      </w:pPr>
      <w:r w:rsidRPr="00CD149B">
        <w:rPr>
          <w:rStyle w:val="HideTWBExt"/>
        </w:rPr>
        <w:t>&lt;</w:t>
      </w:r>
      <w:r w:rsidRPr="00CD149B">
        <w:rPr>
          <w:rStyle w:val="HideTWBExt"/>
          <w:i w:val="0"/>
        </w:rPr>
        <w:t>Commission</w:t>
      </w:r>
      <w:r w:rsidRPr="00CD149B">
        <w:rPr>
          <w:rStyle w:val="HideTWBExt"/>
        </w:rPr>
        <w:t>&gt;</w:t>
      </w:r>
      <w:r w:rsidRPr="00CD149B">
        <w:rPr>
          <w:rStyle w:val="HideTWBInt"/>
        </w:rPr>
        <w:t>{JURI}</w:t>
      </w:r>
      <w:r w:rsidRPr="00CD149B">
        <w:t>Teisės reikalų komitetas</w:t>
      </w:r>
      <w:r w:rsidRPr="00CD149B">
        <w:rPr>
          <w:rStyle w:val="HideTWBExt"/>
        </w:rPr>
        <w:t>&lt;/</w:t>
      </w:r>
      <w:proofErr w:type="spellStart"/>
      <w:r w:rsidRPr="00CD149B">
        <w:rPr>
          <w:rStyle w:val="HideTWBExt"/>
          <w:i w:val="0"/>
        </w:rPr>
        <w:t>Commission</w:t>
      </w:r>
      <w:proofErr w:type="spellEnd"/>
      <w:r w:rsidRPr="00CD149B">
        <w:rPr>
          <w:rStyle w:val="HideTWBExt"/>
        </w:rPr>
        <w:t>&gt;</w:t>
      </w:r>
    </w:p>
    <w:p w14:paraId="2026DDBE" w14:textId="77777777" w:rsidR="00000C7D" w:rsidRPr="00CD149B" w:rsidRDefault="005C4B56" w:rsidP="00000C7D">
      <w:pPr>
        <w:pStyle w:val="EPBody"/>
      </w:pPr>
      <w:r w:rsidRPr="00CD149B">
        <w:t>Pirmininkas</w:t>
      </w:r>
    </w:p>
    <w:p w14:paraId="0E157C65" w14:textId="77777777" w:rsidR="00000C7D" w:rsidRPr="00CD149B" w:rsidRDefault="00000C7D" w:rsidP="00000C7D">
      <w:pPr>
        <w:pStyle w:val="LineBottom"/>
      </w:pPr>
    </w:p>
    <w:p w14:paraId="6951F546" w14:textId="77777777" w:rsidR="00E71F4C" w:rsidRPr="00CD149B" w:rsidRDefault="00501E47" w:rsidP="00A04228">
      <w:pPr>
        <w:pStyle w:val="LetterDate"/>
      </w:pPr>
      <w:r w:rsidRPr="00CD149B">
        <w:rPr>
          <w:rStyle w:val="HideTWBExt"/>
        </w:rPr>
        <w:t>&lt;Date&gt;</w:t>
      </w:r>
      <w:r w:rsidRPr="00CD149B">
        <w:rPr>
          <w:rStyle w:val="HideTWBInt"/>
        </w:rPr>
        <w:t>{17/10/2025}</w:t>
      </w:r>
      <w:r w:rsidRPr="00CD149B">
        <w:t>17.10.2025</w:t>
      </w:r>
      <w:r w:rsidRPr="00CD149B">
        <w:rPr>
          <w:rStyle w:val="HideTWBExt"/>
        </w:rPr>
        <w:t>&lt;/</w:t>
      </w:r>
      <w:proofErr w:type="spellStart"/>
      <w:r w:rsidRPr="00CD149B">
        <w:rPr>
          <w:rStyle w:val="HideTWBExt"/>
        </w:rPr>
        <w:t>Date</w:t>
      </w:r>
      <w:proofErr w:type="spellEnd"/>
      <w:r w:rsidRPr="00CD149B">
        <w:rPr>
          <w:rStyle w:val="HideTWBExt"/>
        </w:rPr>
        <w:t>&gt;</w:t>
      </w:r>
    </w:p>
    <w:p w14:paraId="083B5C52" w14:textId="77777777" w:rsidR="007179A7" w:rsidRPr="00CD149B" w:rsidRDefault="00324EAF">
      <w:r w:rsidRPr="00CD149B">
        <w:t>Piliečių laisvių, teisingumo ir vidaus reikalų komiteto</w:t>
      </w:r>
    </w:p>
    <w:p w14:paraId="685159C1" w14:textId="77777777" w:rsidR="007179A7" w:rsidRPr="00CD149B" w:rsidRDefault="005C4B56">
      <w:r w:rsidRPr="00CD149B">
        <w:t>pirmininkui</w:t>
      </w:r>
    </w:p>
    <w:p w14:paraId="13ED2226" w14:textId="77777777" w:rsidR="007179A7" w:rsidRPr="00CD149B" w:rsidRDefault="00324EAF">
      <w:proofErr w:type="spellStart"/>
      <w:r w:rsidRPr="00CD149B">
        <w:t>Javierui</w:t>
      </w:r>
      <w:proofErr w:type="spellEnd"/>
      <w:r w:rsidRPr="00CD149B">
        <w:t xml:space="preserve"> </w:t>
      </w:r>
      <w:proofErr w:type="spellStart"/>
      <w:r w:rsidRPr="00CD149B">
        <w:t>Zarzalejosui</w:t>
      </w:r>
      <w:proofErr w:type="spellEnd"/>
    </w:p>
    <w:p w14:paraId="0B43C7E7" w14:textId="77777777" w:rsidR="007179A7" w:rsidRPr="00CD149B" w:rsidRDefault="005C4B56">
      <w:r w:rsidRPr="00CD149B">
        <w:t>BRIUSELIS</w:t>
      </w:r>
    </w:p>
    <w:p w14:paraId="42588FF5" w14:textId="77777777" w:rsidR="009F796C" w:rsidRPr="00CD149B" w:rsidRDefault="005C4B56" w:rsidP="009F796C">
      <w:pPr>
        <w:pStyle w:val="LetterSubject"/>
      </w:pPr>
      <w:r w:rsidRPr="00CD149B">
        <w:t>Tema:</w:t>
      </w:r>
      <w:r w:rsidRPr="00CD149B">
        <w:tab/>
      </w:r>
      <w:r w:rsidRPr="00CD149B">
        <w:rPr>
          <w:rStyle w:val="HideTWBExt"/>
        </w:rPr>
        <w:t>&lt;Titre&gt;</w:t>
      </w:r>
      <w:r w:rsidRPr="00CD149B">
        <w:t>Nuomonė dėl pasiūlymo dėl Europos Parlamento ir Tarybos reglamento dėl policijos bendradarbiavimo neteisėto migrantų gabenimo ir prekybos žmonėmis prevencijos, nustatymo ir tyrimo srityje stiprinimo ir Europolo paramos tokių nusikaltimų prevencijai ir kovai su jais didinimo, kuriuo iš dalies keičiamas Reglamentas (ES) 2016/794, teisinio pagrindo</w:t>
      </w:r>
      <w:r w:rsidRPr="00CD149B">
        <w:rPr>
          <w:rStyle w:val="HideTWBExt"/>
        </w:rPr>
        <w:t>&lt;/Titre&gt;</w:t>
      </w:r>
      <w:r w:rsidRPr="00CD149B">
        <w:t xml:space="preserve"> </w:t>
      </w:r>
      <w:r w:rsidRPr="00CD149B">
        <w:rPr>
          <w:rStyle w:val="HideTWBExt"/>
        </w:rPr>
        <w:t>&lt;DocRef&gt;</w:t>
      </w:r>
      <w:r w:rsidRPr="00CD149B">
        <w:t>(COM(2023)0754 – C9</w:t>
      </w:r>
      <w:r w:rsidRPr="00CD149B">
        <w:noBreakHyphen/>
        <w:t>0431/2023 – 2023/0438(COD))</w:t>
      </w:r>
      <w:r w:rsidRPr="00CD149B">
        <w:rPr>
          <w:rStyle w:val="HideTWBExt"/>
        </w:rPr>
        <w:t>&lt;/</w:t>
      </w:r>
      <w:proofErr w:type="spellStart"/>
      <w:r w:rsidRPr="00CD149B">
        <w:rPr>
          <w:rStyle w:val="HideTWBExt"/>
        </w:rPr>
        <w:t>DocRef</w:t>
      </w:r>
      <w:proofErr w:type="spellEnd"/>
      <w:r w:rsidRPr="00CD149B">
        <w:rPr>
          <w:rStyle w:val="HideTWBExt"/>
        </w:rPr>
        <w:t>&gt;</w:t>
      </w:r>
    </w:p>
    <w:p w14:paraId="5A9775D4" w14:textId="77777777" w:rsidR="00FC1E12" w:rsidRPr="00CD149B" w:rsidRDefault="007F3C4A" w:rsidP="00FC1E12">
      <w:pPr>
        <w:pStyle w:val="LetterSalutation"/>
      </w:pPr>
      <w:r w:rsidRPr="00CD149B">
        <w:t>Gerb. Pirmininke,</w:t>
      </w:r>
    </w:p>
    <w:p w14:paraId="7F903F52" w14:textId="77777777" w:rsidR="00FC1E12" w:rsidRPr="00CD149B" w:rsidRDefault="00FC1E12" w:rsidP="006A4CE5">
      <w:pPr>
        <w:pStyle w:val="Normal12a"/>
      </w:pPr>
      <w:r w:rsidRPr="00CD149B">
        <w:t>2025 m. rugsėjo 12 d. laišku Jūs, kaip Piliečių teisių, teisingumo ir vidaus reikalų (LIBE) komiteto pirmininkas, kreipėtės į Teisės reikalų (JURI) komitetą pagal Darbo tvarkos taisyklių 41 straipsnio 2 dalį prašydamas pateikti nuomonę dėl pasiūlymo dėl Europos Parlamento ir Tarybos reglamento dėl policijos bendradarbiavimo neteisėto migrantų gabenimo ir prekybos žmonėmis prevencijos, nustatymo ir tyrimo srityje stiprinimo ir Europolo paramos tokių nusikaltimų prevencijai ir kovai su jais didinimo, kuriuo iš dalies keičiamas Reglamentas (ES) 2016/794, (2023/0438(COD), toliau – Pasiūlymas dėl reglamento) teisinio pagrindo tinkamumo.</w:t>
      </w:r>
    </w:p>
    <w:p w14:paraId="5BDA2FEA" w14:textId="77777777" w:rsidR="00FC1E12" w:rsidRPr="00CD149B" w:rsidRDefault="00FC1E12" w:rsidP="00FC1E12">
      <w:pPr>
        <w:pStyle w:val="Normal12a"/>
      </w:pPr>
      <w:r w:rsidRPr="00CD149B">
        <w:t>JURI komitetas minėtą klausimą apsvarstė 2025 m. spalio 13 d. posėdyje.</w:t>
      </w:r>
    </w:p>
    <w:p w14:paraId="5C6CF90D" w14:textId="77777777" w:rsidR="00FC1E12" w:rsidRPr="00CD149B" w:rsidRDefault="00FC1E12" w:rsidP="00FC1E12">
      <w:pPr>
        <w:spacing w:after="240"/>
        <w:jc w:val="both"/>
        <w:rPr>
          <w:b/>
          <w:u w:val="single"/>
        </w:rPr>
      </w:pPr>
      <w:r w:rsidRPr="00CD149B">
        <w:rPr>
          <w:b/>
          <w:u w:val="single"/>
        </w:rPr>
        <w:t>I. Bendroji informacija</w:t>
      </w:r>
    </w:p>
    <w:p w14:paraId="5B9B47C8" w14:textId="77777777" w:rsidR="00FC1E12" w:rsidRPr="00CD149B" w:rsidRDefault="00FC1E12" w:rsidP="006A4CE5">
      <w:r w:rsidRPr="00CD149B">
        <w:rPr>
          <w:color w:val="000000" w:themeColor="text1"/>
        </w:rPr>
        <w:t>LIBE komitetas dalyvavo tarpinstitucinėse derybose dėl Pasiūlymo dėl reglamento.</w:t>
      </w:r>
      <w:r w:rsidRPr="00CD149B">
        <w:t xml:space="preserve"> </w:t>
      </w:r>
    </w:p>
    <w:p w14:paraId="6F1D983F" w14:textId="77777777" w:rsidR="00FC1E12" w:rsidRPr="00CD149B" w:rsidRDefault="00FC1E12" w:rsidP="00FC1E12">
      <w:pPr>
        <w:jc w:val="both"/>
      </w:pPr>
    </w:p>
    <w:p w14:paraId="5D66ABDC" w14:textId="77777777" w:rsidR="00FC1E12" w:rsidRPr="00CD149B" w:rsidRDefault="00FC1E12" w:rsidP="006A4CE5">
      <w:pPr>
        <w:spacing w:after="240"/>
        <w:rPr>
          <w:color w:val="000000" w:themeColor="text1"/>
        </w:rPr>
      </w:pPr>
      <w:r w:rsidRPr="00CD149B">
        <w:rPr>
          <w:color w:val="000000" w:themeColor="text1"/>
        </w:rPr>
        <w:t xml:space="preserve">Į Pasiūlymą dėl reglamento iš pradžių buvo įtrauktas, pirma, tarsi „naujas savarankiškas reglamentas“, skirtas, </w:t>
      </w:r>
      <w:proofErr w:type="spellStart"/>
      <w:r w:rsidRPr="00CD149B">
        <w:rPr>
          <w:i/>
          <w:color w:val="000000" w:themeColor="text1"/>
        </w:rPr>
        <w:t>inter</w:t>
      </w:r>
      <w:proofErr w:type="spellEnd"/>
      <w:r w:rsidRPr="00CD149B">
        <w:rPr>
          <w:i/>
          <w:color w:val="000000" w:themeColor="text1"/>
        </w:rPr>
        <w:t> alia</w:t>
      </w:r>
      <w:r w:rsidRPr="00CD149B">
        <w:rPr>
          <w:color w:val="000000" w:themeColor="text1"/>
        </w:rPr>
        <w:t xml:space="preserve">, Europos kovos su neteisėtu migrantų gabenimu centrui </w:t>
      </w:r>
      <w:r w:rsidRPr="00CD149B">
        <w:rPr>
          <w:color w:val="000000" w:themeColor="text1"/>
        </w:rPr>
        <w:lastRenderedPageBreak/>
        <w:t>įsteigti, ir, antra, tiksliniai esamų Europolo įgaliojimų (Reglamentas (ES) 2016/794</w:t>
      </w:r>
      <w:r w:rsidRPr="00CD149B">
        <w:rPr>
          <w:color w:val="000000" w:themeColor="text1"/>
          <w:vertAlign w:val="superscript"/>
        </w:rPr>
        <w:footnoteReference w:id="1"/>
      </w:r>
      <w:r w:rsidRPr="00CD149B">
        <w:rPr>
          <w:color w:val="000000" w:themeColor="text1"/>
        </w:rPr>
        <w:t>, toliau – Europolo reglamentas) pakeitimai. Pasiūlymas dėl reglamento buvo grindžiamas</w:t>
      </w:r>
      <w:r w:rsidRPr="00CD149B">
        <w:t xml:space="preserve"> Sutarties dėl Europos Sąjungos veikimo (SESV) </w:t>
      </w:r>
      <w:r w:rsidRPr="00CD149B">
        <w:rPr>
          <w:color w:val="000000" w:themeColor="text1"/>
        </w:rPr>
        <w:t>85 straipsnio 1 dalimi, 87 straipsnio 2 dalimi, 88 straipsnio 2 dalimi. LIBE komitetas nekeitė Komisijos pasiūlyto teisinio pagrindo.</w:t>
      </w:r>
    </w:p>
    <w:p w14:paraId="46DC043E" w14:textId="77777777" w:rsidR="00FC1E12" w:rsidRPr="00CD149B" w:rsidRDefault="00FC1E12" w:rsidP="006A4CE5">
      <w:pPr>
        <w:rPr>
          <w:color w:val="000000" w:themeColor="text1"/>
        </w:rPr>
      </w:pPr>
      <w:r w:rsidRPr="00CD149B">
        <w:rPr>
          <w:color w:val="000000" w:themeColor="text1"/>
        </w:rPr>
        <w:t>Pagal atitinkamus tarpinstitucinių derybų įgaliojimus ir Parlamentas, ir Taryba nusprendė apriboti Pasiūlymo dėl reglamento taikymo sritį, kad ji apimtų tik esamų Europolo įgaliojimų pakeitimus, tačiau teisinis pagrindas liko nepakeistas. Dėl Pasiūlymo dėl reglamento tikslo ir turinio apribojimo tokiu būdu buvo preliminariai susitarta per tarpinstitucines derybas. Todėl buvo būtina pakoreguoti teisinį pagrindą ir šį aktą grįsti tik SESV 88 straipsnio 2 dalimi, t. y. išbraukti SESV 85 straipsnio 1 dalį ir 87 straipsnio 2 dalį.</w:t>
      </w:r>
    </w:p>
    <w:p w14:paraId="019B98E4" w14:textId="77777777" w:rsidR="00FC1E12" w:rsidRPr="00CD149B" w:rsidRDefault="00FC1E12" w:rsidP="00FC1E12">
      <w:pPr>
        <w:jc w:val="both"/>
        <w:rPr>
          <w:color w:val="000000" w:themeColor="text1"/>
        </w:rPr>
      </w:pPr>
    </w:p>
    <w:p w14:paraId="4945188D" w14:textId="77777777" w:rsidR="00FC1E12" w:rsidRPr="00CD149B" w:rsidRDefault="00FC1E12" w:rsidP="006A4CE5">
      <w:pPr>
        <w:spacing w:after="240"/>
      </w:pPr>
      <w:r w:rsidRPr="00CD149B">
        <w:rPr>
          <w:color w:val="000000" w:themeColor="text1"/>
        </w:rPr>
        <w:t>Todėl, vadovaudamasis Darbo tvarkos taisyklių 41 straipsnio 2 dalimi, LIBE komitetas prašo JURI komiteto pateikti nuomonę dėl taip pakeisto teisinio pagrindo tinkamumo.</w:t>
      </w:r>
    </w:p>
    <w:p w14:paraId="7ACBBC20" w14:textId="77777777" w:rsidR="00FC1E12" w:rsidRPr="00CD149B" w:rsidRDefault="00FC1E12" w:rsidP="00FC1E12">
      <w:pPr>
        <w:tabs>
          <w:tab w:val="left" w:pos="567"/>
          <w:tab w:val="left" w:pos="7014"/>
        </w:tabs>
        <w:spacing w:after="240"/>
        <w:ind w:left="567" w:hanging="567"/>
        <w:rPr>
          <w:rStyle w:val="Nessuno"/>
          <w:b/>
          <w:bCs/>
        </w:rPr>
      </w:pPr>
      <w:r w:rsidRPr="00CD149B">
        <w:rPr>
          <w:b/>
          <w:u w:val="single"/>
        </w:rPr>
        <w:t>II. Susiję Sutarties straipsniai</w:t>
      </w:r>
    </w:p>
    <w:p w14:paraId="74FD1A4C" w14:textId="77777777" w:rsidR="00FC1E12" w:rsidRPr="00CD149B" w:rsidRDefault="00FC1E12" w:rsidP="006A4CE5">
      <w:pPr>
        <w:tabs>
          <w:tab w:val="left" w:pos="7014"/>
        </w:tabs>
        <w:rPr>
          <w:rStyle w:val="Nessuno"/>
          <w:bCs/>
        </w:rPr>
      </w:pPr>
      <w:r w:rsidRPr="00CD149B">
        <w:rPr>
          <w:rStyle w:val="Nessuno"/>
        </w:rPr>
        <w:t xml:space="preserve">SESV trečiosios dalies V antraštinės dalies 4 skyriuje („Teisminis bendradarbiavimas baudžiamosiose bylose“) nustatyta, </w:t>
      </w:r>
      <w:proofErr w:type="spellStart"/>
      <w:r w:rsidRPr="00CD149B">
        <w:rPr>
          <w:rStyle w:val="Nessuno"/>
          <w:i/>
        </w:rPr>
        <w:t>inter</w:t>
      </w:r>
      <w:proofErr w:type="spellEnd"/>
      <w:r w:rsidRPr="00CD149B">
        <w:rPr>
          <w:rStyle w:val="Nessuno"/>
          <w:i/>
        </w:rPr>
        <w:t> alia</w:t>
      </w:r>
      <w:r w:rsidRPr="00CD149B">
        <w:rPr>
          <w:rStyle w:val="Nessuno"/>
        </w:rPr>
        <w:t xml:space="preserve"> (pažymėta papildomai):</w:t>
      </w:r>
    </w:p>
    <w:p w14:paraId="2CE6CD6C" w14:textId="77777777" w:rsidR="00FC1E12" w:rsidRPr="00CD149B" w:rsidRDefault="00FC1E12" w:rsidP="00FC1E12">
      <w:pPr>
        <w:tabs>
          <w:tab w:val="left" w:pos="7014"/>
        </w:tabs>
        <w:rPr>
          <w:rStyle w:val="Nessuno"/>
          <w:bCs/>
          <w:i/>
        </w:rPr>
      </w:pPr>
    </w:p>
    <w:p w14:paraId="2D636CCC" w14:textId="77777777" w:rsidR="00FC1E12" w:rsidRPr="00CD149B" w:rsidRDefault="00FC1E12" w:rsidP="00FC1E12">
      <w:pPr>
        <w:tabs>
          <w:tab w:val="left" w:pos="7014"/>
        </w:tabs>
        <w:jc w:val="center"/>
        <w:rPr>
          <w:rStyle w:val="Nessuno"/>
          <w:bCs/>
          <w:i/>
        </w:rPr>
      </w:pPr>
      <w:r w:rsidRPr="00CD149B">
        <w:rPr>
          <w:rStyle w:val="Nessuno"/>
          <w:i/>
        </w:rPr>
        <w:t>85 straipsnis</w:t>
      </w:r>
    </w:p>
    <w:p w14:paraId="5A51894D" w14:textId="77777777" w:rsidR="00FC1E12" w:rsidRPr="00CD149B" w:rsidRDefault="00FC1E12" w:rsidP="00FC1E12">
      <w:pPr>
        <w:tabs>
          <w:tab w:val="left" w:pos="7014"/>
        </w:tabs>
        <w:jc w:val="center"/>
        <w:rPr>
          <w:rStyle w:val="Nessuno"/>
          <w:bCs/>
          <w:i/>
        </w:rPr>
      </w:pPr>
      <w:r w:rsidRPr="00CD149B">
        <w:rPr>
          <w:i/>
        </w:rPr>
        <w:t xml:space="preserve">(ES sutarties </w:t>
      </w:r>
      <w:proofErr w:type="spellStart"/>
      <w:r w:rsidRPr="00CD149B">
        <w:rPr>
          <w:i/>
        </w:rPr>
        <w:t>ex</w:t>
      </w:r>
      <w:proofErr w:type="spellEnd"/>
      <w:r w:rsidRPr="00CD149B">
        <w:rPr>
          <w:i/>
        </w:rPr>
        <w:t xml:space="preserve"> 31 straipsnis)</w:t>
      </w:r>
    </w:p>
    <w:p w14:paraId="050D3BD9" w14:textId="77777777" w:rsidR="00FC1E12" w:rsidRPr="00CD149B" w:rsidRDefault="00FC1E12" w:rsidP="00FC1E12">
      <w:pPr>
        <w:tabs>
          <w:tab w:val="left" w:pos="7014"/>
        </w:tabs>
        <w:jc w:val="both"/>
        <w:rPr>
          <w:rStyle w:val="Nessuno"/>
          <w:bCs/>
          <w:i/>
        </w:rPr>
      </w:pPr>
    </w:p>
    <w:p w14:paraId="67BDA462" w14:textId="77777777" w:rsidR="00FC1E12" w:rsidRPr="00CD149B" w:rsidRDefault="00FC1E12" w:rsidP="00C82F7E">
      <w:pPr>
        <w:tabs>
          <w:tab w:val="left" w:pos="7014"/>
        </w:tabs>
        <w:ind w:left="426" w:hanging="426"/>
        <w:jc w:val="both"/>
        <w:rPr>
          <w:rStyle w:val="Nessuno"/>
          <w:b/>
          <w:bCs/>
          <w:i/>
        </w:rPr>
      </w:pPr>
    </w:p>
    <w:p w14:paraId="71583869" w14:textId="77777777" w:rsidR="00571C42" w:rsidRPr="00CD149B" w:rsidRDefault="00571C42" w:rsidP="00C82F7E">
      <w:pPr>
        <w:tabs>
          <w:tab w:val="left" w:pos="7014"/>
        </w:tabs>
        <w:ind w:left="426" w:hanging="426"/>
        <w:jc w:val="both"/>
        <w:rPr>
          <w:rStyle w:val="Nessuno"/>
          <w:b/>
          <w:bCs/>
          <w:i/>
        </w:rPr>
      </w:pPr>
    </w:p>
    <w:p w14:paraId="60791B2A" w14:textId="77777777" w:rsidR="00571C42" w:rsidRPr="00CD149B" w:rsidRDefault="00571C42" w:rsidP="00C82F7E">
      <w:pPr>
        <w:tabs>
          <w:tab w:val="left" w:pos="7014"/>
        </w:tabs>
        <w:ind w:left="360" w:hanging="360"/>
        <w:jc w:val="both"/>
        <w:rPr>
          <w:rStyle w:val="Nessuno"/>
          <w:b/>
          <w:i/>
        </w:rPr>
      </w:pPr>
      <w:r w:rsidRPr="00CD149B">
        <w:rPr>
          <w:rStyle w:val="Nessuno"/>
          <w:b/>
          <w:i/>
        </w:rPr>
        <w:t>1.</w:t>
      </w:r>
      <w:r w:rsidRPr="00CD149B">
        <w:rPr>
          <w:rStyle w:val="Nessuno"/>
          <w:b/>
          <w:i/>
        </w:rPr>
        <w:tab/>
      </w:r>
      <w:proofErr w:type="spellStart"/>
      <w:r w:rsidRPr="00CD149B">
        <w:rPr>
          <w:rStyle w:val="Nessuno"/>
          <w:b/>
          <w:i/>
        </w:rPr>
        <w:t>Eurojust</w:t>
      </w:r>
      <w:proofErr w:type="spellEnd"/>
      <w:r w:rsidRPr="00CD149B">
        <w:rPr>
          <w:rStyle w:val="Nessuno"/>
          <w:b/>
          <w:i/>
        </w:rPr>
        <w:t xml:space="preserve"> misija yra remti ir stiprinti nacionalinių tyrimo ir baudžiamojo persekiojimo institucijų bendradarbiavimą dėl sunkių nusikaltimų, susijusių su dviem ar daugiau valstybių narių, arba kai reikalingas baudžiamasis persekiojimas bendraisiais pagrindais, remiantis valstybių narių valdžios institucijų ir Europolo atliktomis operacijomis ir pateikta informacija.</w:t>
      </w:r>
    </w:p>
    <w:p w14:paraId="21140063" w14:textId="77777777" w:rsidR="00571C42" w:rsidRPr="00CD149B" w:rsidRDefault="00571C42" w:rsidP="00571C42">
      <w:pPr>
        <w:tabs>
          <w:tab w:val="left" w:pos="7014"/>
        </w:tabs>
        <w:ind w:left="426" w:hanging="426"/>
        <w:jc w:val="both"/>
        <w:rPr>
          <w:rStyle w:val="Nessuno"/>
          <w:b/>
          <w:i/>
        </w:rPr>
      </w:pPr>
      <w:r w:rsidRPr="00CD149B">
        <w:rPr>
          <w:rStyle w:val="Nessuno"/>
          <w:b/>
          <w:i/>
        </w:rPr>
        <w:tab/>
        <w:t xml:space="preserve">Šiuo atžvilgiu Europos Parlamentas ir Taryba, priimdami reglamentus pagal įprastą teisėkūros procedūrą, nustato </w:t>
      </w:r>
      <w:proofErr w:type="spellStart"/>
      <w:r w:rsidRPr="00CD149B">
        <w:rPr>
          <w:rStyle w:val="Nessuno"/>
          <w:b/>
          <w:i/>
        </w:rPr>
        <w:t>Eurojust</w:t>
      </w:r>
      <w:proofErr w:type="spellEnd"/>
      <w:r w:rsidRPr="00CD149B">
        <w:rPr>
          <w:rStyle w:val="Nessuno"/>
          <w:b/>
          <w:i/>
        </w:rPr>
        <w:t xml:space="preserve"> struktūrą, veiklą, veiksmų ir užduočių sritį. Tos užduotys gali apimti:</w:t>
      </w:r>
    </w:p>
    <w:p w14:paraId="175F9F8C" w14:textId="77777777" w:rsidR="00571C42" w:rsidRPr="00CD149B" w:rsidRDefault="00571C42" w:rsidP="00571C42">
      <w:pPr>
        <w:tabs>
          <w:tab w:val="left" w:pos="7014"/>
        </w:tabs>
        <w:ind w:left="426" w:hanging="426"/>
        <w:jc w:val="both"/>
        <w:rPr>
          <w:rStyle w:val="Nessuno"/>
          <w:b/>
          <w:i/>
        </w:rPr>
      </w:pPr>
    </w:p>
    <w:p w14:paraId="4A787F92" w14:textId="77777777" w:rsidR="00571C42" w:rsidRPr="00CD149B" w:rsidRDefault="00571C42" w:rsidP="00571C42">
      <w:pPr>
        <w:tabs>
          <w:tab w:val="left" w:pos="7014"/>
        </w:tabs>
        <w:ind w:left="851" w:hanging="426"/>
        <w:jc w:val="both"/>
        <w:rPr>
          <w:rStyle w:val="Nessuno"/>
          <w:b/>
          <w:i/>
        </w:rPr>
      </w:pPr>
      <w:r w:rsidRPr="00CD149B">
        <w:rPr>
          <w:rStyle w:val="Nessuno"/>
          <w:b/>
          <w:i/>
        </w:rPr>
        <w:t xml:space="preserve">a) </w:t>
      </w:r>
      <w:r w:rsidRPr="00CD149B">
        <w:rPr>
          <w:rStyle w:val="Nessuno"/>
          <w:b/>
          <w:i/>
        </w:rPr>
        <w:tab/>
        <w:t>kriminalinių nusikaltimų tyrimų pradėjimą ir siūlymą kompetentingoms nacionalinėms valdžios institucijoms pradėti baudžiamąjį persekiojimą, ypač kai tai susiję su veikomis, nukreiptomis prieš Sąjungos finansinius interesus;</w:t>
      </w:r>
    </w:p>
    <w:p w14:paraId="0BC2E958" w14:textId="77777777" w:rsidR="00571C42" w:rsidRPr="00CD149B" w:rsidRDefault="00571C42" w:rsidP="00571C42">
      <w:pPr>
        <w:tabs>
          <w:tab w:val="left" w:pos="7014"/>
        </w:tabs>
        <w:ind w:left="851" w:hanging="426"/>
        <w:jc w:val="both"/>
        <w:rPr>
          <w:rStyle w:val="Nessuno"/>
          <w:b/>
          <w:i/>
        </w:rPr>
      </w:pPr>
    </w:p>
    <w:p w14:paraId="4F7E9E9F" w14:textId="77777777" w:rsidR="00571C42" w:rsidRPr="00CD149B" w:rsidRDefault="00571C42" w:rsidP="00571C42">
      <w:pPr>
        <w:tabs>
          <w:tab w:val="left" w:pos="7014"/>
        </w:tabs>
        <w:ind w:left="851" w:hanging="426"/>
        <w:jc w:val="both"/>
        <w:rPr>
          <w:rStyle w:val="Nessuno"/>
          <w:b/>
          <w:i/>
        </w:rPr>
      </w:pPr>
      <w:r w:rsidRPr="00CD149B">
        <w:rPr>
          <w:rStyle w:val="Nessuno"/>
          <w:b/>
          <w:i/>
        </w:rPr>
        <w:t xml:space="preserve">b) </w:t>
      </w:r>
      <w:r w:rsidRPr="00CD149B">
        <w:rPr>
          <w:rStyle w:val="Nessuno"/>
          <w:b/>
          <w:i/>
        </w:rPr>
        <w:tab/>
        <w:t>a punkte nurodytų tyrimų ir baudžiamojo persekiojimo koordinavimą;</w:t>
      </w:r>
    </w:p>
    <w:p w14:paraId="479828CE" w14:textId="77777777" w:rsidR="00571C42" w:rsidRPr="00CD149B" w:rsidRDefault="00571C42" w:rsidP="00571C42">
      <w:pPr>
        <w:tabs>
          <w:tab w:val="left" w:pos="7014"/>
        </w:tabs>
        <w:ind w:left="851" w:hanging="426"/>
        <w:jc w:val="both"/>
        <w:rPr>
          <w:rStyle w:val="Nessuno"/>
          <w:b/>
          <w:i/>
        </w:rPr>
      </w:pPr>
    </w:p>
    <w:p w14:paraId="33624805" w14:textId="77777777" w:rsidR="00571C42" w:rsidRPr="00CD149B" w:rsidRDefault="00571C42" w:rsidP="00571C42">
      <w:pPr>
        <w:tabs>
          <w:tab w:val="left" w:pos="7014"/>
        </w:tabs>
        <w:ind w:left="851" w:hanging="426"/>
        <w:jc w:val="both"/>
        <w:rPr>
          <w:rStyle w:val="Nessuno"/>
          <w:b/>
          <w:i/>
        </w:rPr>
      </w:pPr>
      <w:r w:rsidRPr="00CD149B">
        <w:rPr>
          <w:rStyle w:val="Nessuno"/>
          <w:b/>
          <w:i/>
        </w:rPr>
        <w:t xml:space="preserve">c) </w:t>
      </w:r>
      <w:r w:rsidRPr="00CD149B">
        <w:rPr>
          <w:rStyle w:val="Nessuno"/>
          <w:b/>
          <w:i/>
        </w:rPr>
        <w:tab/>
        <w:t>teisminio bendradarbiavimo, taip pat sprendžiant jurisdikcijos kolizijas ir glaudžiai bendradarbiaujant su Europos teisminiu tinklu, stiprinimą.</w:t>
      </w:r>
    </w:p>
    <w:p w14:paraId="5C71B1D8" w14:textId="77777777" w:rsidR="00571C42" w:rsidRPr="00CD149B" w:rsidRDefault="00571C42" w:rsidP="00571C42">
      <w:pPr>
        <w:tabs>
          <w:tab w:val="left" w:pos="7014"/>
        </w:tabs>
        <w:ind w:left="851" w:hanging="426"/>
        <w:jc w:val="both"/>
        <w:rPr>
          <w:rStyle w:val="Nessuno"/>
          <w:b/>
          <w:i/>
        </w:rPr>
      </w:pPr>
    </w:p>
    <w:p w14:paraId="10C096FE" w14:textId="77777777" w:rsidR="00571C42" w:rsidRPr="00CD149B" w:rsidRDefault="00571C42" w:rsidP="00C82F7E">
      <w:pPr>
        <w:tabs>
          <w:tab w:val="left" w:pos="7014"/>
        </w:tabs>
        <w:ind w:left="426" w:hanging="426"/>
        <w:jc w:val="both"/>
        <w:rPr>
          <w:rStyle w:val="Nessuno"/>
          <w:b/>
          <w:bCs/>
          <w:i/>
        </w:rPr>
      </w:pPr>
      <w:r w:rsidRPr="00CD149B">
        <w:rPr>
          <w:rStyle w:val="Nessuno"/>
          <w:b/>
          <w:i/>
        </w:rPr>
        <w:t xml:space="preserve">Šiais reglamentais taip pat nustatoma tvarka dėl Europos Parlamento ir nacionalinių parlamentų dalyvavimo vertinant </w:t>
      </w:r>
      <w:proofErr w:type="spellStart"/>
      <w:r w:rsidRPr="00CD149B">
        <w:rPr>
          <w:rStyle w:val="Nessuno"/>
          <w:b/>
          <w:i/>
        </w:rPr>
        <w:t>Eurojust</w:t>
      </w:r>
      <w:proofErr w:type="spellEnd"/>
      <w:r w:rsidRPr="00CD149B">
        <w:rPr>
          <w:rStyle w:val="Nessuno"/>
          <w:b/>
          <w:i/>
        </w:rPr>
        <w:t xml:space="preserve"> veiklą.</w:t>
      </w:r>
    </w:p>
    <w:p w14:paraId="476D5ADA" w14:textId="77777777" w:rsidR="00FC1E12" w:rsidRPr="00CD149B" w:rsidRDefault="00FC1E12" w:rsidP="00FC1E12">
      <w:pPr>
        <w:tabs>
          <w:tab w:val="left" w:pos="7014"/>
        </w:tabs>
        <w:jc w:val="both"/>
        <w:rPr>
          <w:rStyle w:val="Nessuno"/>
          <w:bCs/>
          <w:i/>
        </w:rPr>
      </w:pPr>
    </w:p>
    <w:p w14:paraId="49432919" w14:textId="77777777" w:rsidR="00FC1E12" w:rsidRPr="00CD149B" w:rsidRDefault="00FC1E12" w:rsidP="00FC1E12">
      <w:pPr>
        <w:tabs>
          <w:tab w:val="left" w:pos="7014"/>
        </w:tabs>
        <w:ind w:left="426" w:hanging="426"/>
        <w:jc w:val="both"/>
        <w:rPr>
          <w:rStyle w:val="Nessuno"/>
          <w:bCs/>
          <w:i/>
        </w:rPr>
      </w:pPr>
      <w:r w:rsidRPr="00CD149B">
        <w:rPr>
          <w:rStyle w:val="Nessuno"/>
          <w:i/>
        </w:rPr>
        <w:t>(...)</w:t>
      </w:r>
    </w:p>
    <w:p w14:paraId="308C7DFF" w14:textId="77777777" w:rsidR="00FC1E12" w:rsidRPr="00CD149B" w:rsidRDefault="00FC1E12" w:rsidP="00FC1E12">
      <w:pPr>
        <w:tabs>
          <w:tab w:val="left" w:pos="7014"/>
        </w:tabs>
        <w:ind w:left="426" w:hanging="426"/>
        <w:jc w:val="both"/>
        <w:rPr>
          <w:rStyle w:val="Nessuno"/>
          <w:bCs/>
          <w:i/>
        </w:rPr>
      </w:pPr>
    </w:p>
    <w:p w14:paraId="18CA7848" w14:textId="77777777" w:rsidR="00FC1E12" w:rsidRPr="00CD149B" w:rsidRDefault="00FC1E12" w:rsidP="006A4CE5">
      <w:pPr>
        <w:tabs>
          <w:tab w:val="left" w:pos="7014"/>
        </w:tabs>
        <w:rPr>
          <w:rStyle w:val="Nessuno"/>
          <w:bCs/>
        </w:rPr>
      </w:pPr>
      <w:r w:rsidRPr="00CD149B">
        <w:rPr>
          <w:rStyle w:val="Nessuno"/>
        </w:rPr>
        <w:t xml:space="preserve">SESV trečiosios dalies V antraštinės dalies 5 skyriuje („Policijos bendradarbiavimas“) nustatyta, </w:t>
      </w:r>
      <w:proofErr w:type="spellStart"/>
      <w:r w:rsidRPr="00CD149B">
        <w:rPr>
          <w:rStyle w:val="Nessuno"/>
          <w:i/>
        </w:rPr>
        <w:t>inter</w:t>
      </w:r>
      <w:proofErr w:type="spellEnd"/>
      <w:r w:rsidRPr="00CD149B">
        <w:rPr>
          <w:rStyle w:val="Nessuno"/>
          <w:i/>
        </w:rPr>
        <w:t> alia</w:t>
      </w:r>
      <w:r w:rsidRPr="00CD149B">
        <w:rPr>
          <w:rStyle w:val="Nessuno"/>
        </w:rPr>
        <w:t xml:space="preserve"> (pažymėta papildomai):</w:t>
      </w:r>
    </w:p>
    <w:p w14:paraId="2A751110" w14:textId="77777777" w:rsidR="00FC1E12" w:rsidRPr="00CD149B" w:rsidRDefault="00FC1E12" w:rsidP="00FC1E12">
      <w:pPr>
        <w:tabs>
          <w:tab w:val="left" w:pos="7014"/>
        </w:tabs>
        <w:jc w:val="both"/>
        <w:rPr>
          <w:rStyle w:val="Nessuno"/>
          <w:bCs/>
        </w:rPr>
      </w:pPr>
    </w:p>
    <w:p w14:paraId="681C6169" w14:textId="77777777" w:rsidR="00FC1E12" w:rsidRPr="00CD149B" w:rsidRDefault="00FC1E12" w:rsidP="00FC1E12">
      <w:pPr>
        <w:tabs>
          <w:tab w:val="left" w:pos="7014"/>
        </w:tabs>
        <w:jc w:val="center"/>
        <w:rPr>
          <w:rStyle w:val="Nessuno"/>
          <w:bCs/>
          <w:i/>
        </w:rPr>
      </w:pPr>
      <w:r w:rsidRPr="00CD149B">
        <w:rPr>
          <w:rStyle w:val="Nessuno"/>
          <w:i/>
        </w:rPr>
        <w:t>87 straipsnis</w:t>
      </w:r>
    </w:p>
    <w:p w14:paraId="23D1E7BE" w14:textId="77777777" w:rsidR="00FC1E12" w:rsidRPr="00CD149B" w:rsidRDefault="00FC1E12" w:rsidP="00FC1E12">
      <w:pPr>
        <w:tabs>
          <w:tab w:val="left" w:pos="7014"/>
        </w:tabs>
        <w:jc w:val="center"/>
        <w:rPr>
          <w:rStyle w:val="Nessuno"/>
          <w:bCs/>
          <w:i/>
        </w:rPr>
      </w:pPr>
      <w:r w:rsidRPr="00CD149B">
        <w:rPr>
          <w:rStyle w:val="Nessuno"/>
          <w:i/>
        </w:rPr>
        <w:t xml:space="preserve">(ES sutarties </w:t>
      </w:r>
      <w:proofErr w:type="spellStart"/>
      <w:r w:rsidRPr="00CD149B">
        <w:rPr>
          <w:rStyle w:val="Nessuno"/>
          <w:i/>
        </w:rPr>
        <w:t>ex</w:t>
      </w:r>
      <w:proofErr w:type="spellEnd"/>
      <w:r w:rsidRPr="00CD149B">
        <w:rPr>
          <w:rStyle w:val="Nessuno"/>
          <w:i/>
        </w:rPr>
        <w:t xml:space="preserve"> 30 straipsnis)</w:t>
      </w:r>
    </w:p>
    <w:p w14:paraId="46B41B65" w14:textId="77777777" w:rsidR="00FC1E12" w:rsidRPr="00CD149B" w:rsidRDefault="00FC1E12" w:rsidP="00FC1E12">
      <w:pPr>
        <w:tabs>
          <w:tab w:val="left" w:pos="7014"/>
        </w:tabs>
        <w:jc w:val="center"/>
        <w:rPr>
          <w:rStyle w:val="Nessuno"/>
          <w:bCs/>
          <w:i/>
        </w:rPr>
      </w:pPr>
    </w:p>
    <w:p w14:paraId="068BD473" w14:textId="77777777" w:rsidR="00FC1E12" w:rsidRPr="00CD149B" w:rsidRDefault="00FC1E12" w:rsidP="00FC1E12">
      <w:pPr>
        <w:tabs>
          <w:tab w:val="left" w:pos="7014"/>
        </w:tabs>
        <w:ind w:left="426" w:hanging="426"/>
        <w:jc w:val="both"/>
        <w:rPr>
          <w:rStyle w:val="Nessuno"/>
          <w:bCs/>
          <w:i/>
        </w:rPr>
      </w:pPr>
      <w:r w:rsidRPr="00CD149B">
        <w:rPr>
          <w:rStyle w:val="Nessuno"/>
          <w:i/>
        </w:rPr>
        <w:t>1.</w:t>
      </w:r>
      <w:r w:rsidRPr="00CD149B">
        <w:rPr>
          <w:rStyle w:val="Nessuno"/>
          <w:i/>
        </w:rPr>
        <w:tab/>
        <w:t>Sąjunga nustato policijos bendradarbiavimą užkardant, išaiškinant ir tiriant nusikalstamas veikas, kuriame dalyvauja visos valstybių narių kompetentingos valdžios institucijos, įskaitant policijos, muitinės ir kitas specializuotas teisėsaugos tarnybas.</w:t>
      </w:r>
    </w:p>
    <w:p w14:paraId="3D6202B0" w14:textId="77777777" w:rsidR="00FC1E12" w:rsidRPr="00CD149B" w:rsidRDefault="00FC1E12" w:rsidP="00FC1E12">
      <w:pPr>
        <w:tabs>
          <w:tab w:val="left" w:pos="7014"/>
        </w:tabs>
        <w:jc w:val="both"/>
        <w:rPr>
          <w:rStyle w:val="Nessuno"/>
          <w:bCs/>
          <w:i/>
        </w:rPr>
      </w:pPr>
    </w:p>
    <w:p w14:paraId="740DFBA4" w14:textId="77777777" w:rsidR="00FC1E12" w:rsidRPr="00CD149B" w:rsidRDefault="00FC1E12" w:rsidP="00FC1E12">
      <w:pPr>
        <w:tabs>
          <w:tab w:val="left" w:pos="7014"/>
        </w:tabs>
        <w:ind w:left="426" w:hanging="426"/>
        <w:jc w:val="both"/>
        <w:rPr>
          <w:rStyle w:val="Nessuno"/>
          <w:b/>
          <w:i/>
        </w:rPr>
      </w:pPr>
      <w:r w:rsidRPr="00CD149B">
        <w:rPr>
          <w:rStyle w:val="Nessuno"/>
          <w:b/>
          <w:i/>
        </w:rPr>
        <w:t xml:space="preserve">2. </w:t>
      </w:r>
      <w:r w:rsidRPr="00CD149B">
        <w:rPr>
          <w:rStyle w:val="Nessuno"/>
          <w:b/>
          <w:i/>
        </w:rPr>
        <w:tab/>
        <w:t>Taikant 1 dalį, Europos Parlamentas ir Taryba, spręsdami pagal įprastą teisėkūros procedūrą, gali patvirtinti priemones dėl:</w:t>
      </w:r>
    </w:p>
    <w:p w14:paraId="577BBD62" w14:textId="77777777" w:rsidR="00FC1E12" w:rsidRPr="00CD149B" w:rsidRDefault="00FC1E12" w:rsidP="00FC1E12">
      <w:pPr>
        <w:tabs>
          <w:tab w:val="left" w:pos="7014"/>
        </w:tabs>
        <w:jc w:val="both"/>
        <w:rPr>
          <w:rStyle w:val="Nessuno"/>
          <w:b/>
          <w:i/>
        </w:rPr>
      </w:pPr>
    </w:p>
    <w:p w14:paraId="411D4DB7" w14:textId="77777777" w:rsidR="00FC1E12" w:rsidRPr="00CD149B" w:rsidRDefault="00FC1E12" w:rsidP="00FC1E12">
      <w:pPr>
        <w:tabs>
          <w:tab w:val="left" w:pos="7014"/>
        </w:tabs>
        <w:ind w:left="851" w:hanging="425"/>
        <w:jc w:val="both"/>
        <w:rPr>
          <w:rStyle w:val="Nessuno"/>
          <w:b/>
          <w:i/>
        </w:rPr>
      </w:pPr>
      <w:r w:rsidRPr="00CD149B">
        <w:rPr>
          <w:rStyle w:val="Nessuno"/>
          <w:b/>
          <w:i/>
        </w:rPr>
        <w:t>a)</w:t>
      </w:r>
      <w:r w:rsidRPr="00CD149B">
        <w:rPr>
          <w:rStyle w:val="Nessuno"/>
          <w:b/>
          <w:i/>
        </w:rPr>
        <w:tab/>
        <w:t>atitinkamos informacijos rinkimo, kaupimo, apdorojimo, analizavimo ir keitimosi ja;</w:t>
      </w:r>
    </w:p>
    <w:p w14:paraId="1C3B3BA7" w14:textId="77777777" w:rsidR="00FC1E12" w:rsidRPr="00CD149B" w:rsidRDefault="00FC1E12" w:rsidP="00FC1E12">
      <w:pPr>
        <w:tabs>
          <w:tab w:val="left" w:pos="7014"/>
        </w:tabs>
        <w:ind w:left="851" w:hanging="425"/>
        <w:jc w:val="both"/>
        <w:rPr>
          <w:rStyle w:val="Nessuno"/>
          <w:b/>
          <w:i/>
        </w:rPr>
      </w:pPr>
    </w:p>
    <w:p w14:paraId="276C24CD" w14:textId="77777777" w:rsidR="00FC1E12" w:rsidRPr="00CD149B" w:rsidRDefault="00FC1E12" w:rsidP="00FC1E12">
      <w:pPr>
        <w:tabs>
          <w:tab w:val="left" w:pos="7014"/>
        </w:tabs>
        <w:ind w:left="851" w:hanging="425"/>
        <w:jc w:val="both"/>
        <w:rPr>
          <w:rStyle w:val="Nessuno"/>
          <w:b/>
          <w:i/>
        </w:rPr>
      </w:pPr>
      <w:r w:rsidRPr="00CD149B">
        <w:rPr>
          <w:rStyle w:val="Nessuno"/>
          <w:b/>
          <w:i/>
        </w:rPr>
        <w:t>b)</w:t>
      </w:r>
      <w:r w:rsidRPr="00CD149B">
        <w:rPr>
          <w:rStyle w:val="Nessuno"/>
          <w:b/>
          <w:i/>
        </w:rPr>
        <w:tab/>
        <w:t>paramos darbuotojų mokymui, taip pat bendradarbiavimo keičiantis darbuotojais, įranga ir tyrimais nusikaltimų išaiškinimo srityse;</w:t>
      </w:r>
    </w:p>
    <w:p w14:paraId="7ACC899C" w14:textId="77777777" w:rsidR="00FC1E12" w:rsidRPr="00CD149B" w:rsidRDefault="00FC1E12" w:rsidP="00FC1E12">
      <w:pPr>
        <w:tabs>
          <w:tab w:val="left" w:pos="7014"/>
        </w:tabs>
        <w:ind w:left="851" w:hanging="425"/>
        <w:jc w:val="both"/>
        <w:rPr>
          <w:rStyle w:val="Nessuno"/>
          <w:b/>
          <w:i/>
        </w:rPr>
      </w:pPr>
    </w:p>
    <w:p w14:paraId="13C82E45" w14:textId="77777777" w:rsidR="00FC1E12" w:rsidRPr="00CD149B" w:rsidRDefault="00FC1E12" w:rsidP="00FC1E12">
      <w:pPr>
        <w:tabs>
          <w:tab w:val="left" w:pos="7014"/>
        </w:tabs>
        <w:ind w:left="851" w:hanging="425"/>
        <w:jc w:val="both"/>
        <w:rPr>
          <w:rStyle w:val="Nessuno"/>
          <w:b/>
          <w:i/>
        </w:rPr>
      </w:pPr>
      <w:r w:rsidRPr="00CD149B">
        <w:rPr>
          <w:rStyle w:val="Nessuno"/>
          <w:b/>
          <w:i/>
        </w:rPr>
        <w:t>c)</w:t>
      </w:r>
      <w:r w:rsidRPr="00CD149B">
        <w:rPr>
          <w:rStyle w:val="Nessuno"/>
          <w:b/>
          <w:i/>
        </w:rPr>
        <w:tab/>
        <w:t>bendrų tyrimo metodų, taikomų sunkioms organizuoto nusikalstamumo formoms nustatyti.</w:t>
      </w:r>
    </w:p>
    <w:p w14:paraId="01A3C5A4" w14:textId="77777777" w:rsidR="00FC1E12" w:rsidRPr="00CD149B" w:rsidRDefault="00FC1E12" w:rsidP="00FC1E12">
      <w:pPr>
        <w:tabs>
          <w:tab w:val="left" w:pos="7014"/>
        </w:tabs>
        <w:jc w:val="both"/>
        <w:rPr>
          <w:rStyle w:val="Nessuno"/>
          <w:bCs/>
          <w:i/>
        </w:rPr>
      </w:pPr>
    </w:p>
    <w:p w14:paraId="02E1DD61" w14:textId="77777777" w:rsidR="00FC1E12" w:rsidRPr="00CD149B" w:rsidRDefault="00FC1E12" w:rsidP="00FC1E12">
      <w:pPr>
        <w:tabs>
          <w:tab w:val="left" w:pos="7014"/>
        </w:tabs>
        <w:jc w:val="both"/>
        <w:rPr>
          <w:rStyle w:val="Nessuno"/>
          <w:bCs/>
          <w:i/>
        </w:rPr>
      </w:pPr>
      <w:r w:rsidRPr="00CD149B">
        <w:rPr>
          <w:rStyle w:val="Nessuno"/>
          <w:i/>
        </w:rPr>
        <w:t>(...)</w:t>
      </w:r>
    </w:p>
    <w:p w14:paraId="2DF67994" w14:textId="77777777" w:rsidR="00FC1E12" w:rsidRPr="00CD149B" w:rsidRDefault="00FC1E12" w:rsidP="00FC1E12">
      <w:pPr>
        <w:tabs>
          <w:tab w:val="left" w:pos="7014"/>
        </w:tabs>
        <w:jc w:val="both"/>
        <w:rPr>
          <w:rStyle w:val="Nessuno"/>
          <w:bCs/>
          <w:i/>
        </w:rPr>
      </w:pPr>
    </w:p>
    <w:p w14:paraId="63A2EF9A" w14:textId="77777777" w:rsidR="00FC1E12" w:rsidRPr="00CD149B" w:rsidRDefault="00FC1E12" w:rsidP="00FC1E12">
      <w:pPr>
        <w:tabs>
          <w:tab w:val="left" w:pos="7014"/>
        </w:tabs>
        <w:jc w:val="center"/>
        <w:rPr>
          <w:rStyle w:val="Nessuno"/>
          <w:bCs/>
          <w:i/>
        </w:rPr>
      </w:pPr>
      <w:r w:rsidRPr="00CD149B">
        <w:rPr>
          <w:rStyle w:val="Nessuno"/>
          <w:i/>
        </w:rPr>
        <w:t>88 straipsnis</w:t>
      </w:r>
    </w:p>
    <w:p w14:paraId="7CCEC769" w14:textId="77777777" w:rsidR="00FC1E12" w:rsidRPr="00CD149B" w:rsidRDefault="00FC1E12" w:rsidP="00FC1E12">
      <w:pPr>
        <w:tabs>
          <w:tab w:val="left" w:pos="7014"/>
        </w:tabs>
        <w:jc w:val="center"/>
        <w:rPr>
          <w:rStyle w:val="Nessuno"/>
          <w:bCs/>
          <w:i/>
        </w:rPr>
      </w:pPr>
      <w:r w:rsidRPr="00CD149B">
        <w:rPr>
          <w:rStyle w:val="Nessuno"/>
          <w:i/>
        </w:rPr>
        <w:t xml:space="preserve">(ES sutarties </w:t>
      </w:r>
      <w:proofErr w:type="spellStart"/>
      <w:r w:rsidRPr="00CD149B">
        <w:rPr>
          <w:rStyle w:val="Nessuno"/>
          <w:i/>
        </w:rPr>
        <w:t>ex</w:t>
      </w:r>
      <w:proofErr w:type="spellEnd"/>
      <w:r w:rsidRPr="00CD149B">
        <w:rPr>
          <w:rStyle w:val="Nessuno"/>
          <w:i/>
        </w:rPr>
        <w:t xml:space="preserve"> 30 straipsnis)</w:t>
      </w:r>
    </w:p>
    <w:p w14:paraId="23C51536" w14:textId="77777777" w:rsidR="00FC1E12" w:rsidRPr="00CD149B" w:rsidRDefault="00FC1E12" w:rsidP="00FC1E12">
      <w:pPr>
        <w:tabs>
          <w:tab w:val="left" w:pos="7014"/>
        </w:tabs>
        <w:jc w:val="center"/>
        <w:rPr>
          <w:rStyle w:val="Nessuno"/>
          <w:bCs/>
          <w:i/>
        </w:rPr>
      </w:pPr>
    </w:p>
    <w:p w14:paraId="5ACB7B14" w14:textId="77777777" w:rsidR="00FC1E12" w:rsidRPr="00CD149B" w:rsidRDefault="00FC1E12" w:rsidP="00FC1E12">
      <w:pPr>
        <w:tabs>
          <w:tab w:val="left" w:pos="7014"/>
        </w:tabs>
        <w:ind w:left="426" w:hanging="426"/>
        <w:jc w:val="both"/>
        <w:rPr>
          <w:rStyle w:val="Nessuno"/>
          <w:bCs/>
          <w:i/>
        </w:rPr>
      </w:pPr>
      <w:r w:rsidRPr="00CD149B">
        <w:rPr>
          <w:rStyle w:val="Nessuno"/>
          <w:i/>
        </w:rPr>
        <w:t xml:space="preserve">1. </w:t>
      </w:r>
      <w:r w:rsidRPr="00CD149B">
        <w:rPr>
          <w:rStyle w:val="Nessuno"/>
          <w:i/>
        </w:rPr>
        <w:tab/>
        <w:t>Europolo misija yra remti ir stiprinti valstybių narių policijos ir kitų teisėsaugos tarnybų veiksmus bei jų tarpusavio bendradarbiavimą užkardant sunkius nusikaltimus, susijusius su dviem ar daugiau valstybių narių, terorizmu ir nusikalstamumo formomis, kurios kenkia Sąjungos politikoje numatytam bendram interesui, bei kovojant su jais.</w:t>
      </w:r>
    </w:p>
    <w:p w14:paraId="4B3D8C86" w14:textId="77777777" w:rsidR="00FC1E12" w:rsidRPr="00CD149B" w:rsidRDefault="00FC1E12" w:rsidP="00FC1E12">
      <w:pPr>
        <w:tabs>
          <w:tab w:val="left" w:pos="7014"/>
        </w:tabs>
        <w:ind w:left="426" w:hanging="426"/>
        <w:jc w:val="both"/>
        <w:rPr>
          <w:rStyle w:val="Nessuno"/>
          <w:bCs/>
          <w:i/>
        </w:rPr>
      </w:pPr>
    </w:p>
    <w:p w14:paraId="1344DDDA" w14:textId="77777777" w:rsidR="00FC1E12" w:rsidRPr="00CD149B" w:rsidRDefault="00FC1E12" w:rsidP="00FC1E12">
      <w:pPr>
        <w:tabs>
          <w:tab w:val="left" w:pos="7014"/>
        </w:tabs>
        <w:ind w:left="426" w:hanging="426"/>
        <w:jc w:val="both"/>
        <w:rPr>
          <w:rStyle w:val="Nessuno"/>
          <w:b/>
          <w:i/>
        </w:rPr>
      </w:pPr>
      <w:r w:rsidRPr="00CD149B">
        <w:rPr>
          <w:rStyle w:val="Nessuno"/>
          <w:b/>
          <w:i/>
        </w:rPr>
        <w:t xml:space="preserve">2. </w:t>
      </w:r>
      <w:r w:rsidRPr="00CD149B">
        <w:rPr>
          <w:rStyle w:val="Nessuno"/>
          <w:b/>
          <w:i/>
        </w:rPr>
        <w:tab/>
        <w:t>Europos Parlamentas ir Taryba, priimdami reglamentus pagal įprastą teisėkūros procedūrą, nustato Europolo struktūrą, veiklą, veiksmų ir užduočių sritį. Tos užduotys gali apimti:</w:t>
      </w:r>
    </w:p>
    <w:p w14:paraId="53FFC09F" w14:textId="77777777" w:rsidR="00FC1E12" w:rsidRPr="00CD149B" w:rsidRDefault="00FC1E12" w:rsidP="00FC1E12">
      <w:pPr>
        <w:tabs>
          <w:tab w:val="left" w:pos="7014"/>
        </w:tabs>
        <w:jc w:val="both"/>
        <w:rPr>
          <w:rStyle w:val="Nessuno"/>
          <w:b/>
          <w:i/>
        </w:rPr>
      </w:pPr>
    </w:p>
    <w:p w14:paraId="158D7818" w14:textId="77777777" w:rsidR="00FC1E12" w:rsidRPr="00CD149B" w:rsidRDefault="00FC1E12" w:rsidP="00FC1E12">
      <w:pPr>
        <w:tabs>
          <w:tab w:val="left" w:pos="7014"/>
        </w:tabs>
        <w:ind w:left="851" w:hanging="425"/>
        <w:jc w:val="both"/>
        <w:rPr>
          <w:rStyle w:val="Nessuno"/>
          <w:b/>
          <w:i/>
        </w:rPr>
      </w:pPr>
      <w:r w:rsidRPr="00CD149B">
        <w:rPr>
          <w:rStyle w:val="Nessuno"/>
          <w:b/>
          <w:i/>
        </w:rPr>
        <w:t>a)</w:t>
      </w:r>
      <w:r w:rsidRPr="00CD149B">
        <w:rPr>
          <w:rStyle w:val="Nessuno"/>
          <w:b/>
          <w:i/>
        </w:rPr>
        <w:tab/>
        <w:t>informacijos, ypač perduotos valstybių narių valdžios institucijų arba trečiųjų šalių institucijų ar organų, rinkimą, kaupimą, apdorojimą, analizavimą ir keitimąsi ja;</w:t>
      </w:r>
    </w:p>
    <w:p w14:paraId="6F44EC82" w14:textId="77777777" w:rsidR="00FC1E12" w:rsidRPr="00CD149B" w:rsidRDefault="00FC1E12" w:rsidP="00FC1E12">
      <w:pPr>
        <w:tabs>
          <w:tab w:val="left" w:pos="7014"/>
        </w:tabs>
        <w:ind w:left="851" w:hanging="425"/>
        <w:jc w:val="both"/>
        <w:rPr>
          <w:rStyle w:val="Nessuno"/>
          <w:b/>
          <w:i/>
        </w:rPr>
      </w:pPr>
    </w:p>
    <w:p w14:paraId="4232357B" w14:textId="77777777" w:rsidR="00FC1E12" w:rsidRPr="00CD149B" w:rsidRDefault="00FC1E12" w:rsidP="00FC1E12">
      <w:pPr>
        <w:tabs>
          <w:tab w:val="left" w:pos="7014"/>
        </w:tabs>
        <w:ind w:left="851" w:hanging="425"/>
        <w:jc w:val="both"/>
        <w:rPr>
          <w:rStyle w:val="Nessuno"/>
          <w:b/>
          <w:i/>
        </w:rPr>
      </w:pPr>
      <w:r w:rsidRPr="00CD149B">
        <w:rPr>
          <w:rStyle w:val="Nessuno"/>
          <w:b/>
          <w:i/>
        </w:rPr>
        <w:t>b)</w:t>
      </w:r>
      <w:r w:rsidRPr="00CD149B">
        <w:rPr>
          <w:rStyle w:val="Nessuno"/>
          <w:b/>
          <w:i/>
        </w:rPr>
        <w:tab/>
        <w:t xml:space="preserve">valstybių narių kompetentingų valdžios institucijų arba jungtinių tyrimo grupių, prireikus kartu su </w:t>
      </w:r>
      <w:proofErr w:type="spellStart"/>
      <w:r w:rsidRPr="00CD149B">
        <w:rPr>
          <w:rStyle w:val="Nessuno"/>
          <w:b/>
          <w:i/>
        </w:rPr>
        <w:t>Eurojust</w:t>
      </w:r>
      <w:proofErr w:type="spellEnd"/>
      <w:r w:rsidRPr="00CD149B">
        <w:rPr>
          <w:rStyle w:val="Nessuno"/>
          <w:b/>
          <w:i/>
        </w:rPr>
        <w:t>, bendrai atliekamų tyrimo ir operatyvinių veiksmų koordinavimą, organizavimą ir įgyvendinimą.</w:t>
      </w:r>
    </w:p>
    <w:p w14:paraId="1B3A8C13" w14:textId="77777777" w:rsidR="00FC1E12" w:rsidRPr="00CD149B" w:rsidRDefault="00FC1E12" w:rsidP="00FC1E12">
      <w:pPr>
        <w:tabs>
          <w:tab w:val="left" w:pos="7014"/>
        </w:tabs>
        <w:jc w:val="both"/>
        <w:rPr>
          <w:rStyle w:val="Nessuno"/>
          <w:b/>
          <w:i/>
        </w:rPr>
      </w:pPr>
    </w:p>
    <w:p w14:paraId="301C66F5" w14:textId="77777777" w:rsidR="00FC1E12" w:rsidRPr="00CD149B" w:rsidRDefault="00FC1E12" w:rsidP="00FC1E12">
      <w:pPr>
        <w:tabs>
          <w:tab w:val="left" w:pos="7014"/>
        </w:tabs>
        <w:ind w:left="426" w:hanging="426"/>
        <w:jc w:val="both"/>
        <w:rPr>
          <w:rStyle w:val="Nessuno"/>
          <w:b/>
          <w:i/>
        </w:rPr>
      </w:pPr>
      <w:r w:rsidRPr="00CD149B">
        <w:rPr>
          <w:rStyle w:val="Nessuno"/>
          <w:b/>
          <w:i/>
        </w:rPr>
        <w:tab/>
        <w:t>Šie reglamentai taip pat nustato Europos Parlamento kartu su nacionaliniais parlamentais atliekamos Europolo veiklos priežiūros procedūras.</w:t>
      </w:r>
    </w:p>
    <w:p w14:paraId="4CA6855E" w14:textId="77777777" w:rsidR="00FC1E12" w:rsidRPr="00CD149B" w:rsidRDefault="00FC1E12" w:rsidP="00FC1E12">
      <w:pPr>
        <w:tabs>
          <w:tab w:val="left" w:pos="7014"/>
        </w:tabs>
        <w:jc w:val="both"/>
        <w:rPr>
          <w:rStyle w:val="Nessuno"/>
          <w:bCs/>
          <w:i/>
        </w:rPr>
      </w:pPr>
    </w:p>
    <w:p w14:paraId="2B57421D" w14:textId="77777777" w:rsidR="00FC1E12" w:rsidRPr="00CD149B" w:rsidRDefault="00FC1E12" w:rsidP="00FC1E12">
      <w:pPr>
        <w:ind w:left="426" w:hanging="426"/>
        <w:jc w:val="both"/>
        <w:rPr>
          <w:rStyle w:val="Nessuno"/>
          <w:b/>
          <w:bCs/>
          <w:i/>
        </w:rPr>
      </w:pPr>
      <w:r w:rsidRPr="00CD149B">
        <w:rPr>
          <w:rStyle w:val="Nessuno"/>
          <w:i/>
        </w:rPr>
        <w:t>3.</w:t>
      </w:r>
      <w:r w:rsidRPr="00CD149B">
        <w:rPr>
          <w:rStyle w:val="Nessuno"/>
          <w:i/>
        </w:rPr>
        <w:tab/>
        <w:t>Bet kokį operatyvų veiksmą Europolas privalo atlikti kartu su valstybės narės ar valstybių narių, su kurių teritorija tai susiję, valdžios institucijomis ir su jų sutikimu. Prievartos priemonių taikymas išimtinai priklauso kompetentingoms nacionalinėms valdžios institucijoms.</w:t>
      </w:r>
    </w:p>
    <w:p w14:paraId="4D9019A4" w14:textId="77777777" w:rsidR="00FC1E12" w:rsidRPr="00CD149B" w:rsidRDefault="00FC1E12" w:rsidP="00FC1E12">
      <w:pPr>
        <w:jc w:val="both"/>
        <w:rPr>
          <w:rStyle w:val="Nessuno"/>
          <w:b/>
          <w:bCs/>
          <w:i/>
        </w:rPr>
      </w:pPr>
    </w:p>
    <w:p w14:paraId="2C3490E1" w14:textId="77777777" w:rsidR="00FC1E12" w:rsidRPr="00CD149B" w:rsidRDefault="00FC1E12" w:rsidP="00FC1E12">
      <w:pPr>
        <w:tabs>
          <w:tab w:val="left" w:pos="567"/>
          <w:tab w:val="left" w:pos="7014"/>
        </w:tabs>
        <w:ind w:left="397" w:hanging="397"/>
        <w:jc w:val="both"/>
        <w:rPr>
          <w:rStyle w:val="Nessuno"/>
          <w:bCs/>
          <w:i/>
        </w:rPr>
      </w:pPr>
    </w:p>
    <w:p w14:paraId="77A6DB94" w14:textId="77777777" w:rsidR="00FC1E12" w:rsidRPr="00CD149B" w:rsidRDefault="00FC1E12" w:rsidP="00FC1E12">
      <w:pPr>
        <w:spacing w:after="240"/>
        <w:jc w:val="both"/>
        <w:rPr>
          <w:b/>
          <w:u w:val="single"/>
        </w:rPr>
      </w:pPr>
      <w:r w:rsidRPr="00CD149B">
        <w:rPr>
          <w:b/>
          <w:u w:val="single"/>
        </w:rPr>
        <w:t>III. Europos Sąjungos Teisingumo Teismo praktika teisinio pagrindo pasirinkimo klausimu</w:t>
      </w:r>
    </w:p>
    <w:p w14:paraId="5742C6C8" w14:textId="77777777" w:rsidR="00FC1E12" w:rsidRPr="00CD149B" w:rsidRDefault="00FC1E12" w:rsidP="006A4CE5">
      <w:pPr>
        <w:pStyle w:val="Point123"/>
        <w:numPr>
          <w:ilvl w:val="0"/>
          <w:numId w:val="0"/>
        </w:numPr>
        <w:spacing w:before="0" w:after="0" w:line="240" w:lineRule="auto"/>
        <w:rPr>
          <w:color w:val="000000" w:themeColor="text1"/>
        </w:rPr>
      </w:pPr>
      <w:r w:rsidRPr="00CD149B">
        <w:rPr>
          <w:color w:val="000000" w:themeColor="text1"/>
        </w:rPr>
        <w:t>Teisingumo Teismas tinkamo teisinio pagrindo pasirinkimą tradiciškai laiko konstitucinės reikšmės klausimu, kuriuo užtikrinama, kad būtų laikomasi kompetencijos suteikimo principo (Europos Sąjungos sutarties 5 straipsnis), ir apibrėžiamas Sąjungos kompetencijos pobūdis ir aprėptis</w:t>
      </w:r>
      <w:r w:rsidRPr="00CD149B">
        <w:rPr>
          <w:color w:val="000000" w:themeColor="text1"/>
          <w:vertAlign w:val="superscript"/>
        </w:rPr>
        <w:footnoteReference w:id="2"/>
      </w:r>
      <w:r w:rsidRPr="00CD149B">
        <w:rPr>
          <w:color w:val="000000" w:themeColor="text1"/>
        </w:rPr>
        <w:t>.</w:t>
      </w:r>
    </w:p>
    <w:p w14:paraId="37D0D6F9" w14:textId="77777777" w:rsidR="00FC1E12" w:rsidRPr="00CD149B" w:rsidRDefault="00FC1E12" w:rsidP="00FC1E12">
      <w:pPr>
        <w:pStyle w:val="Point123"/>
        <w:numPr>
          <w:ilvl w:val="0"/>
          <w:numId w:val="0"/>
        </w:numPr>
        <w:spacing w:before="0" w:after="0" w:line="240" w:lineRule="auto"/>
        <w:jc w:val="both"/>
        <w:rPr>
          <w:color w:val="000000" w:themeColor="text1"/>
        </w:rPr>
      </w:pPr>
    </w:p>
    <w:p w14:paraId="61D3F302" w14:textId="77777777" w:rsidR="00FC1E12" w:rsidRPr="00CD149B" w:rsidRDefault="00FC1E12" w:rsidP="006A4CE5">
      <w:pPr>
        <w:pStyle w:val="Point123"/>
        <w:numPr>
          <w:ilvl w:val="0"/>
          <w:numId w:val="0"/>
        </w:numPr>
        <w:spacing w:before="0" w:after="0" w:line="240" w:lineRule="auto"/>
        <w:rPr>
          <w:color w:val="000000" w:themeColor="text1"/>
          <w:vertAlign w:val="superscript"/>
        </w:rPr>
      </w:pPr>
      <w:r w:rsidRPr="00CD149B">
        <w:rPr>
          <w:color w:val="000000" w:themeColor="text1"/>
        </w:rPr>
        <w:t>Pagal nusistovėjusią Teismo praktiką Sąjungos akto teisinis pagrindas nepriklauso nuo institucijos įsitikinimo, susijusio su siekiamu tikslu, o turi būti nustatomas laikantis objektyvių kriterijų, kuriems gali būti taikoma teisminė peržiūra, įskaitant visų pirma priemonės tikslą ir turinį</w:t>
      </w:r>
      <w:r w:rsidRPr="00CD149B">
        <w:rPr>
          <w:color w:val="000000" w:themeColor="text1"/>
          <w:vertAlign w:val="superscript"/>
        </w:rPr>
        <w:footnoteReference w:id="3"/>
      </w:r>
      <w:r w:rsidRPr="00CD149B">
        <w:rPr>
          <w:color w:val="000000" w:themeColor="text1"/>
        </w:rPr>
        <w:t>.</w:t>
      </w:r>
      <w:r w:rsidRPr="00CD149B">
        <w:rPr>
          <w:color w:val="000000" w:themeColor="text1"/>
          <w:vertAlign w:val="superscript"/>
        </w:rPr>
        <w:t xml:space="preserve"> </w:t>
      </w:r>
    </w:p>
    <w:p w14:paraId="1B1E8ACA" w14:textId="77777777" w:rsidR="00FC1E12" w:rsidRPr="00CD149B" w:rsidRDefault="00FC1E12" w:rsidP="00FC1E12">
      <w:pPr>
        <w:pStyle w:val="Point123"/>
        <w:numPr>
          <w:ilvl w:val="0"/>
          <w:numId w:val="0"/>
        </w:numPr>
        <w:spacing w:before="0" w:after="0" w:line="240" w:lineRule="auto"/>
        <w:jc w:val="both"/>
        <w:rPr>
          <w:color w:val="000000" w:themeColor="text1"/>
          <w:vertAlign w:val="superscript"/>
        </w:rPr>
      </w:pPr>
    </w:p>
    <w:p w14:paraId="7DBF32E8" w14:textId="77777777" w:rsidR="00FC1E12" w:rsidRPr="00CD149B" w:rsidRDefault="00FC1E12" w:rsidP="006A4CE5">
      <w:pPr>
        <w:pStyle w:val="Point123"/>
        <w:numPr>
          <w:ilvl w:val="0"/>
          <w:numId w:val="0"/>
        </w:numPr>
        <w:tabs>
          <w:tab w:val="left" w:pos="720"/>
        </w:tabs>
        <w:spacing w:before="0" w:after="0" w:line="240" w:lineRule="auto"/>
      </w:pPr>
      <w:r w:rsidRPr="00CD149B">
        <w:rPr>
          <w:color w:val="000000" w:themeColor="text1"/>
        </w:rPr>
        <w:t>Jeigu išnagrinėjus priemonę paaiškėja, kad ja siekiama dvejopo tikslo arba tikslas turi dvi sudedamąsias dalis, ir jei vieną iš šių tikslų arba vieną iš šių dalių galima išskirti kaip pagrindinį (-ę) ar dominuojantį (-</w:t>
      </w:r>
      <w:proofErr w:type="spellStart"/>
      <w:r w:rsidRPr="00CD149B">
        <w:rPr>
          <w:color w:val="000000" w:themeColor="text1"/>
        </w:rPr>
        <w:t>ią</w:t>
      </w:r>
      <w:proofErr w:type="spellEnd"/>
      <w:r w:rsidRPr="00CD149B">
        <w:rPr>
          <w:color w:val="000000" w:themeColor="text1"/>
        </w:rPr>
        <w:t>), o kitą tik kaip papildomą, priemonė turi būti grindžiama tik vienu teisiniu pagrindu – tuo, kurio reikalauja pagrindinis ar dominuojantis tikslas arba pagrindinė ar dominuojanti sudedamoji dalis</w:t>
      </w:r>
      <w:r w:rsidRPr="00CD149B">
        <w:rPr>
          <w:color w:val="000000" w:themeColor="text1"/>
          <w:vertAlign w:val="superscript"/>
        </w:rPr>
        <w:footnoteReference w:id="4"/>
      </w:r>
      <w:r w:rsidRPr="00CD149B">
        <w:rPr>
          <w:color w:val="000000" w:themeColor="text1"/>
        </w:rPr>
        <w:t>. Tik išimtiniais atvejais, jeigu nustatoma, kad aktu tuo pat metu siekiama kelių neatsiejamai susijusių tikslų, kai vienas iš jų nėra antrinis ir netiesioginis kito atžvilgiu, toks aktas gali būti grindžiamas įvairiais atitinkamais teisiniais pagrindais</w:t>
      </w:r>
      <w:r w:rsidRPr="00CD149B">
        <w:rPr>
          <w:color w:val="000000" w:themeColor="text1"/>
          <w:vertAlign w:val="superscript"/>
        </w:rPr>
        <w:footnoteReference w:id="5"/>
      </w:r>
      <w:r w:rsidRPr="00CD149B">
        <w:rPr>
          <w:color w:val="000000" w:themeColor="text1"/>
        </w:rPr>
        <w:t>. Tačiau tai įmanoma tik tuo atveju, jeigu atitinkamiems teisiniams pagrindams nustatytos procedūros nėra nesuderinamos ir jos nedaro neigiamo poveikio Europos Parlamento teisei</w:t>
      </w:r>
      <w:r w:rsidRPr="00CD149B">
        <w:rPr>
          <w:color w:val="000000" w:themeColor="text1"/>
          <w:vertAlign w:val="superscript"/>
        </w:rPr>
        <w:footnoteReference w:id="6"/>
      </w:r>
      <w:r w:rsidRPr="00CD149B">
        <w:rPr>
          <w:color w:val="000000" w:themeColor="text1"/>
        </w:rPr>
        <w:t>.</w:t>
      </w:r>
    </w:p>
    <w:p w14:paraId="2B10F215" w14:textId="77777777" w:rsidR="00FC1E12" w:rsidRPr="00CD149B" w:rsidRDefault="00FC1E12" w:rsidP="00FC1E12">
      <w:pPr>
        <w:spacing w:after="240"/>
        <w:ind w:left="567" w:hanging="567"/>
        <w:jc w:val="both"/>
        <w:rPr>
          <w:b/>
          <w:u w:val="single"/>
        </w:rPr>
      </w:pPr>
    </w:p>
    <w:p w14:paraId="4423D696" w14:textId="77777777" w:rsidR="00FC1E12" w:rsidRPr="00CD149B" w:rsidRDefault="00FC1E12" w:rsidP="00FC1E12">
      <w:pPr>
        <w:spacing w:after="240"/>
        <w:ind w:left="567" w:hanging="567"/>
        <w:jc w:val="both"/>
      </w:pPr>
      <w:r w:rsidRPr="00CD149B">
        <w:rPr>
          <w:b/>
          <w:u w:val="single"/>
        </w:rPr>
        <w:t>IV. Pasiūlymo dėl reglamento tikslas ir turinys</w:t>
      </w:r>
    </w:p>
    <w:p w14:paraId="2DEC12DB" w14:textId="77777777" w:rsidR="00FC1E12" w:rsidRPr="00CD149B" w:rsidRDefault="00FC1E12" w:rsidP="00F30938">
      <w:r w:rsidRPr="00CD149B">
        <w:t>Kaip nurodė Komisija, Pasiūlymu dėl reglamentu siekiama sustiprinti Europolo vaidmenį kovojant su neteisėtu migrantų gabenimu ir prekyba žmonėmis ir Europos kovos su neteisėtu migrantų gabenimu centro vaidmenį, taip pat stiprinti valstybių narių ir Europolo bendradarbiavimą neteisėto migrantų gabenimo ir prekybos žmonėmis prevencijos ir kovos su jais srityje.</w:t>
      </w:r>
    </w:p>
    <w:p w14:paraId="549C37A5" w14:textId="77777777" w:rsidR="00FC1E12" w:rsidRPr="00CD149B" w:rsidRDefault="00FC1E12" w:rsidP="00FC1E12">
      <w:pPr>
        <w:jc w:val="both"/>
      </w:pPr>
    </w:p>
    <w:p w14:paraId="080F97DA" w14:textId="77777777" w:rsidR="00FC1E12" w:rsidRPr="00CD149B" w:rsidRDefault="00FC1E12" w:rsidP="00F30938">
      <w:pPr>
        <w:spacing w:line="257" w:lineRule="auto"/>
      </w:pPr>
      <w:r w:rsidRPr="00CD149B">
        <w:t>Siekdama šių tikslų, Komisija pasiūlė nustatyti taisykles dėl: a) Europos kovos su neteisėtu migrantų gabenimu centro (toliau – Centras) ir valdymo sistemos, skirtos jo veiklai reguliuoti ir remti, įsteigimo; b) valstybių narių, Europolo ir kitų Sąjungos agentūrų bendradarbiavimo ir veiksmų koordinavimo stiprinimo; c) valstybių narių ir Europolo galimybių tarpusavyje keistis informacija pagerinimo; d) Europolui reikiamų priemonių, kuriomis jis galėtų remti ir stiprinti valstybių narių kompetentingų institucijų veiksmus bei jų tarpusavio bendradarbiavimą vykdant nusikalstamų veikų, patenkančių į Europolo tikslų taikymo sritį, prevenciją ir kovojant su jomis, suteikimo; e) Europolo ir trečiųjų šalių bendradarbiavimo stiprinimo.</w:t>
      </w:r>
    </w:p>
    <w:p w14:paraId="594130AE" w14:textId="77777777" w:rsidR="00FC1E12" w:rsidRPr="00CD149B" w:rsidRDefault="00FC1E12" w:rsidP="00FC1E12">
      <w:pPr>
        <w:autoSpaceDE w:val="0"/>
        <w:autoSpaceDN w:val="0"/>
        <w:adjustRightInd w:val="0"/>
        <w:jc w:val="both"/>
      </w:pPr>
    </w:p>
    <w:p w14:paraId="34F55CAD" w14:textId="77777777" w:rsidR="00FC1E12" w:rsidRPr="00CD149B" w:rsidRDefault="00FC1E12" w:rsidP="00F30938">
      <w:pPr>
        <w:autoSpaceDE w:val="0"/>
        <w:autoSpaceDN w:val="0"/>
        <w:adjustRightInd w:val="0"/>
      </w:pPr>
      <w:r w:rsidRPr="00CD149B">
        <w:t>Todėl Pasiūlymą dėl reglamento iš pradžių sudarė, viena vertus, tarsi „savarankiškas reglamentas“, kuriuo įsteigiamas Centras Europole ir nustatomos išsamios taisyklės dėl jo sudėties ir užduočių, taip pat nuostatos dėl dalijimosi informacija ir nacionalinių specializuotų paslaugų siekiant užkirsti kelią neteisėtam migrantų gabenimui ir prekybai žmonėmis ir su jais kovoti. Kita vertus, jame buvo padaryti Europolo reglamento pakeitimai.</w:t>
      </w:r>
    </w:p>
    <w:p w14:paraId="43F12E0B" w14:textId="77777777" w:rsidR="00FC1E12" w:rsidRPr="00CD149B" w:rsidRDefault="00FC1E12" w:rsidP="00FC1E12">
      <w:pPr>
        <w:autoSpaceDE w:val="0"/>
        <w:autoSpaceDN w:val="0"/>
        <w:adjustRightInd w:val="0"/>
        <w:jc w:val="both"/>
      </w:pPr>
    </w:p>
    <w:p w14:paraId="168023A1" w14:textId="77777777" w:rsidR="00FC1E12" w:rsidRPr="00CD149B" w:rsidRDefault="00FC1E12" w:rsidP="00F30938">
      <w:r w:rsidRPr="00CD149B">
        <w:t xml:space="preserve">Per tarpinstitucines derybas susitarta, laikantis atitinkamų Parlamento ir Tarybos įgaliojimų, išbraukti Pasiūlymo dėl reglamento dalis, kuriomis siekiama sukurti tarsi „savarankišką reglamentą“, ir paversti jį tik aktu, kuriuo iš dalies keičiamas Europolo reglamentas. </w:t>
      </w:r>
    </w:p>
    <w:p w14:paraId="4CE3A3D7" w14:textId="77777777" w:rsidR="00FC1E12" w:rsidRPr="00CD149B" w:rsidRDefault="00FC1E12" w:rsidP="00FC1E12">
      <w:pPr>
        <w:autoSpaceDE w:val="0"/>
        <w:autoSpaceDN w:val="0"/>
        <w:adjustRightInd w:val="0"/>
        <w:jc w:val="both"/>
      </w:pPr>
    </w:p>
    <w:p w14:paraId="54114C77" w14:textId="77777777" w:rsidR="00FC1E12" w:rsidRPr="00CD149B" w:rsidRDefault="00FC1E12" w:rsidP="00F30938">
      <w:pPr>
        <w:pStyle w:val="Point123"/>
        <w:numPr>
          <w:ilvl w:val="0"/>
          <w:numId w:val="0"/>
        </w:numPr>
        <w:tabs>
          <w:tab w:val="left" w:pos="720"/>
        </w:tabs>
        <w:spacing w:before="0" w:after="0" w:line="240" w:lineRule="auto"/>
      </w:pPr>
      <w:r w:rsidRPr="00CD149B">
        <w:t>Todėl Pasiūlymas dėl reglamento su teisėkūros institucijų padarytais pakeitimais susijęs tik su Europolo struktūra, veikimu, veiklos sritimi ir užduotimis. Pagrindiniai Pasiūlymo dėl reglamento, kurį iš dalies pakeitė ir dėl kurio preliminariai susitarė teisėkūros institucijos, tikslai dabar yra šie: sustiprinti Europolą, kad būtų sustiprintas teisėsaugos institucijų atsakas į neteisėtą migrantų gabenimą ir prekybą žmonėmis, sustiprinti Europolo, kaip Sąjungos kriminalinės informacijos centro ir paslaugų teikėjo, vaidmenį, visų pirma, sukuriant saugų keitimosi duomenimis tinklą, pavyzdžiui, saugaus keitimosi informacija tinklo taikomąją programą, siekiant užtikrinti, kad valstybės narės keistųsi informacija su Europolu, ir paaiškinti, kad Europolo tikslai taip pat aiškiai apima Sąjungos ribojamųjų priemonių pažeidimus.</w:t>
      </w:r>
    </w:p>
    <w:p w14:paraId="36AF5782" w14:textId="77777777" w:rsidR="00FC1E12" w:rsidRPr="00CD149B" w:rsidRDefault="00FC1E12" w:rsidP="00FC1E12">
      <w:pPr>
        <w:jc w:val="both"/>
        <w:rPr>
          <w:b/>
          <w:u w:val="single"/>
        </w:rPr>
      </w:pPr>
    </w:p>
    <w:p w14:paraId="7FBCEDBD" w14:textId="77777777" w:rsidR="00FC1E12" w:rsidRPr="00CD149B" w:rsidRDefault="00FC1E12" w:rsidP="00FC1E12">
      <w:pPr>
        <w:spacing w:after="240"/>
        <w:jc w:val="both"/>
        <w:rPr>
          <w:b/>
          <w:u w:val="single"/>
        </w:rPr>
      </w:pPr>
      <w:r w:rsidRPr="00CD149B">
        <w:rPr>
          <w:b/>
          <w:u w:val="single"/>
        </w:rPr>
        <w:t xml:space="preserve">V. Analizė </w:t>
      </w:r>
    </w:p>
    <w:p w14:paraId="0DF971DC" w14:textId="77777777" w:rsidR="00FC1E12" w:rsidRPr="00CD149B" w:rsidRDefault="00FC1E12" w:rsidP="00F30938">
      <w:r w:rsidRPr="00CD149B">
        <w:t>Iš to, kas išdėstyta pirmiau, ir išanalizavus Pasiūlymo dėl reglamento konstatuojamąsias dalis ir rezoliucinės dalies nuostatas, dėl kurių preliminariai susitarė teisėkūros institucijos, matyti, kad apimtis buvo sumažinta, kad dokumente būtų iš esmės tik Europolo reglamento pakeitimai. Todėl jo tikslas ir turinys dabar susiję tik su Europolo struktūra, veikla, veiklos sritimi ir užduotimis.</w:t>
      </w:r>
    </w:p>
    <w:p w14:paraId="3591C4B0" w14:textId="77777777" w:rsidR="00FC1E12" w:rsidRPr="00CD149B" w:rsidRDefault="00FC1E12" w:rsidP="00FC1E12">
      <w:pPr>
        <w:jc w:val="both"/>
      </w:pPr>
    </w:p>
    <w:p w14:paraId="34335D85" w14:textId="77777777" w:rsidR="00FC1E12" w:rsidRPr="00CD149B" w:rsidRDefault="00FC1E12" w:rsidP="00F30938">
      <w:r w:rsidRPr="00CD149B">
        <w:t>Pagal SESV 88 straipsnio 2 dalį Parlamentas ir Taryba, priimdami reglamentus pagal įprastą teisėkūros procedūrą, nustato Europolo struktūrą, veikimą, veiklos sritį ir užduotis.</w:t>
      </w:r>
    </w:p>
    <w:p w14:paraId="31977908" w14:textId="77777777" w:rsidR="00FC1E12" w:rsidRPr="00CD149B" w:rsidRDefault="00FC1E12" w:rsidP="00FC1E12">
      <w:pPr>
        <w:jc w:val="both"/>
      </w:pPr>
    </w:p>
    <w:p w14:paraId="1B0AE6D9" w14:textId="77777777" w:rsidR="00FC1E12" w:rsidRPr="00CD149B" w:rsidRDefault="00FC1E12" w:rsidP="00F30938">
      <w:pPr>
        <w:pStyle w:val="Point123"/>
        <w:numPr>
          <w:ilvl w:val="0"/>
          <w:numId w:val="0"/>
        </w:numPr>
        <w:tabs>
          <w:tab w:val="left" w:pos="720"/>
        </w:tabs>
        <w:spacing w:before="0" w:after="0" w:line="240" w:lineRule="auto"/>
      </w:pPr>
      <w:r w:rsidRPr="00CD149B">
        <w:t>Todėl, remiantis pirmiau nurodyta nusistovėjusia Teisingumo Teismo praktika, priemonė turi būti grindžiama vienu teisiniu pagrindu, t. y. tuo, kurio reikia pagal jos pagrindinį tikslą ar sudedamąją dalį.</w:t>
      </w:r>
    </w:p>
    <w:p w14:paraId="0C46DC7D" w14:textId="77777777" w:rsidR="00FC1E12" w:rsidRPr="00CD149B" w:rsidRDefault="00FC1E12" w:rsidP="00FC1E12">
      <w:pPr>
        <w:jc w:val="both"/>
        <w:rPr>
          <w:b/>
          <w:u w:val="single"/>
        </w:rPr>
      </w:pPr>
    </w:p>
    <w:p w14:paraId="15857018" w14:textId="77777777" w:rsidR="00FC1E12" w:rsidRPr="00CD149B" w:rsidRDefault="00FC1E12" w:rsidP="00FC1E12">
      <w:pPr>
        <w:spacing w:after="240"/>
        <w:jc w:val="both"/>
        <w:rPr>
          <w:b/>
          <w:u w:val="single"/>
        </w:rPr>
      </w:pPr>
      <w:r w:rsidRPr="00CD149B">
        <w:rPr>
          <w:b/>
          <w:u w:val="single"/>
        </w:rPr>
        <w:lastRenderedPageBreak/>
        <w:t>VI. Išvada ir rekomendacija</w:t>
      </w:r>
    </w:p>
    <w:p w14:paraId="3B2A038A" w14:textId="77777777" w:rsidR="007179A7" w:rsidRPr="00CD149B" w:rsidRDefault="00FC1E12" w:rsidP="00FC1E12">
      <w:pPr>
        <w:pStyle w:val="Normal12a"/>
      </w:pPr>
      <w:r w:rsidRPr="00CD149B">
        <w:t>Taigi, 2025 m. spalio 13 d. posėdyje Teisės reikalų komitetas vienbalsiai (25 nariams balsavus už)</w:t>
      </w:r>
      <w:r w:rsidRPr="00CD149B">
        <w:rPr>
          <w:vertAlign w:val="superscript"/>
        </w:rPr>
        <w:footnoteReference w:id="7"/>
      </w:r>
      <w:r w:rsidRPr="00CD149B">
        <w:t xml:space="preserve"> nusprendė rekomenduoti Piliečių laisvių, teisingumo ir vidaus reikalų komitetui, kad SESV 88 straipsnio 2 dalis yra vienintelis tinkamas Pasiūlymo dėl reglamento, kuris iš dalies pakeistas ir dėl kurio teisėkūros institucijos preliminariai susitarė per tarpinstitucines derybas, teisinis pagrindas.</w:t>
      </w:r>
    </w:p>
    <w:p w14:paraId="55D68F29" w14:textId="77777777" w:rsidR="007179A7" w:rsidRPr="00CD149B" w:rsidRDefault="005C4B56" w:rsidP="00A04228">
      <w:pPr>
        <w:pStyle w:val="Normal12a"/>
      </w:pPr>
      <w:r w:rsidRPr="00CD149B">
        <w:t>Pagarbiai</w:t>
      </w:r>
    </w:p>
    <w:p w14:paraId="233F036B" w14:textId="77777777" w:rsidR="007179A7" w:rsidRPr="00CD149B" w:rsidRDefault="00324EAF">
      <w:pPr>
        <w:pStyle w:val="LetterSignature66b"/>
      </w:pPr>
      <w:proofErr w:type="spellStart"/>
      <w:r w:rsidRPr="00CD149B">
        <w:t>Ilhan</w:t>
      </w:r>
      <w:proofErr w:type="spellEnd"/>
      <w:r w:rsidRPr="00CD149B">
        <w:t xml:space="preserve"> </w:t>
      </w:r>
      <w:proofErr w:type="spellStart"/>
      <w:r w:rsidRPr="00CD149B">
        <w:t>Kyuchyuk</w:t>
      </w:r>
      <w:proofErr w:type="spellEnd"/>
    </w:p>
    <w:p w14:paraId="4372EC73" w14:textId="77777777" w:rsidR="009D564F" w:rsidRPr="00CD149B" w:rsidRDefault="009D564F" w:rsidP="00332170">
      <w:pPr>
        <w:widowControl/>
      </w:pPr>
    </w:p>
    <w:sectPr w:rsidR="009D564F" w:rsidRPr="00CD149B" w:rsidSect="00CD149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E64D6" w14:textId="77777777" w:rsidR="005C4B56" w:rsidRPr="00CD149B" w:rsidRDefault="005C4B56">
      <w:r w:rsidRPr="00CD149B">
        <w:separator/>
      </w:r>
    </w:p>
  </w:endnote>
  <w:endnote w:type="continuationSeparator" w:id="0">
    <w:p w14:paraId="66A4D512" w14:textId="77777777" w:rsidR="005C4B56" w:rsidRPr="00CD149B" w:rsidRDefault="005C4B56">
      <w:r w:rsidRPr="00CD14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A1DD0" w14:textId="77777777" w:rsidR="00CD149B" w:rsidRPr="00CD149B" w:rsidRDefault="00CD149B" w:rsidP="00CD149B">
    <w:pPr>
      <w:pStyle w:val="EPFooter"/>
    </w:pPr>
    <w:r w:rsidRPr="00CD149B">
      <w:t>PE</w:t>
    </w:r>
    <w:r w:rsidRPr="00CD149B">
      <w:rPr>
        <w:rStyle w:val="HideTWBExt"/>
      </w:rPr>
      <w:t>&lt;</w:t>
    </w:r>
    <w:proofErr w:type="spellStart"/>
    <w:r w:rsidRPr="00CD149B">
      <w:rPr>
        <w:rStyle w:val="HideTWBExt"/>
      </w:rPr>
      <w:t>NoPE</w:t>
    </w:r>
    <w:proofErr w:type="spellEnd"/>
    <w:r w:rsidRPr="00CD149B">
      <w:rPr>
        <w:rStyle w:val="HideTWBExt"/>
      </w:rPr>
      <w:t>&gt;</w:t>
    </w:r>
    <w:r w:rsidRPr="00CD149B">
      <w:t>778.317</w:t>
    </w:r>
    <w:r w:rsidRPr="00CD149B">
      <w:rPr>
        <w:rStyle w:val="HideTWBExt"/>
      </w:rPr>
      <w:t>&lt;/</w:t>
    </w:r>
    <w:proofErr w:type="spellStart"/>
    <w:r w:rsidRPr="00CD149B">
      <w:rPr>
        <w:rStyle w:val="HideTWBExt"/>
      </w:rPr>
      <w:t>NoPE</w:t>
    </w:r>
    <w:proofErr w:type="spellEnd"/>
    <w:r w:rsidRPr="00CD149B">
      <w:rPr>
        <w:rStyle w:val="HideTWBExt"/>
      </w:rPr>
      <w:t>&gt;&lt;Version&gt;</w:t>
    </w:r>
    <w:r w:rsidRPr="00CD149B">
      <w:t>v02-00</w:t>
    </w:r>
    <w:r w:rsidRPr="00CD149B">
      <w:rPr>
        <w:rStyle w:val="HideTWBExt"/>
      </w:rPr>
      <w:t>&lt;/</w:t>
    </w:r>
    <w:proofErr w:type="spellStart"/>
    <w:r w:rsidRPr="00CD149B">
      <w:rPr>
        <w:rStyle w:val="HideTWBExt"/>
      </w:rPr>
      <w:t>Version</w:t>
    </w:r>
    <w:proofErr w:type="spellEnd"/>
    <w:r w:rsidRPr="00CD149B">
      <w:rPr>
        <w:rStyle w:val="HideTWBExt"/>
      </w:rPr>
      <w:t>&gt;</w:t>
    </w:r>
    <w:r w:rsidRPr="00CD149B">
      <w:tab/>
    </w:r>
    <w:r w:rsidRPr="00CD149B">
      <w:fldChar w:fldCharType="begin"/>
    </w:r>
    <w:r w:rsidRPr="00CD149B">
      <w:instrText xml:space="preserve"> PAGE  \* MERGEFORMAT </w:instrText>
    </w:r>
    <w:r w:rsidRPr="00CD149B">
      <w:fldChar w:fldCharType="separate"/>
    </w:r>
    <w:r w:rsidRPr="00CD149B">
      <w:rPr>
        <w:noProof/>
      </w:rPr>
      <w:t>2</w:t>
    </w:r>
    <w:r w:rsidRPr="00CD149B">
      <w:fldChar w:fldCharType="end"/>
    </w:r>
    <w:r w:rsidRPr="00CD149B">
      <w:t>/</w:t>
    </w:r>
    <w:fldSimple w:instr=" NUMPAGES  \* MERGEFORMAT ">
      <w:r w:rsidRPr="00CD149B">
        <w:rPr>
          <w:noProof/>
        </w:rPr>
        <w:t>6</w:t>
      </w:r>
    </w:fldSimple>
    <w:r w:rsidRPr="00CD149B">
      <w:tab/>
    </w:r>
    <w:r w:rsidRPr="00CD149B">
      <w:rPr>
        <w:rStyle w:val="HideTWBExt"/>
      </w:rPr>
      <w:t>&lt;PathFdR&gt;</w:t>
    </w:r>
    <w:r w:rsidRPr="00CD149B">
      <w:t>AL\1330969LT.docx</w:t>
    </w:r>
    <w:r w:rsidRPr="00CD149B">
      <w:rPr>
        <w:rStyle w:val="HideTWBExt"/>
      </w:rPr>
      <w:t>&lt;/</w:t>
    </w:r>
    <w:proofErr w:type="spellStart"/>
    <w:r w:rsidRPr="00CD149B">
      <w:rPr>
        <w:rStyle w:val="HideTWBExt"/>
      </w:rPr>
      <w:t>PathFdR</w:t>
    </w:r>
    <w:proofErr w:type="spellEnd"/>
    <w:r w:rsidRPr="00CD149B">
      <w:rPr>
        <w:rStyle w:val="HideTWBExt"/>
      </w:rPr>
      <w:t>&gt;</w:t>
    </w:r>
  </w:p>
  <w:p w14:paraId="4827D877" w14:textId="4FA097A5" w:rsidR="00000C7D" w:rsidRPr="00CD149B" w:rsidRDefault="00CD149B" w:rsidP="00CD149B">
    <w:pPr>
      <w:pStyle w:val="EPFooter2"/>
    </w:pPr>
    <w:r w:rsidRPr="00CD149B">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7DFA6" w14:textId="77777777" w:rsidR="00CD149B" w:rsidRPr="00CD149B" w:rsidRDefault="00CD149B" w:rsidP="00CD149B">
    <w:pPr>
      <w:pStyle w:val="EPFooter"/>
    </w:pPr>
    <w:r w:rsidRPr="00CD149B">
      <w:rPr>
        <w:rStyle w:val="HideTWBExt"/>
      </w:rPr>
      <w:t>&lt;PathFdR&gt;</w:t>
    </w:r>
    <w:r w:rsidRPr="00CD149B">
      <w:t>AL\1330969LT.docx</w:t>
    </w:r>
    <w:r w:rsidRPr="00CD149B">
      <w:rPr>
        <w:rStyle w:val="HideTWBExt"/>
      </w:rPr>
      <w:t>&lt;/</w:t>
    </w:r>
    <w:proofErr w:type="spellStart"/>
    <w:r w:rsidRPr="00CD149B">
      <w:rPr>
        <w:rStyle w:val="HideTWBExt"/>
      </w:rPr>
      <w:t>PathFdR</w:t>
    </w:r>
    <w:proofErr w:type="spellEnd"/>
    <w:r w:rsidRPr="00CD149B">
      <w:rPr>
        <w:rStyle w:val="HideTWBExt"/>
      </w:rPr>
      <w:t>&gt;</w:t>
    </w:r>
    <w:r w:rsidRPr="00CD149B">
      <w:tab/>
    </w:r>
    <w:r w:rsidRPr="00CD149B">
      <w:fldChar w:fldCharType="begin"/>
    </w:r>
    <w:r w:rsidRPr="00CD149B">
      <w:instrText xml:space="preserve"> PAGE  \* MERGEFORMAT </w:instrText>
    </w:r>
    <w:r w:rsidRPr="00CD149B">
      <w:fldChar w:fldCharType="separate"/>
    </w:r>
    <w:r w:rsidRPr="00CD149B">
      <w:rPr>
        <w:noProof/>
      </w:rPr>
      <w:t>5</w:t>
    </w:r>
    <w:r w:rsidRPr="00CD149B">
      <w:fldChar w:fldCharType="end"/>
    </w:r>
    <w:r w:rsidRPr="00CD149B">
      <w:t>/</w:t>
    </w:r>
    <w:fldSimple w:instr=" NUMPAGES  \* MERGEFORMAT ">
      <w:r w:rsidRPr="00CD149B">
        <w:rPr>
          <w:noProof/>
        </w:rPr>
        <w:t>6</w:t>
      </w:r>
    </w:fldSimple>
    <w:r w:rsidRPr="00CD149B">
      <w:tab/>
      <w:t>PE</w:t>
    </w:r>
    <w:r w:rsidRPr="00CD149B">
      <w:rPr>
        <w:rStyle w:val="HideTWBExt"/>
      </w:rPr>
      <w:t>&lt;</w:t>
    </w:r>
    <w:proofErr w:type="spellStart"/>
    <w:r w:rsidRPr="00CD149B">
      <w:rPr>
        <w:rStyle w:val="HideTWBExt"/>
      </w:rPr>
      <w:t>NoPE</w:t>
    </w:r>
    <w:proofErr w:type="spellEnd"/>
    <w:r w:rsidRPr="00CD149B">
      <w:rPr>
        <w:rStyle w:val="HideTWBExt"/>
      </w:rPr>
      <w:t>&gt;</w:t>
    </w:r>
    <w:r w:rsidRPr="00CD149B">
      <w:t>778.317</w:t>
    </w:r>
    <w:r w:rsidRPr="00CD149B">
      <w:rPr>
        <w:rStyle w:val="HideTWBExt"/>
      </w:rPr>
      <w:t>&lt;/</w:t>
    </w:r>
    <w:proofErr w:type="spellStart"/>
    <w:r w:rsidRPr="00CD149B">
      <w:rPr>
        <w:rStyle w:val="HideTWBExt"/>
      </w:rPr>
      <w:t>NoPE</w:t>
    </w:r>
    <w:proofErr w:type="spellEnd"/>
    <w:r w:rsidRPr="00CD149B">
      <w:rPr>
        <w:rStyle w:val="HideTWBExt"/>
      </w:rPr>
      <w:t>&gt;&lt;Version&gt;</w:t>
    </w:r>
    <w:r w:rsidRPr="00CD149B">
      <w:t>v02-00</w:t>
    </w:r>
    <w:r w:rsidRPr="00CD149B">
      <w:rPr>
        <w:rStyle w:val="HideTWBExt"/>
      </w:rPr>
      <w:t>&lt;/</w:t>
    </w:r>
    <w:proofErr w:type="spellStart"/>
    <w:r w:rsidRPr="00CD149B">
      <w:rPr>
        <w:rStyle w:val="HideTWBExt"/>
      </w:rPr>
      <w:t>Version</w:t>
    </w:r>
    <w:proofErr w:type="spellEnd"/>
    <w:r w:rsidRPr="00CD149B">
      <w:rPr>
        <w:rStyle w:val="HideTWBExt"/>
      </w:rPr>
      <w:t>&gt;</w:t>
    </w:r>
  </w:p>
  <w:p w14:paraId="736F91F2" w14:textId="32861560" w:rsidR="00000C7D" w:rsidRPr="00CD149B" w:rsidRDefault="00CD149B" w:rsidP="00CD149B">
    <w:pPr>
      <w:pStyle w:val="EPFooter2"/>
    </w:pPr>
    <w:r w:rsidRPr="00CD149B">
      <w:tab/>
    </w:r>
    <w:r w:rsidRPr="00CD149B">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125FD" w14:textId="77777777" w:rsidR="00CD149B" w:rsidRPr="00CD149B" w:rsidRDefault="00CD149B" w:rsidP="00CD149B">
    <w:pPr>
      <w:pStyle w:val="EPFooter"/>
    </w:pPr>
    <w:r w:rsidRPr="00CD149B">
      <w:rPr>
        <w:rStyle w:val="HideTWBExt"/>
      </w:rPr>
      <w:t>&lt;PathFdR&gt;</w:t>
    </w:r>
    <w:r w:rsidRPr="00CD149B">
      <w:t>AL\1330969LT.docx</w:t>
    </w:r>
    <w:r w:rsidRPr="00CD149B">
      <w:rPr>
        <w:rStyle w:val="HideTWBExt"/>
      </w:rPr>
      <w:t>&lt;/</w:t>
    </w:r>
    <w:proofErr w:type="spellStart"/>
    <w:r w:rsidRPr="00CD149B">
      <w:rPr>
        <w:rStyle w:val="HideTWBExt"/>
      </w:rPr>
      <w:t>PathFdR</w:t>
    </w:r>
    <w:proofErr w:type="spellEnd"/>
    <w:r w:rsidRPr="00CD149B">
      <w:rPr>
        <w:rStyle w:val="HideTWBExt"/>
      </w:rPr>
      <w:t>&gt;</w:t>
    </w:r>
    <w:r w:rsidRPr="00CD149B">
      <w:tab/>
    </w:r>
    <w:r w:rsidRPr="00CD149B">
      <w:tab/>
      <w:t>PE</w:t>
    </w:r>
    <w:r w:rsidRPr="00CD149B">
      <w:rPr>
        <w:rStyle w:val="HideTWBExt"/>
      </w:rPr>
      <w:t>&lt;</w:t>
    </w:r>
    <w:proofErr w:type="spellStart"/>
    <w:r w:rsidRPr="00CD149B">
      <w:rPr>
        <w:rStyle w:val="HideTWBExt"/>
      </w:rPr>
      <w:t>NoPE</w:t>
    </w:r>
    <w:proofErr w:type="spellEnd"/>
    <w:r w:rsidRPr="00CD149B">
      <w:rPr>
        <w:rStyle w:val="HideTWBExt"/>
      </w:rPr>
      <w:t>&gt;</w:t>
    </w:r>
    <w:r w:rsidRPr="00CD149B">
      <w:t>778.317</w:t>
    </w:r>
    <w:r w:rsidRPr="00CD149B">
      <w:rPr>
        <w:rStyle w:val="HideTWBExt"/>
      </w:rPr>
      <w:t>&lt;/</w:t>
    </w:r>
    <w:proofErr w:type="spellStart"/>
    <w:r w:rsidRPr="00CD149B">
      <w:rPr>
        <w:rStyle w:val="HideTWBExt"/>
      </w:rPr>
      <w:t>NoPE</w:t>
    </w:r>
    <w:proofErr w:type="spellEnd"/>
    <w:r w:rsidRPr="00CD149B">
      <w:rPr>
        <w:rStyle w:val="HideTWBExt"/>
      </w:rPr>
      <w:t>&gt;&lt;Version&gt;</w:t>
    </w:r>
    <w:r w:rsidRPr="00CD149B">
      <w:t>v02-00</w:t>
    </w:r>
    <w:r w:rsidRPr="00CD149B">
      <w:rPr>
        <w:rStyle w:val="HideTWBExt"/>
      </w:rPr>
      <w:t>&lt;/</w:t>
    </w:r>
    <w:proofErr w:type="spellStart"/>
    <w:r w:rsidRPr="00CD149B">
      <w:rPr>
        <w:rStyle w:val="HideTWBExt"/>
      </w:rPr>
      <w:t>Version</w:t>
    </w:r>
    <w:proofErr w:type="spellEnd"/>
    <w:r w:rsidRPr="00CD149B">
      <w:rPr>
        <w:rStyle w:val="HideTWBExt"/>
      </w:rPr>
      <w:t>&gt;</w:t>
    </w:r>
  </w:p>
  <w:p w14:paraId="0771D48E" w14:textId="54AE2627" w:rsidR="00000C7D" w:rsidRPr="00CD149B" w:rsidRDefault="00CD149B" w:rsidP="00CD149B">
    <w:pPr>
      <w:pStyle w:val="EPFooter2"/>
    </w:pPr>
    <w:r w:rsidRPr="00CD149B">
      <w:t>LT</w:t>
    </w:r>
    <w:r w:rsidRPr="00CD149B">
      <w:tab/>
    </w:r>
    <w:r w:rsidRPr="00CD149B">
      <w:rPr>
        <w:b w:val="0"/>
        <w:i/>
        <w:color w:val="C0C0C0"/>
        <w:sz w:val="22"/>
      </w:rPr>
      <w:t>Suvienijusi įvairovę</w:t>
    </w:r>
    <w:r w:rsidRPr="00CD149B">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57DFA" w14:textId="77777777" w:rsidR="005C4B56" w:rsidRPr="00CD149B" w:rsidRDefault="005C4B56">
      <w:r w:rsidRPr="00CD149B">
        <w:separator/>
      </w:r>
    </w:p>
  </w:footnote>
  <w:footnote w:type="continuationSeparator" w:id="0">
    <w:p w14:paraId="57266FAE" w14:textId="77777777" w:rsidR="005C4B56" w:rsidRPr="00CD149B" w:rsidRDefault="005C4B56">
      <w:r w:rsidRPr="00CD149B">
        <w:continuationSeparator/>
      </w:r>
    </w:p>
  </w:footnote>
  <w:footnote w:id="1">
    <w:p w14:paraId="02A3E64F" w14:textId="77777777" w:rsidR="00FC1E12" w:rsidRPr="00CD149B" w:rsidRDefault="00FC1E12" w:rsidP="00FC1E12">
      <w:r w:rsidRPr="00CD149B">
        <w:rPr>
          <w:vertAlign w:val="superscript"/>
        </w:rPr>
        <w:footnoteRef/>
      </w:r>
      <w:r w:rsidRPr="00CD149B">
        <w:t xml:space="preserve"> </w:t>
      </w:r>
      <w:r w:rsidRPr="00CD149B">
        <w:rPr>
          <w:sz w:val="20"/>
        </w:rPr>
        <w:t>2016 m. gegužės 11 d. Europos Parlamento ir Tarybos reglamentas (ES) 2016/794 dėl Europos Sąjungos teisėsaugos bendradarbiavimo agentūros (Europolo), kuriuo pakeičiami ir panaikinami Tarybos sprendimai 2009/371/TVR, 2009/934/TVR, 2009/935/TVR, 2009/936/TVR ir 2009/968/TVR (OL L 135, 2016 5 24, p. 53).</w:t>
      </w:r>
    </w:p>
  </w:footnote>
  <w:footnote w:id="2">
    <w:p w14:paraId="64C70E5C" w14:textId="77777777" w:rsidR="00FC1E12" w:rsidRPr="00CD149B" w:rsidRDefault="00FC1E12" w:rsidP="00FC1E12">
      <w:pPr>
        <w:rPr>
          <w:sz w:val="20"/>
        </w:rPr>
      </w:pPr>
      <w:r w:rsidRPr="00CD149B">
        <w:rPr>
          <w:sz w:val="20"/>
          <w:vertAlign w:val="superscript"/>
        </w:rPr>
        <w:footnoteRef/>
      </w:r>
      <w:r w:rsidRPr="00CD149B">
        <w:t xml:space="preserve"> </w:t>
      </w:r>
      <w:r w:rsidRPr="00CD149B">
        <w:rPr>
          <w:i/>
          <w:sz w:val="20"/>
        </w:rPr>
        <w:t>Nuomonė 2/00 (</w:t>
      </w:r>
      <w:proofErr w:type="spellStart"/>
      <w:r w:rsidRPr="00CD149B">
        <w:rPr>
          <w:i/>
          <w:sz w:val="20"/>
        </w:rPr>
        <w:t>Kartachenos</w:t>
      </w:r>
      <w:proofErr w:type="spellEnd"/>
      <w:r w:rsidRPr="00CD149B">
        <w:rPr>
          <w:i/>
          <w:sz w:val="20"/>
        </w:rPr>
        <w:t xml:space="preserve"> protokolas)</w:t>
      </w:r>
      <w:r w:rsidRPr="00CD149B">
        <w:rPr>
          <w:sz w:val="20"/>
        </w:rPr>
        <w:t>, ECLI:EU:C:2001:664, 5 punktas.</w:t>
      </w:r>
    </w:p>
  </w:footnote>
  <w:footnote w:id="3">
    <w:p w14:paraId="437EB8F7" w14:textId="77777777" w:rsidR="00FC1E12" w:rsidRPr="00CD149B" w:rsidRDefault="00FC1E12" w:rsidP="00FC1E12">
      <w:pPr>
        <w:rPr>
          <w:sz w:val="20"/>
        </w:rPr>
      </w:pPr>
      <w:r w:rsidRPr="00CD149B">
        <w:rPr>
          <w:sz w:val="20"/>
          <w:vertAlign w:val="superscript"/>
        </w:rPr>
        <w:footnoteRef/>
      </w:r>
      <w:r w:rsidRPr="00CD149B">
        <w:t xml:space="preserve"> </w:t>
      </w:r>
      <w:r w:rsidRPr="00CD149B">
        <w:rPr>
          <w:sz w:val="20"/>
        </w:rPr>
        <w:t>Sprendimas Komisija / Taryba (Titano dioksidas), C-300/89, ECLI:EU:C:1991:244, 10 punktas.</w:t>
      </w:r>
    </w:p>
  </w:footnote>
  <w:footnote w:id="4">
    <w:p w14:paraId="6F8AA888" w14:textId="77777777" w:rsidR="00FC1E12" w:rsidRPr="00CD149B" w:rsidRDefault="00FC1E12" w:rsidP="00FC1E12">
      <w:pPr>
        <w:rPr>
          <w:sz w:val="20"/>
        </w:rPr>
      </w:pPr>
      <w:r w:rsidRPr="00CD149B">
        <w:rPr>
          <w:sz w:val="20"/>
          <w:vertAlign w:val="superscript"/>
        </w:rPr>
        <w:footnoteRef/>
      </w:r>
      <w:r w:rsidRPr="00CD149B">
        <w:t xml:space="preserve"> </w:t>
      </w:r>
      <w:r w:rsidRPr="00CD149B">
        <w:rPr>
          <w:sz w:val="20"/>
        </w:rPr>
        <w:t>Ten pat, 30 punktas ir Sprendimas Komisija / Taryba, C-137/12, ECLI:EU:C:2013:675, 53 punktas ir jame cituojama teismų praktika.</w:t>
      </w:r>
    </w:p>
  </w:footnote>
  <w:footnote w:id="5">
    <w:p w14:paraId="35704A37" w14:textId="77777777" w:rsidR="00FC1E12" w:rsidRPr="00CD149B" w:rsidRDefault="00FC1E12" w:rsidP="00FC1E12">
      <w:pPr>
        <w:rPr>
          <w:sz w:val="20"/>
        </w:rPr>
      </w:pPr>
      <w:r w:rsidRPr="00CD149B">
        <w:rPr>
          <w:sz w:val="20"/>
          <w:vertAlign w:val="superscript"/>
        </w:rPr>
        <w:footnoteRef/>
      </w:r>
      <w:r w:rsidRPr="00CD149B">
        <w:t xml:space="preserve"> </w:t>
      </w:r>
      <w:r w:rsidRPr="00CD149B">
        <w:rPr>
          <w:sz w:val="20"/>
        </w:rPr>
        <w:t xml:space="preserve">Sprendimas byloje C-300/89, 13 ir 17 punktai; </w:t>
      </w:r>
      <w:r w:rsidRPr="00CD149B">
        <w:rPr>
          <w:rStyle w:val="affairetitle"/>
          <w:sz w:val="20"/>
        </w:rPr>
        <w:t xml:space="preserve">Sprendimas </w:t>
      </w:r>
      <w:r w:rsidRPr="00CD149B">
        <w:rPr>
          <w:rStyle w:val="affairetitle"/>
          <w:i/>
          <w:sz w:val="20"/>
        </w:rPr>
        <w:t>Parlamentas / Taryba</w:t>
      </w:r>
      <w:r w:rsidRPr="00CD149B">
        <w:rPr>
          <w:rStyle w:val="affairetitle"/>
          <w:sz w:val="20"/>
        </w:rPr>
        <w:t>, C-42/97,</w:t>
      </w:r>
      <w:r w:rsidRPr="00CD149B">
        <w:rPr>
          <w:sz w:val="20"/>
        </w:rPr>
        <w:t xml:space="preserve"> </w:t>
      </w:r>
      <w:r w:rsidRPr="00CD149B">
        <w:rPr>
          <w:rStyle w:val="outputecliaff"/>
          <w:sz w:val="20"/>
        </w:rPr>
        <w:t>ECLI:EU:C:1999:81</w:t>
      </w:r>
      <w:r w:rsidRPr="00CD149B">
        <w:rPr>
          <w:sz w:val="20"/>
        </w:rPr>
        <w:t xml:space="preserve">, 38 punktas; </w:t>
      </w:r>
      <w:r w:rsidRPr="00CD149B">
        <w:rPr>
          <w:i/>
          <w:sz w:val="20"/>
        </w:rPr>
        <w:t>Nuomonė 2/00</w:t>
      </w:r>
      <w:r w:rsidRPr="00CD149B">
        <w:rPr>
          <w:sz w:val="20"/>
        </w:rPr>
        <w:t xml:space="preserve">, 23 punktas; </w:t>
      </w:r>
      <w:r w:rsidRPr="00CD149B">
        <w:rPr>
          <w:rStyle w:val="affairetitle"/>
          <w:sz w:val="20"/>
        </w:rPr>
        <w:t xml:space="preserve">Sprendimas </w:t>
      </w:r>
      <w:r w:rsidRPr="00CD149B">
        <w:rPr>
          <w:rStyle w:val="affairetitle"/>
          <w:i/>
          <w:sz w:val="20"/>
        </w:rPr>
        <w:t>Komisija / Taryba (Roterdamo konvencija)</w:t>
      </w:r>
      <w:r w:rsidRPr="00CD149B">
        <w:rPr>
          <w:rStyle w:val="affairetitle"/>
          <w:sz w:val="20"/>
        </w:rPr>
        <w:t>, C-94/03,</w:t>
      </w:r>
      <w:r w:rsidRPr="00CD149B">
        <w:rPr>
          <w:sz w:val="20"/>
        </w:rPr>
        <w:t xml:space="preserve"> </w:t>
      </w:r>
      <w:r w:rsidRPr="00CD149B">
        <w:rPr>
          <w:rStyle w:val="outputecliaff"/>
          <w:sz w:val="20"/>
        </w:rPr>
        <w:t>ECLI:EU:C:2006:2</w:t>
      </w:r>
      <w:r w:rsidRPr="00CD149B">
        <w:rPr>
          <w:sz w:val="20"/>
        </w:rPr>
        <w:t xml:space="preserve">, ir Sprendimas </w:t>
      </w:r>
      <w:r w:rsidRPr="00CD149B">
        <w:rPr>
          <w:rStyle w:val="affairetitle"/>
          <w:i/>
          <w:sz w:val="20"/>
        </w:rPr>
        <w:t>Komisija / Parlamentas ir Taryba</w:t>
      </w:r>
      <w:r w:rsidRPr="00CD149B">
        <w:rPr>
          <w:rStyle w:val="affairetitle"/>
          <w:sz w:val="20"/>
        </w:rPr>
        <w:t>, C-178/03,</w:t>
      </w:r>
      <w:r w:rsidRPr="00CD149B">
        <w:rPr>
          <w:sz w:val="20"/>
        </w:rPr>
        <w:t xml:space="preserve"> </w:t>
      </w:r>
      <w:r w:rsidRPr="00CD149B">
        <w:rPr>
          <w:rStyle w:val="outputecliaff"/>
          <w:sz w:val="20"/>
        </w:rPr>
        <w:t>ECLI:EU:C:2006:4</w:t>
      </w:r>
      <w:r w:rsidRPr="00CD149B">
        <w:rPr>
          <w:sz w:val="20"/>
        </w:rPr>
        <w:t>, 36 ir 43 punktai.</w:t>
      </w:r>
    </w:p>
  </w:footnote>
  <w:footnote w:id="6">
    <w:p w14:paraId="2FDBED88" w14:textId="77777777" w:rsidR="00FC1E12" w:rsidRPr="00CD149B" w:rsidRDefault="00FC1E12" w:rsidP="00FC1E12">
      <w:pPr>
        <w:rPr>
          <w:sz w:val="20"/>
        </w:rPr>
      </w:pPr>
      <w:r w:rsidRPr="00CD149B">
        <w:rPr>
          <w:sz w:val="20"/>
          <w:vertAlign w:val="superscript"/>
        </w:rPr>
        <w:footnoteRef/>
      </w:r>
      <w:r w:rsidRPr="00CD149B">
        <w:t xml:space="preserve"> </w:t>
      </w:r>
      <w:r w:rsidRPr="00CD149B">
        <w:rPr>
          <w:sz w:val="20"/>
        </w:rPr>
        <w:t xml:space="preserve">Sprendimas byloje C-300/89, 17–25 punktai; Sprendimas </w:t>
      </w:r>
      <w:r w:rsidRPr="00CD149B">
        <w:rPr>
          <w:i/>
          <w:sz w:val="20"/>
        </w:rPr>
        <w:t>Portugalija / Taryba</w:t>
      </w:r>
      <w:r w:rsidRPr="00CD149B">
        <w:rPr>
          <w:sz w:val="20"/>
        </w:rPr>
        <w:t>, C-268/94, ECLI:EU:C:1996:461.</w:t>
      </w:r>
    </w:p>
  </w:footnote>
  <w:footnote w:id="7">
    <w:p w14:paraId="2334542C" w14:textId="77777777" w:rsidR="00FC1E12" w:rsidRPr="00CD149B" w:rsidRDefault="00FC1E12" w:rsidP="006A4CE5">
      <w:pPr>
        <w:rPr>
          <w:sz w:val="20"/>
        </w:rPr>
      </w:pPr>
      <w:r w:rsidRPr="00CD149B">
        <w:rPr>
          <w:sz w:val="20"/>
          <w:vertAlign w:val="superscript"/>
        </w:rPr>
        <w:footnoteRef/>
      </w:r>
      <w:r w:rsidRPr="00CD149B">
        <w:t xml:space="preserve"> </w:t>
      </w:r>
      <w:r w:rsidRPr="00CD149B">
        <w:rPr>
          <w:sz w:val="20"/>
        </w:rPr>
        <w:t xml:space="preserve">Per galutinį balsavimą dalyvavo: </w:t>
      </w:r>
      <w:proofErr w:type="spellStart"/>
      <w:r w:rsidRPr="00CD149B">
        <w:rPr>
          <w:sz w:val="20"/>
        </w:rPr>
        <w:t>Ilhan</w:t>
      </w:r>
      <w:proofErr w:type="spellEnd"/>
      <w:r w:rsidRPr="00CD149B">
        <w:rPr>
          <w:sz w:val="20"/>
        </w:rPr>
        <w:t xml:space="preserve"> </w:t>
      </w:r>
      <w:proofErr w:type="spellStart"/>
      <w:r w:rsidRPr="00CD149B">
        <w:rPr>
          <w:sz w:val="20"/>
        </w:rPr>
        <w:t>Kyuchyuk</w:t>
      </w:r>
      <w:proofErr w:type="spellEnd"/>
      <w:r w:rsidRPr="00CD149B">
        <w:rPr>
          <w:sz w:val="20"/>
        </w:rPr>
        <w:t xml:space="preserve"> (pirmininkas), </w:t>
      </w:r>
      <w:proofErr w:type="spellStart"/>
      <w:r w:rsidRPr="00CD149B">
        <w:rPr>
          <w:sz w:val="20"/>
        </w:rPr>
        <w:t>Marion</w:t>
      </w:r>
      <w:proofErr w:type="spellEnd"/>
      <w:r w:rsidRPr="00CD149B">
        <w:rPr>
          <w:sz w:val="20"/>
        </w:rPr>
        <w:t xml:space="preserve"> </w:t>
      </w:r>
      <w:proofErr w:type="spellStart"/>
      <w:r w:rsidRPr="00CD149B">
        <w:rPr>
          <w:sz w:val="20"/>
        </w:rPr>
        <w:t>Walsmann</w:t>
      </w:r>
      <w:proofErr w:type="spellEnd"/>
      <w:r w:rsidRPr="00CD149B">
        <w:rPr>
          <w:sz w:val="20"/>
        </w:rPr>
        <w:t xml:space="preserve"> (pirmininko pavaduotoja), Mario </w:t>
      </w:r>
      <w:proofErr w:type="spellStart"/>
      <w:r w:rsidRPr="00CD149B">
        <w:rPr>
          <w:sz w:val="20"/>
        </w:rPr>
        <w:t>Mantovani</w:t>
      </w:r>
      <w:proofErr w:type="spellEnd"/>
      <w:r w:rsidRPr="00CD149B">
        <w:rPr>
          <w:sz w:val="20"/>
        </w:rPr>
        <w:t xml:space="preserve"> (pirmininko pavaduotojas), </w:t>
      </w:r>
      <w:proofErr w:type="spellStart"/>
      <w:r w:rsidRPr="00CD149B">
        <w:rPr>
          <w:sz w:val="20"/>
        </w:rPr>
        <w:t>Lara</w:t>
      </w:r>
      <w:proofErr w:type="spellEnd"/>
      <w:r w:rsidRPr="00CD149B">
        <w:rPr>
          <w:sz w:val="20"/>
        </w:rPr>
        <w:t xml:space="preserve"> </w:t>
      </w:r>
      <w:proofErr w:type="spellStart"/>
      <w:r w:rsidRPr="00CD149B">
        <w:rPr>
          <w:sz w:val="20"/>
        </w:rPr>
        <w:t>Wolters</w:t>
      </w:r>
      <w:proofErr w:type="spellEnd"/>
      <w:r w:rsidRPr="00CD149B">
        <w:rPr>
          <w:sz w:val="20"/>
        </w:rPr>
        <w:t xml:space="preserve"> (pirmininko pavaduotoja), </w:t>
      </w:r>
      <w:proofErr w:type="spellStart"/>
      <w:r w:rsidRPr="00CD149B">
        <w:rPr>
          <w:sz w:val="20"/>
        </w:rPr>
        <w:t>Maravillas</w:t>
      </w:r>
      <w:proofErr w:type="spellEnd"/>
      <w:r w:rsidRPr="00CD149B">
        <w:rPr>
          <w:sz w:val="20"/>
        </w:rPr>
        <w:t xml:space="preserve"> </w:t>
      </w:r>
      <w:proofErr w:type="spellStart"/>
      <w:r w:rsidRPr="00CD149B">
        <w:rPr>
          <w:sz w:val="20"/>
        </w:rPr>
        <w:t>Abadía</w:t>
      </w:r>
      <w:proofErr w:type="spellEnd"/>
      <w:r w:rsidRPr="00CD149B">
        <w:rPr>
          <w:sz w:val="20"/>
        </w:rPr>
        <w:t xml:space="preserve"> </w:t>
      </w:r>
      <w:proofErr w:type="spellStart"/>
      <w:r w:rsidRPr="00CD149B">
        <w:rPr>
          <w:sz w:val="20"/>
        </w:rPr>
        <w:t>Jover</w:t>
      </w:r>
      <w:proofErr w:type="spellEnd"/>
      <w:r w:rsidRPr="00CD149B">
        <w:rPr>
          <w:sz w:val="20"/>
        </w:rPr>
        <w:t xml:space="preserve">, </w:t>
      </w:r>
      <w:proofErr w:type="spellStart"/>
      <w:r w:rsidRPr="00CD149B">
        <w:rPr>
          <w:sz w:val="20"/>
        </w:rPr>
        <w:t>Tobiasz</w:t>
      </w:r>
      <w:proofErr w:type="spellEnd"/>
      <w:r w:rsidRPr="00CD149B">
        <w:rPr>
          <w:sz w:val="20"/>
        </w:rPr>
        <w:t xml:space="preserve"> </w:t>
      </w:r>
      <w:proofErr w:type="spellStart"/>
      <w:r w:rsidRPr="00CD149B">
        <w:rPr>
          <w:sz w:val="20"/>
        </w:rPr>
        <w:t>Bocheński</w:t>
      </w:r>
      <w:proofErr w:type="spellEnd"/>
      <w:r w:rsidRPr="00CD149B">
        <w:rPr>
          <w:sz w:val="20"/>
        </w:rPr>
        <w:t xml:space="preserve">, </w:t>
      </w:r>
      <w:proofErr w:type="spellStart"/>
      <w:r w:rsidRPr="00CD149B">
        <w:rPr>
          <w:sz w:val="20"/>
        </w:rPr>
        <w:t>Pascal</w:t>
      </w:r>
      <w:proofErr w:type="spellEnd"/>
      <w:r w:rsidRPr="00CD149B">
        <w:rPr>
          <w:sz w:val="20"/>
        </w:rPr>
        <w:t xml:space="preserve"> </w:t>
      </w:r>
      <w:proofErr w:type="spellStart"/>
      <w:r w:rsidRPr="00CD149B">
        <w:rPr>
          <w:sz w:val="20"/>
        </w:rPr>
        <w:t>Canfin</w:t>
      </w:r>
      <w:proofErr w:type="spellEnd"/>
      <w:r w:rsidRPr="00CD149B">
        <w:rPr>
          <w:sz w:val="20"/>
        </w:rPr>
        <w:t xml:space="preserve">, </w:t>
      </w:r>
      <w:proofErr w:type="spellStart"/>
      <w:r w:rsidRPr="00CD149B">
        <w:rPr>
          <w:sz w:val="20"/>
        </w:rPr>
        <w:t>José</w:t>
      </w:r>
      <w:proofErr w:type="spellEnd"/>
      <w:r w:rsidRPr="00CD149B">
        <w:rPr>
          <w:sz w:val="20"/>
        </w:rPr>
        <w:t xml:space="preserve"> </w:t>
      </w:r>
      <w:proofErr w:type="spellStart"/>
      <w:r w:rsidRPr="00CD149B">
        <w:rPr>
          <w:sz w:val="20"/>
        </w:rPr>
        <w:t>Cepeda</w:t>
      </w:r>
      <w:proofErr w:type="spellEnd"/>
      <w:r w:rsidRPr="00CD149B">
        <w:rPr>
          <w:sz w:val="20"/>
        </w:rPr>
        <w:t xml:space="preserve">, </w:t>
      </w:r>
      <w:proofErr w:type="spellStart"/>
      <w:r w:rsidRPr="00CD149B">
        <w:rPr>
          <w:sz w:val="20"/>
        </w:rPr>
        <w:t>Henrik</w:t>
      </w:r>
      <w:proofErr w:type="spellEnd"/>
      <w:r w:rsidRPr="00CD149B">
        <w:rPr>
          <w:sz w:val="20"/>
        </w:rPr>
        <w:t xml:space="preserve"> </w:t>
      </w:r>
      <w:proofErr w:type="spellStart"/>
      <w:r w:rsidRPr="00CD149B">
        <w:rPr>
          <w:sz w:val="20"/>
        </w:rPr>
        <w:t>Dahl</w:t>
      </w:r>
      <w:proofErr w:type="spellEnd"/>
      <w:r w:rsidRPr="00CD149B">
        <w:rPr>
          <w:sz w:val="20"/>
        </w:rPr>
        <w:t xml:space="preserve">, </w:t>
      </w:r>
      <w:proofErr w:type="spellStart"/>
      <w:r w:rsidRPr="00CD149B">
        <w:rPr>
          <w:sz w:val="20"/>
        </w:rPr>
        <w:t>Ton</w:t>
      </w:r>
      <w:proofErr w:type="spellEnd"/>
      <w:r w:rsidRPr="00CD149B">
        <w:rPr>
          <w:sz w:val="20"/>
        </w:rPr>
        <w:t xml:space="preserve"> </w:t>
      </w:r>
      <w:proofErr w:type="spellStart"/>
      <w:r w:rsidRPr="00CD149B">
        <w:rPr>
          <w:sz w:val="20"/>
        </w:rPr>
        <w:t>Diepeveen</w:t>
      </w:r>
      <w:proofErr w:type="spellEnd"/>
      <w:r w:rsidRPr="00CD149B">
        <w:rPr>
          <w:sz w:val="20"/>
        </w:rPr>
        <w:t xml:space="preserve">, </w:t>
      </w:r>
      <w:proofErr w:type="spellStart"/>
      <w:r w:rsidRPr="00CD149B">
        <w:rPr>
          <w:sz w:val="20"/>
        </w:rPr>
        <w:t>Sebastian</w:t>
      </w:r>
      <w:proofErr w:type="spellEnd"/>
      <w:r w:rsidRPr="00CD149B">
        <w:rPr>
          <w:sz w:val="20"/>
        </w:rPr>
        <w:t xml:space="preserve"> </w:t>
      </w:r>
      <w:proofErr w:type="spellStart"/>
      <w:r w:rsidRPr="00CD149B">
        <w:rPr>
          <w:sz w:val="20"/>
        </w:rPr>
        <w:t>Everding</w:t>
      </w:r>
      <w:proofErr w:type="spellEnd"/>
      <w:r w:rsidRPr="00CD149B">
        <w:rPr>
          <w:sz w:val="20"/>
        </w:rPr>
        <w:t xml:space="preserve"> (už Mario Furore pagal Darbo tvarkos taisyklių 216 straipsnio 7 dalį), </w:t>
      </w:r>
      <w:proofErr w:type="spellStart"/>
      <w:r w:rsidRPr="00CD149B">
        <w:rPr>
          <w:sz w:val="20"/>
        </w:rPr>
        <w:t>Enikő</w:t>
      </w:r>
      <w:proofErr w:type="spellEnd"/>
      <w:r w:rsidRPr="00CD149B">
        <w:rPr>
          <w:sz w:val="20"/>
        </w:rPr>
        <w:t xml:space="preserve"> </w:t>
      </w:r>
      <w:proofErr w:type="spellStart"/>
      <w:r w:rsidRPr="00CD149B">
        <w:rPr>
          <w:sz w:val="20"/>
        </w:rPr>
        <w:t>Győri</w:t>
      </w:r>
      <w:proofErr w:type="spellEnd"/>
      <w:r w:rsidRPr="00CD149B">
        <w:rPr>
          <w:sz w:val="20"/>
        </w:rPr>
        <w:t xml:space="preserve"> (už </w:t>
      </w:r>
      <w:proofErr w:type="spellStart"/>
      <w:r w:rsidRPr="00CD149B">
        <w:rPr>
          <w:sz w:val="20"/>
        </w:rPr>
        <w:t>Juan</w:t>
      </w:r>
      <w:proofErr w:type="spellEnd"/>
      <w:r w:rsidRPr="00CD149B">
        <w:rPr>
          <w:sz w:val="20"/>
        </w:rPr>
        <w:t xml:space="preserve"> </w:t>
      </w:r>
      <w:proofErr w:type="spellStart"/>
      <w:r w:rsidRPr="00CD149B">
        <w:rPr>
          <w:sz w:val="20"/>
        </w:rPr>
        <w:t>Carlos</w:t>
      </w:r>
      <w:proofErr w:type="spellEnd"/>
      <w:r w:rsidRPr="00CD149B">
        <w:rPr>
          <w:sz w:val="20"/>
        </w:rPr>
        <w:t xml:space="preserve"> </w:t>
      </w:r>
      <w:proofErr w:type="spellStart"/>
      <w:r w:rsidRPr="00CD149B">
        <w:rPr>
          <w:sz w:val="20"/>
        </w:rPr>
        <w:t>Girauta</w:t>
      </w:r>
      <w:proofErr w:type="spellEnd"/>
      <w:r w:rsidRPr="00CD149B">
        <w:rPr>
          <w:sz w:val="20"/>
        </w:rPr>
        <w:t xml:space="preserve"> </w:t>
      </w:r>
      <w:proofErr w:type="spellStart"/>
      <w:r w:rsidRPr="00CD149B">
        <w:rPr>
          <w:sz w:val="20"/>
        </w:rPr>
        <w:t>Vidal</w:t>
      </w:r>
      <w:proofErr w:type="spellEnd"/>
      <w:r w:rsidRPr="00CD149B">
        <w:rPr>
          <w:sz w:val="20"/>
        </w:rPr>
        <w:t xml:space="preserve"> pagal Darbo tvarkos taisyklių 216 straipsnio 7 dalį), Mary </w:t>
      </w:r>
      <w:proofErr w:type="spellStart"/>
      <w:r w:rsidRPr="00CD149B">
        <w:rPr>
          <w:sz w:val="20"/>
        </w:rPr>
        <w:t>Khan</w:t>
      </w:r>
      <w:proofErr w:type="spellEnd"/>
      <w:r w:rsidRPr="00CD149B">
        <w:rPr>
          <w:sz w:val="20"/>
        </w:rPr>
        <w:t xml:space="preserve">, Ana </w:t>
      </w:r>
      <w:proofErr w:type="spellStart"/>
      <w:r w:rsidRPr="00CD149B">
        <w:rPr>
          <w:sz w:val="20"/>
        </w:rPr>
        <w:t>Catarina</w:t>
      </w:r>
      <w:proofErr w:type="spellEnd"/>
      <w:r w:rsidRPr="00CD149B">
        <w:rPr>
          <w:sz w:val="20"/>
        </w:rPr>
        <w:t xml:space="preserve"> </w:t>
      </w:r>
      <w:proofErr w:type="spellStart"/>
      <w:r w:rsidRPr="00CD149B">
        <w:rPr>
          <w:sz w:val="20"/>
        </w:rPr>
        <w:t>Mendes</w:t>
      </w:r>
      <w:proofErr w:type="spellEnd"/>
      <w:r w:rsidRPr="00CD149B">
        <w:rPr>
          <w:sz w:val="20"/>
        </w:rPr>
        <w:t xml:space="preserve"> (už </w:t>
      </w:r>
      <w:proofErr w:type="spellStart"/>
      <w:r w:rsidRPr="00CD149B">
        <w:rPr>
          <w:sz w:val="20"/>
        </w:rPr>
        <w:t>Victor</w:t>
      </w:r>
      <w:proofErr w:type="spellEnd"/>
      <w:r w:rsidRPr="00CD149B">
        <w:rPr>
          <w:sz w:val="20"/>
        </w:rPr>
        <w:t xml:space="preserve"> </w:t>
      </w:r>
      <w:proofErr w:type="spellStart"/>
      <w:r w:rsidRPr="00CD149B">
        <w:rPr>
          <w:sz w:val="20"/>
        </w:rPr>
        <w:t>Negrescu</w:t>
      </w:r>
      <w:proofErr w:type="spellEnd"/>
      <w:r w:rsidRPr="00CD149B">
        <w:rPr>
          <w:sz w:val="20"/>
        </w:rPr>
        <w:t xml:space="preserve"> pagal Darbo tvarkos taisyklių 216 straipsnio 7 dalį), </w:t>
      </w:r>
      <w:proofErr w:type="spellStart"/>
      <w:r w:rsidRPr="00CD149B">
        <w:rPr>
          <w:sz w:val="20"/>
        </w:rPr>
        <w:t>Javier</w:t>
      </w:r>
      <w:proofErr w:type="spellEnd"/>
      <w:r w:rsidRPr="00CD149B">
        <w:rPr>
          <w:sz w:val="20"/>
        </w:rPr>
        <w:t xml:space="preserve"> </w:t>
      </w:r>
      <w:proofErr w:type="spellStart"/>
      <w:r w:rsidRPr="00CD149B">
        <w:rPr>
          <w:sz w:val="20"/>
        </w:rPr>
        <w:t>Moreno</w:t>
      </w:r>
      <w:proofErr w:type="spellEnd"/>
      <w:r w:rsidRPr="00CD149B">
        <w:rPr>
          <w:sz w:val="20"/>
        </w:rPr>
        <w:t xml:space="preserve"> </w:t>
      </w:r>
      <w:proofErr w:type="spellStart"/>
      <w:r w:rsidRPr="00CD149B">
        <w:rPr>
          <w:sz w:val="20"/>
        </w:rPr>
        <w:t>Sánchez</w:t>
      </w:r>
      <w:proofErr w:type="spellEnd"/>
      <w:r w:rsidRPr="00CD149B">
        <w:rPr>
          <w:sz w:val="20"/>
        </w:rPr>
        <w:t xml:space="preserve"> (už </w:t>
      </w:r>
      <w:proofErr w:type="spellStart"/>
      <w:r w:rsidRPr="00CD149B">
        <w:rPr>
          <w:sz w:val="20"/>
        </w:rPr>
        <w:t>Krzysztof</w:t>
      </w:r>
      <w:proofErr w:type="spellEnd"/>
      <w:r w:rsidRPr="00CD149B">
        <w:rPr>
          <w:sz w:val="20"/>
        </w:rPr>
        <w:t xml:space="preserve"> </w:t>
      </w:r>
      <w:proofErr w:type="spellStart"/>
      <w:r w:rsidRPr="00CD149B">
        <w:rPr>
          <w:sz w:val="20"/>
        </w:rPr>
        <w:t>Śmiszek</w:t>
      </w:r>
      <w:proofErr w:type="spellEnd"/>
      <w:r w:rsidRPr="00CD149B">
        <w:rPr>
          <w:sz w:val="20"/>
        </w:rPr>
        <w:t xml:space="preserve"> pagal Darbo tvarkos taisyklių 216 straipsnio 7 dalį), </w:t>
      </w:r>
      <w:proofErr w:type="spellStart"/>
      <w:r w:rsidRPr="00CD149B">
        <w:rPr>
          <w:sz w:val="20"/>
        </w:rPr>
        <w:t>Angelika</w:t>
      </w:r>
      <w:proofErr w:type="spellEnd"/>
      <w:r w:rsidRPr="00CD149B">
        <w:rPr>
          <w:sz w:val="20"/>
        </w:rPr>
        <w:t xml:space="preserve"> </w:t>
      </w:r>
      <w:proofErr w:type="spellStart"/>
      <w:r w:rsidRPr="00CD149B">
        <w:rPr>
          <w:sz w:val="20"/>
        </w:rPr>
        <w:t>Niebler</w:t>
      </w:r>
      <w:proofErr w:type="spellEnd"/>
      <w:r w:rsidRPr="00CD149B">
        <w:rPr>
          <w:sz w:val="20"/>
        </w:rPr>
        <w:t xml:space="preserve">, </w:t>
      </w:r>
      <w:proofErr w:type="spellStart"/>
      <w:r w:rsidRPr="00CD149B">
        <w:rPr>
          <w:sz w:val="20"/>
        </w:rPr>
        <w:t>Pascale</w:t>
      </w:r>
      <w:proofErr w:type="spellEnd"/>
      <w:r w:rsidRPr="00CD149B">
        <w:rPr>
          <w:sz w:val="20"/>
        </w:rPr>
        <w:t xml:space="preserve"> </w:t>
      </w:r>
      <w:proofErr w:type="spellStart"/>
      <w:r w:rsidRPr="00CD149B">
        <w:rPr>
          <w:sz w:val="20"/>
        </w:rPr>
        <w:t>Piera</w:t>
      </w:r>
      <w:proofErr w:type="spellEnd"/>
      <w:r w:rsidRPr="00CD149B">
        <w:rPr>
          <w:sz w:val="20"/>
        </w:rPr>
        <w:t xml:space="preserve">, </w:t>
      </w:r>
      <w:proofErr w:type="spellStart"/>
      <w:r w:rsidRPr="00CD149B">
        <w:rPr>
          <w:sz w:val="20"/>
        </w:rPr>
        <w:t>Kira</w:t>
      </w:r>
      <w:proofErr w:type="spellEnd"/>
      <w:r w:rsidRPr="00CD149B">
        <w:rPr>
          <w:sz w:val="20"/>
        </w:rPr>
        <w:t xml:space="preserve"> </w:t>
      </w:r>
      <w:proofErr w:type="spellStart"/>
      <w:r w:rsidRPr="00CD149B">
        <w:rPr>
          <w:sz w:val="20"/>
        </w:rPr>
        <w:t>Marie</w:t>
      </w:r>
      <w:proofErr w:type="spellEnd"/>
      <w:r w:rsidRPr="00CD149B">
        <w:rPr>
          <w:sz w:val="20"/>
        </w:rPr>
        <w:t xml:space="preserve"> </w:t>
      </w:r>
      <w:proofErr w:type="spellStart"/>
      <w:r w:rsidRPr="00CD149B">
        <w:rPr>
          <w:sz w:val="20"/>
        </w:rPr>
        <w:t>Peter-Hansen</w:t>
      </w:r>
      <w:proofErr w:type="spellEnd"/>
      <w:r w:rsidRPr="00CD149B">
        <w:rPr>
          <w:sz w:val="20"/>
        </w:rPr>
        <w:t xml:space="preserve">, </w:t>
      </w:r>
      <w:proofErr w:type="spellStart"/>
      <w:r w:rsidRPr="00CD149B">
        <w:rPr>
          <w:sz w:val="20"/>
        </w:rPr>
        <w:t>René</w:t>
      </w:r>
      <w:proofErr w:type="spellEnd"/>
      <w:r w:rsidRPr="00CD149B">
        <w:rPr>
          <w:sz w:val="20"/>
        </w:rPr>
        <w:t xml:space="preserve"> </w:t>
      </w:r>
      <w:proofErr w:type="spellStart"/>
      <w:r w:rsidRPr="00CD149B">
        <w:rPr>
          <w:sz w:val="20"/>
        </w:rPr>
        <w:t>Repasi</w:t>
      </w:r>
      <w:proofErr w:type="spellEnd"/>
      <w:r w:rsidRPr="00CD149B">
        <w:rPr>
          <w:sz w:val="20"/>
        </w:rPr>
        <w:t xml:space="preserve">, Tomas </w:t>
      </w:r>
      <w:proofErr w:type="spellStart"/>
      <w:r w:rsidRPr="00CD149B">
        <w:rPr>
          <w:sz w:val="20"/>
        </w:rPr>
        <w:t>Tobé</w:t>
      </w:r>
      <w:proofErr w:type="spellEnd"/>
      <w:r w:rsidRPr="00CD149B">
        <w:rPr>
          <w:sz w:val="20"/>
        </w:rPr>
        <w:t xml:space="preserve">, </w:t>
      </w:r>
      <w:proofErr w:type="spellStart"/>
      <w:r w:rsidRPr="00CD149B">
        <w:rPr>
          <w:sz w:val="20"/>
        </w:rPr>
        <w:t>Axel</w:t>
      </w:r>
      <w:proofErr w:type="spellEnd"/>
      <w:r w:rsidRPr="00CD149B">
        <w:rPr>
          <w:sz w:val="20"/>
        </w:rPr>
        <w:t xml:space="preserve"> </w:t>
      </w:r>
      <w:proofErr w:type="spellStart"/>
      <w:r w:rsidRPr="00CD149B">
        <w:rPr>
          <w:sz w:val="20"/>
        </w:rPr>
        <w:t>Voss</w:t>
      </w:r>
      <w:proofErr w:type="spellEnd"/>
      <w:r w:rsidRPr="00CD149B">
        <w:rPr>
          <w:sz w:val="20"/>
        </w:rPr>
        <w:t xml:space="preserve">, </w:t>
      </w:r>
      <w:proofErr w:type="spellStart"/>
      <w:r w:rsidRPr="00CD149B">
        <w:rPr>
          <w:sz w:val="20"/>
        </w:rPr>
        <w:t>Adrián</w:t>
      </w:r>
      <w:proofErr w:type="spellEnd"/>
      <w:r w:rsidRPr="00CD149B">
        <w:rPr>
          <w:sz w:val="20"/>
        </w:rPr>
        <w:t xml:space="preserve"> </w:t>
      </w:r>
      <w:proofErr w:type="spellStart"/>
      <w:r w:rsidRPr="00CD149B">
        <w:rPr>
          <w:sz w:val="20"/>
        </w:rPr>
        <w:t>Vázquez</w:t>
      </w:r>
      <w:proofErr w:type="spellEnd"/>
      <w:r w:rsidRPr="00CD149B">
        <w:rPr>
          <w:sz w:val="20"/>
        </w:rPr>
        <w:t xml:space="preserve"> </w:t>
      </w:r>
      <w:proofErr w:type="spellStart"/>
      <w:r w:rsidRPr="00CD149B">
        <w:rPr>
          <w:sz w:val="20"/>
        </w:rPr>
        <w:t>Lázara</w:t>
      </w:r>
      <w:proofErr w:type="spellEnd"/>
      <w:r w:rsidRPr="00CD149B">
        <w:rPr>
          <w:sz w:val="20"/>
        </w:rPr>
        <w:t xml:space="preserve">, </w:t>
      </w:r>
      <w:proofErr w:type="spellStart"/>
      <w:r w:rsidRPr="00CD149B">
        <w:rPr>
          <w:sz w:val="20"/>
        </w:rPr>
        <w:t>Jörgen</w:t>
      </w:r>
      <w:proofErr w:type="spellEnd"/>
      <w:r w:rsidRPr="00CD149B">
        <w:rPr>
          <w:sz w:val="20"/>
        </w:rPr>
        <w:t xml:space="preserve"> </w:t>
      </w:r>
      <w:proofErr w:type="spellStart"/>
      <w:r w:rsidRPr="00CD149B">
        <w:rPr>
          <w:sz w:val="20"/>
        </w:rPr>
        <w:t>Warborn</w:t>
      </w:r>
      <w:proofErr w:type="spellEnd"/>
      <w:r w:rsidRPr="00CD149B">
        <w:rPr>
          <w:sz w:val="20"/>
        </w:rPr>
        <w:t xml:space="preserve">, </w:t>
      </w:r>
      <w:proofErr w:type="spellStart"/>
      <w:r w:rsidRPr="00CD149B">
        <w:rPr>
          <w:sz w:val="20"/>
        </w:rPr>
        <w:t>Maciej</w:t>
      </w:r>
      <w:proofErr w:type="spellEnd"/>
      <w:r w:rsidRPr="00CD149B">
        <w:rPr>
          <w:sz w:val="20"/>
        </w:rPr>
        <w:t xml:space="preserve"> </w:t>
      </w:r>
      <w:proofErr w:type="spellStart"/>
      <w:r w:rsidRPr="00CD149B">
        <w:rPr>
          <w:sz w:val="20"/>
        </w:rPr>
        <w:t>Wąsik</w:t>
      </w:r>
      <w:proofErr w:type="spellEnd"/>
      <w:r w:rsidRPr="00CD149B">
        <w:rPr>
          <w:sz w:val="20"/>
        </w:rPr>
        <w:t xml:space="preserve"> (už </w:t>
      </w:r>
      <w:proofErr w:type="spellStart"/>
      <w:r w:rsidRPr="00CD149B">
        <w:rPr>
          <w:sz w:val="20"/>
        </w:rPr>
        <w:t>Dominik</w:t>
      </w:r>
      <w:proofErr w:type="spellEnd"/>
      <w:r w:rsidRPr="00CD149B">
        <w:rPr>
          <w:sz w:val="20"/>
        </w:rPr>
        <w:t xml:space="preserve"> </w:t>
      </w:r>
      <w:proofErr w:type="spellStart"/>
      <w:r w:rsidRPr="00CD149B">
        <w:rPr>
          <w:sz w:val="20"/>
        </w:rPr>
        <w:t>Tarczyński</w:t>
      </w:r>
      <w:proofErr w:type="spellEnd"/>
      <w:r w:rsidRPr="00CD149B">
        <w:rPr>
          <w:sz w:val="20"/>
        </w:rPr>
        <w:t xml:space="preserve"> pagal Darbo tvarkos taisyklių 216 straipsnio 7 dalį), </w:t>
      </w:r>
      <w:proofErr w:type="spellStart"/>
      <w:r w:rsidRPr="00CD149B">
        <w:rPr>
          <w:sz w:val="20"/>
        </w:rPr>
        <w:t>Michał</w:t>
      </w:r>
      <w:proofErr w:type="spellEnd"/>
      <w:r w:rsidRPr="00CD149B">
        <w:rPr>
          <w:sz w:val="20"/>
        </w:rPr>
        <w:t xml:space="preserve"> </w:t>
      </w:r>
      <w:proofErr w:type="spellStart"/>
      <w:r w:rsidRPr="00CD149B">
        <w:rPr>
          <w:sz w:val="20"/>
        </w:rPr>
        <w:t>Wawrykiewicz</w:t>
      </w:r>
      <w:proofErr w:type="spellEnd"/>
      <w:r w:rsidRPr="00CD149B">
        <w:rPr>
          <w:sz w:val="20"/>
        </w:rPr>
        <w:t>, Dainius Žalimas.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B339D" w14:textId="77777777" w:rsidR="0012029B" w:rsidRDefault="001202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E8F3A" w14:textId="77777777" w:rsidR="0012029B" w:rsidRDefault="001202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39C85" w14:textId="77777777" w:rsidR="0012029B" w:rsidRDefault="001202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06495604"/>
    <w:multiLevelType w:val="multilevel"/>
    <w:tmpl w:val="B8A4F914"/>
    <w:lvl w:ilvl="0">
      <w:start w:val="1"/>
      <w:numFmt w:val="decimal"/>
      <w:pStyle w:val="Point123"/>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15:restartNumberingAfterBreak="0">
    <w:nsid w:val="11D26130"/>
    <w:multiLevelType w:val="hybridMultilevel"/>
    <w:tmpl w:val="B964B4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4"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209195653">
    <w:abstractNumId w:val="9"/>
  </w:num>
  <w:num w:numId="2" w16cid:durableId="1531455054">
    <w:abstractNumId w:val="9"/>
  </w:num>
  <w:num w:numId="3" w16cid:durableId="2074618855">
    <w:abstractNumId w:val="7"/>
  </w:num>
  <w:num w:numId="4" w16cid:durableId="213123457">
    <w:abstractNumId w:val="7"/>
  </w:num>
  <w:num w:numId="5" w16cid:durableId="1778015556">
    <w:abstractNumId w:val="6"/>
  </w:num>
  <w:num w:numId="6" w16cid:durableId="1234585361">
    <w:abstractNumId w:val="6"/>
  </w:num>
  <w:num w:numId="7" w16cid:durableId="2050449271">
    <w:abstractNumId w:val="5"/>
  </w:num>
  <w:num w:numId="8" w16cid:durableId="1027675228">
    <w:abstractNumId w:val="5"/>
  </w:num>
  <w:num w:numId="9" w16cid:durableId="1449422830">
    <w:abstractNumId w:val="4"/>
  </w:num>
  <w:num w:numId="10" w16cid:durableId="1064639069">
    <w:abstractNumId w:val="4"/>
  </w:num>
  <w:num w:numId="11" w16cid:durableId="1914123304">
    <w:abstractNumId w:val="8"/>
  </w:num>
  <w:num w:numId="12" w16cid:durableId="436297881">
    <w:abstractNumId w:val="8"/>
  </w:num>
  <w:num w:numId="13" w16cid:durableId="1490907592">
    <w:abstractNumId w:val="3"/>
  </w:num>
  <w:num w:numId="14" w16cid:durableId="1543594377">
    <w:abstractNumId w:val="3"/>
  </w:num>
  <w:num w:numId="15" w16cid:durableId="1903448060">
    <w:abstractNumId w:val="2"/>
  </w:num>
  <w:num w:numId="16" w16cid:durableId="1545560403">
    <w:abstractNumId w:val="2"/>
  </w:num>
  <w:num w:numId="17" w16cid:durableId="400296222">
    <w:abstractNumId w:val="1"/>
  </w:num>
  <w:num w:numId="18" w16cid:durableId="1699961865">
    <w:abstractNumId w:val="1"/>
  </w:num>
  <w:num w:numId="19" w16cid:durableId="906837421">
    <w:abstractNumId w:val="0"/>
  </w:num>
  <w:num w:numId="20" w16cid:durableId="587737330">
    <w:abstractNumId w:val="0"/>
  </w:num>
  <w:num w:numId="21" w16cid:durableId="1894537579">
    <w:abstractNumId w:val="9"/>
  </w:num>
  <w:num w:numId="22" w16cid:durableId="1917858188">
    <w:abstractNumId w:val="7"/>
  </w:num>
  <w:num w:numId="23" w16cid:durableId="1901357244">
    <w:abstractNumId w:val="6"/>
  </w:num>
  <w:num w:numId="24" w16cid:durableId="174656840">
    <w:abstractNumId w:val="5"/>
  </w:num>
  <w:num w:numId="25" w16cid:durableId="740953942">
    <w:abstractNumId w:val="4"/>
  </w:num>
  <w:num w:numId="26" w16cid:durableId="1831869064">
    <w:abstractNumId w:val="8"/>
  </w:num>
  <w:num w:numId="27" w16cid:durableId="1452434170">
    <w:abstractNumId w:val="3"/>
  </w:num>
  <w:num w:numId="28" w16cid:durableId="1955482155">
    <w:abstractNumId w:val="2"/>
  </w:num>
  <w:num w:numId="29" w16cid:durableId="865483469">
    <w:abstractNumId w:val="1"/>
  </w:num>
  <w:num w:numId="30" w16cid:durableId="1963267914">
    <w:abstractNumId w:val="0"/>
  </w:num>
  <w:num w:numId="31" w16cid:durableId="535579772">
    <w:abstractNumId w:val="9"/>
  </w:num>
  <w:num w:numId="32" w16cid:durableId="1671175710">
    <w:abstractNumId w:val="7"/>
  </w:num>
  <w:num w:numId="33" w16cid:durableId="1012952692">
    <w:abstractNumId w:val="6"/>
  </w:num>
  <w:num w:numId="34" w16cid:durableId="1077436803">
    <w:abstractNumId w:val="5"/>
  </w:num>
  <w:num w:numId="35" w16cid:durableId="141850268">
    <w:abstractNumId w:val="4"/>
  </w:num>
  <w:num w:numId="36" w16cid:durableId="1710178732">
    <w:abstractNumId w:val="8"/>
  </w:num>
  <w:num w:numId="37" w16cid:durableId="2006665331">
    <w:abstractNumId w:val="3"/>
  </w:num>
  <w:num w:numId="38" w16cid:durableId="1421607966">
    <w:abstractNumId w:val="2"/>
  </w:num>
  <w:num w:numId="39" w16cid:durableId="655644705">
    <w:abstractNumId w:val="1"/>
  </w:num>
  <w:num w:numId="40" w16cid:durableId="1324045065">
    <w:abstractNumId w:val="0"/>
  </w:num>
  <w:num w:numId="41" w16cid:durableId="1539472412">
    <w:abstractNumId w:val="10"/>
  </w:num>
  <w:num w:numId="42" w16cid:durableId="1147746512">
    <w:abstractNumId w:val="14"/>
  </w:num>
  <w:num w:numId="43" w16cid:durableId="1596546971">
    <w:abstractNumId w:val="13"/>
  </w:num>
  <w:num w:numId="44" w16cid:durableId="18875963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07379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DRESSMNU" w:val=" 1"/>
    <w:docVar w:name="LastEditedSection" w:val=" 1"/>
    <w:docVar w:name="strSubDir" w:val="1330"/>
    <w:docVar w:name="TXTLANGUE" w:val="EN"/>
    <w:docVar w:name="TXTLANGUEMIN" w:val="en"/>
    <w:docVar w:name="TXTNRC" w:val="0754"/>
    <w:docVar w:name="TXTNRCOM" w:val="2023"/>
    <w:docVar w:name="TXTNRPE" w:val="778.317"/>
    <w:docVar w:name="TXTNRPROC" w:val="2023/0438"/>
    <w:docVar w:name="TXTPEorAP" w:val="PE"/>
    <w:docVar w:name="TXTROUTE" w:val="AL\1330969EN.docx"/>
    <w:docVar w:name="TXTVERSION" w:val="02-00"/>
  </w:docVars>
  <w:rsids>
    <w:rsidRoot w:val="005C4B56"/>
    <w:rsid w:val="00000C7D"/>
    <w:rsid w:val="0000696F"/>
    <w:rsid w:val="00012F0D"/>
    <w:rsid w:val="00035402"/>
    <w:rsid w:val="000C3F41"/>
    <w:rsid w:val="000D2B86"/>
    <w:rsid w:val="0012029B"/>
    <w:rsid w:val="0012665B"/>
    <w:rsid w:val="001422AE"/>
    <w:rsid w:val="00157D4E"/>
    <w:rsid w:val="001701D6"/>
    <w:rsid w:val="001D1646"/>
    <w:rsid w:val="00250DDD"/>
    <w:rsid w:val="002B6CA1"/>
    <w:rsid w:val="00324EAF"/>
    <w:rsid w:val="00332170"/>
    <w:rsid w:val="003666DE"/>
    <w:rsid w:val="003763A3"/>
    <w:rsid w:val="003C41CE"/>
    <w:rsid w:val="003C6D88"/>
    <w:rsid w:val="00463119"/>
    <w:rsid w:val="00482DA5"/>
    <w:rsid w:val="00493031"/>
    <w:rsid w:val="004D0D33"/>
    <w:rsid w:val="004D0D4E"/>
    <w:rsid w:val="004E5B27"/>
    <w:rsid w:val="004F676F"/>
    <w:rsid w:val="00501E47"/>
    <w:rsid w:val="00505A2E"/>
    <w:rsid w:val="00571C42"/>
    <w:rsid w:val="00595C9D"/>
    <w:rsid w:val="005C4B56"/>
    <w:rsid w:val="005F56BD"/>
    <w:rsid w:val="006A4CE5"/>
    <w:rsid w:val="006F51B0"/>
    <w:rsid w:val="007179A7"/>
    <w:rsid w:val="0074577C"/>
    <w:rsid w:val="0077327E"/>
    <w:rsid w:val="007829F6"/>
    <w:rsid w:val="007E6351"/>
    <w:rsid w:val="007F3C4A"/>
    <w:rsid w:val="007F7DB6"/>
    <w:rsid w:val="00802D65"/>
    <w:rsid w:val="008249C6"/>
    <w:rsid w:val="0084209A"/>
    <w:rsid w:val="00853AFA"/>
    <w:rsid w:val="0089677B"/>
    <w:rsid w:val="008A7815"/>
    <w:rsid w:val="008C0413"/>
    <w:rsid w:val="008E2161"/>
    <w:rsid w:val="009957FA"/>
    <w:rsid w:val="009D564F"/>
    <w:rsid w:val="009F796C"/>
    <w:rsid w:val="00A02D71"/>
    <w:rsid w:val="00A04228"/>
    <w:rsid w:val="00A37F67"/>
    <w:rsid w:val="00A441B1"/>
    <w:rsid w:val="00A93DB1"/>
    <w:rsid w:val="00AC0580"/>
    <w:rsid w:val="00AE6929"/>
    <w:rsid w:val="00AF1415"/>
    <w:rsid w:val="00C127ED"/>
    <w:rsid w:val="00C82F7E"/>
    <w:rsid w:val="00CD149B"/>
    <w:rsid w:val="00CE1655"/>
    <w:rsid w:val="00D478EA"/>
    <w:rsid w:val="00D77B8C"/>
    <w:rsid w:val="00D92A83"/>
    <w:rsid w:val="00E71F4C"/>
    <w:rsid w:val="00E743B3"/>
    <w:rsid w:val="00F12926"/>
    <w:rsid w:val="00F30938"/>
    <w:rsid w:val="00F501D2"/>
    <w:rsid w:val="00F70D50"/>
    <w:rsid w:val="00FC1E12"/>
    <w:rsid w:val="00FD6D4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A4C8A1"/>
  <w15:chartTrackingRefBased/>
  <w15:docId w15:val="{60A0B861-4EFF-4947-B01B-BBA31F701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665B"/>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A04228"/>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A04228"/>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ubject">
    <w:name w:val="LetterSubject"/>
    <w:basedOn w:val="Normal"/>
    <w:rsid w:val="00463119"/>
    <w:pPr>
      <w:spacing w:before="480"/>
      <w:ind w:left="1134" w:hanging="1134"/>
    </w:pPr>
  </w:style>
  <w:style w:type="paragraph" w:customStyle="1" w:styleId="LetterSignature66b">
    <w:name w:val="LetterSignature66b"/>
    <w:basedOn w:val="Normal"/>
    <w:next w:val="Normal"/>
    <w:rsid w:val="00595C9D"/>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A04228"/>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0696F"/>
    <w:pPr>
      <w:pBdr>
        <w:bottom w:val="single" w:sz="4" w:space="1" w:color="auto"/>
      </w:pBdr>
      <w:spacing w:after="240"/>
      <w:jc w:val="center"/>
    </w:pPr>
    <w:rPr>
      <w:rFonts w:ascii="Arial" w:hAnsi="Arial" w:cs="Arial"/>
      <w:sz w:val="16"/>
      <w:szCs w:val="16"/>
    </w:rPr>
  </w:style>
  <w:style w:type="paragraph" w:customStyle="1" w:styleId="LetterSalutation">
    <w:name w:val="LetterSalutation"/>
    <w:basedOn w:val="Normal"/>
    <w:rsid w:val="008A7815"/>
    <w:pPr>
      <w:spacing w:before="600" w:after="360"/>
    </w:pPr>
  </w:style>
  <w:style w:type="paragraph" w:customStyle="1" w:styleId="EPFooter">
    <w:name w:val="EPFooter"/>
    <w:basedOn w:val="Normal"/>
    <w:rsid w:val="000C3F41"/>
    <w:pPr>
      <w:tabs>
        <w:tab w:val="center" w:pos="4535"/>
        <w:tab w:val="right" w:pos="9071"/>
      </w:tabs>
      <w:spacing w:before="240" w:after="240"/>
    </w:pPr>
    <w:rPr>
      <w:color w:val="010000"/>
      <w:sz w:val="22"/>
    </w:rPr>
  </w:style>
  <w:style w:type="paragraph" w:styleId="Header">
    <w:name w:val="header"/>
    <w:basedOn w:val="Normal"/>
    <w:link w:val="HeaderChar"/>
    <w:semiHidden/>
    <w:rsid w:val="000C3F41"/>
    <w:pPr>
      <w:tabs>
        <w:tab w:val="center" w:pos="4513"/>
        <w:tab w:val="right" w:pos="9026"/>
      </w:tabs>
    </w:pPr>
  </w:style>
  <w:style w:type="character" w:customStyle="1" w:styleId="HeaderChar">
    <w:name w:val="Header Char"/>
    <w:basedOn w:val="DefaultParagraphFont"/>
    <w:link w:val="Header"/>
    <w:semiHidden/>
    <w:rsid w:val="00332170"/>
    <w:rPr>
      <w:sz w:val="24"/>
    </w:rPr>
  </w:style>
  <w:style w:type="paragraph" w:styleId="TOCHeading">
    <w:name w:val="TOC Heading"/>
    <w:basedOn w:val="Normal"/>
    <w:next w:val="Normal"/>
    <w:uiPriority w:val="39"/>
    <w:semiHidden/>
    <w:unhideWhenUsed/>
    <w:qFormat/>
    <w:rsid w:val="00802D65"/>
    <w:pPr>
      <w:keepLines/>
      <w:spacing w:after="240"/>
    </w:pPr>
    <w:rPr>
      <w:rFonts w:asciiTheme="majorHAnsi" w:eastAsiaTheme="majorEastAsia" w:hAnsiTheme="majorHAnsi" w:cstheme="majorBidi"/>
      <w:b/>
      <w:color w:val="2E74B5" w:themeColor="accent1" w:themeShade="BF"/>
      <w:sz w:val="32"/>
      <w:szCs w:val="32"/>
    </w:rPr>
  </w:style>
  <w:style w:type="paragraph" w:customStyle="1" w:styleId="Pointabc">
    <w:name w:val="Point abc"/>
    <w:basedOn w:val="Normal"/>
    <w:rsid w:val="00FC1E12"/>
    <w:pPr>
      <w:widowControl/>
      <w:numPr>
        <w:ilvl w:val="1"/>
        <w:numId w:val="44"/>
      </w:numPr>
      <w:spacing w:before="120" w:after="120" w:line="360" w:lineRule="auto"/>
    </w:pPr>
    <w:rPr>
      <w:rFonts w:eastAsiaTheme="minorHAnsi"/>
      <w:szCs w:val="22"/>
      <w:lang w:eastAsia="en-US"/>
    </w:rPr>
  </w:style>
  <w:style w:type="paragraph" w:customStyle="1" w:styleId="Pointabc1">
    <w:name w:val="Point abc (1)"/>
    <w:basedOn w:val="Normal"/>
    <w:rsid w:val="00FC1E12"/>
    <w:pPr>
      <w:widowControl/>
      <w:numPr>
        <w:ilvl w:val="3"/>
        <w:numId w:val="44"/>
      </w:numPr>
      <w:spacing w:before="120" w:after="120" w:line="360" w:lineRule="auto"/>
    </w:pPr>
    <w:rPr>
      <w:rFonts w:eastAsiaTheme="minorHAnsi"/>
      <w:szCs w:val="22"/>
      <w:lang w:eastAsia="en-US"/>
    </w:rPr>
  </w:style>
  <w:style w:type="paragraph" w:customStyle="1" w:styleId="Pointabc2">
    <w:name w:val="Point abc (2)"/>
    <w:basedOn w:val="Normal"/>
    <w:rsid w:val="00FC1E12"/>
    <w:pPr>
      <w:widowControl/>
      <w:numPr>
        <w:ilvl w:val="5"/>
        <w:numId w:val="44"/>
      </w:numPr>
      <w:spacing w:before="120" w:after="120" w:line="360" w:lineRule="auto"/>
    </w:pPr>
    <w:rPr>
      <w:rFonts w:eastAsiaTheme="minorHAnsi"/>
      <w:szCs w:val="22"/>
      <w:lang w:eastAsia="en-US"/>
    </w:rPr>
  </w:style>
  <w:style w:type="paragraph" w:customStyle="1" w:styleId="Pointabc3">
    <w:name w:val="Point abc (3)"/>
    <w:basedOn w:val="Normal"/>
    <w:rsid w:val="00FC1E12"/>
    <w:pPr>
      <w:widowControl/>
      <w:numPr>
        <w:ilvl w:val="7"/>
        <w:numId w:val="44"/>
      </w:numPr>
      <w:spacing w:before="120" w:after="120" w:line="360" w:lineRule="auto"/>
    </w:pPr>
    <w:rPr>
      <w:rFonts w:eastAsiaTheme="minorHAnsi"/>
      <w:szCs w:val="22"/>
      <w:lang w:eastAsia="en-US"/>
    </w:rPr>
  </w:style>
  <w:style w:type="paragraph" w:customStyle="1" w:styleId="Pointabc4">
    <w:name w:val="Point abc (4)"/>
    <w:basedOn w:val="Normal"/>
    <w:rsid w:val="00FC1E12"/>
    <w:pPr>
      <w:widowControl/>
      <w:numPr>
        <w:ilvl w:val="8"/>
        <w:numId w:val="44"/>
      </w:numPr>
      <w:spacing w:before="120" w:after="120" w:line="360" w:lineRule="auto"/>
    </w:pPr>
    <w:rPr>
      <w:rFonts w:eastAsiaTheme="minorHAnsi"/>
      <w:szCs w:val="22"/>
      <w:lang w:eastAsia="en-US"/>
    </w:rPr>
  </w:style>
  <w:style w:type="paragraph" w:customStyle="1" w:styleId="Point123">
    <w:name w:val="Point 123"/>
    <w:basedOn w:val="Normal"/>
    <w:rsid w:val="00FC1E12"/>
    <w:pPr>
      <w:widowControl/>
      <w:numPr>
        <w:numId w:val="44"/>
      </w:numPr>
      <w:spacing w:before="120" w:after="120" w:line="360" w:lineRule="auto"/>
    </w:pPr>
    <w:rPr>
      <w:rFonts w:eastAsiaTheme="minorHAnsi"/>
      <w:szCs w:val="22"/>
      <w:lang w:eastAsia="en-US"/>
    </w:rPr>
  </w:style>
  <w:style w:type="paragraph" w:customStyle="1" w:styleId="Point1231">
    <w:name w:val="Point 123 (1)"/>
    <w:basedOn w:val="Normal"/>
    <w:rsid w:val="00FC1E12"/>
    <w:pPr>
      <w:widowControl/>
      <w:numPr>
        <w:ilvl w:val="2"/>
        <w:numId w:val="44"/>
      </w:numPr>
      <w:spacing w:before="120" w:after="120" w:line="360" w:lineRule="auto"/>
    </w:pPr>
    <w:rPr>
      <w:rFonts w:eastAsiaTheme="minorHAnsi"/>
      <w:szCs w:val="22"/>
      <w:lang w:eastAsia="en-US"/>
    </w:rPr>
  </w:style>
  <w:style w:type="paragraph" w:customStyle="1" w:styleId="Point1232">
    <w:name w:val="Point 123 (2)"/>
    <w:basedOn w:val="Normal"/>
    <w:rsid w:val="00FC1E12"/>
    <w:pPr>
      <w:widowControl/>
      <w:numPr>
        <w:ilvl w:val="4"/>
        <w:numId w:val="44"/>
      </w:numPr>
      <w:spacing w:before="120" w:after="120" w:line="360" w:lineRule="auto"/>
    </w:pPr>
    <w:rPr>
      <w:rFonts w:eastAsiaTheme="minorHAnsi"/>
      <w:szCs w:val="22"/>
      <w:lang w:eastAsia="en-US"/>
    </w:rPr>
  </w:style>
  <w:style w:type="paragraph" w:customStyle="1" w:styleId="Point1233">
    <w:name w:val="Point 123 (3)"/>
    <w:basedOn w:val="Normal"/>
    <w:rsid w:val="00FC1E12"/>
    <w:pPr>
      <w:widowControl/>
      <w:numPr>
        <w:ilvl w:val="6"/>
        <w:numId w:val="44"/>
      </w:numPr>
      <w:spacing w:before="120" w:after="120" w:line="360" w:lineRule="auto"/>
    </w:pPr>
    <w:rPr>
      <w:rFonts w:eastAsiaTheme="minorHAnsi"/>
      <w:szCs w:val="22"/>
      <w:lang w:eastAsia="en-US"/>
    </w:rPr>
  </w:style>
  <w:style w:type="character" w:customStyle="1" w:styleId="Nessuno">
    <w:name w:val="Nessuno"/>
    <w:rsid w:val="00FC1E12"/>
  </w:style>
  <w:style w:type="character" w:customStyle="1" w:styleId="outputecliaff">
    <w:name w:val="outputecliaff"/>
    <w:basedOn w:val="DefaultParagraphFont"/>
    <w:rsid w:val="00FC1E12"/>
  </w:style>
  <w:style w:type="character" w:customStyle="1" w:styleId="affairetitle">
    <w:name w:val="affaire_title"/>
    <w:basedOn w:val="DefaultParagraphFont"/>
    <w:rsid w:val="00FC1E12"/>
  </w:style>
  <w:style w:type="paragraph" w:styleId="Footer">
    <w:name w:val="footer"/>
    <w:basedOn w:val="Normal"/>
    <w:link w:val="FooterChar"/>
    <w:semiHidden/>
    <w:rsid w:val="00A93DB1"/>
    <w:pPr>
      <w:tabs>
        <w:tab w:val="center" w:pos="4513"/>
        <w:tab w:val="right" w:pos="9026"/>
      </w:tabs>
    </w:pPr>
  </w:style>
  <w:style w:type="character" w:customStyle="1" w:styleId="FooterChar">
    <w:name w:val="Footer Char"/>
    <w:basedOn w:val="DefaultParagraphFont"/>
    <w:link w:val="Footer"/>
    <w:semiHidden/>
    <w:rsid w:val="00A93DB1"/>
    <w:rPr>
      <w:sz w:val="24"/>
    </w:rPr>
  </w:style>
  <w:style w:type="paragraph" w:styleId="BalloonText">
    <w:name w:val="Balloon Text"/>
    <w:basedOn w:val="Normal"/>
    <w:link w:val="BalloonTextChar"/>
    <w:semiHidden/>
    <w:unhideWhenUsed/>
    <w:rsid w:val="00571C42"/>
    <w:rPr>
      <w:rFonts w:ascii="Segoe UI" w:hAnsi="Segoe UI" w:cs="Segoe UI"/>
      <w:sz w:val="18"/>
      <w:szCs w:val="18"/>
    </w:rPr>
  </w:style>
  <w:style w:type="character" w:customStyle="1" w:styleId="BalloonTextChar">
    <w:name w:val="Balloon Text Char"/>
    <w:basedOn w:val="DefaultParagraphFont"/>
    <w:link w:val="BalloonText"/>
    <w:semiHidden/>
    <w:rsid w:val="00571C42"/>
    <w:rPr>
      <w:rFonts w:ascii="Segoe UI" w:hAnsi="Segoe UI" w:cs="Segoe UI"/>
      <w:sz w:val="18"/>
      <w:szCs w:val="18"/>
    </w:rPr>
  </w:style>
  <w:style w:type="paragraph" w:styleId="ListParagraph">
    <w:name w:val="List Paragraph"/>
    <w:basedOn w:val="Normal"/>
    <w:uiPriority w:val="34"/>
    <w:qFormat/>
    <w:rsid w:val="00571C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4739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1468</Words>
  <Characters>10245</Characters>
  <Application>Microsoft Office Word</Application>
  <DocSecurity>0</DocSecurity>
  <Lines>213</Lines>
  <Paragraphs>64</Paragraphs>
  <ScaleCrop>false</ScaleCrop>
  <HeadingPairs>
    <vt:vector size="2" baseType="variant">
      <vt:variant>
        <vt:lpstr>Title</vt:lpstr>
      </vt:variant>
      <vt:variant>
        <vt:i4>1</vt:i4>
      </vt:variant>
    </vt:vector>
  </HeadingPairs>
  <TitlesOfParts>
    <vt:vector size="1" baseType="lpstr">
      <vt:lpstr>AL_JURI</vt:lpstr>
    </vt:vector>
  </TitlesOfParts>
  <Company/>
  <LinksUpToDate>false</LinksUpToDate>
  <CharactersWithSpaces>11661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AL_JURI</dc:title>
  <dc:subject/>
  <dc:creator>ZAHARIE Ana Maria</dc:creator>
  <cp:keywords/>
  <dc:description/>
  <cp:lastModifiedBy>VAITIEKUTE Simona</cp:lastModifiedBy>
  <cp:revision>2</cp:revision>
  <cp:lastPrinted>2004-06-24T10:04:00Z</cp:lastPrinted>
  <dcterms:created xsi:type="dcterms:W3CDTF">2025-10-31T08:22:00Z</dcterms:created>
  <dcterms:modified xsi:type="dcterms:W3CDTF">2025-10-31T08:22:00Z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10.1.2 Build [20250817]</vt:lpwstr>
  </property>
  <property fmtid="{D5CDD505-2E9C-101B-9397-08002B2CF9AE}" pid="4" name="LastEdited with">
    <vt:lpwstr>10.2.0 Build [20251001]</vt:lpwstr>
  </property>
  <property fmtid="{D5CDD505-2E9C-101B-9397-08002B2CF9AE}" pid="5" name="&lt;FdR&gt;">
    <vt:lpwstr>1330969</vt:lpwstr>
  </property>
  <property fmtid="{D5CDD505-2E9C-101B-9397-08002B2CF9AE}" pid="6" name="&lt;Type&gt;">
    <vt:lpwstr>AL</vt:lpwstr>
  </property>
  <property fmtid="{D5CDD505-2E9C-101B-9397-08002B2CF9AE}" pid="7" name="&lt;ModelCod&gt;">
    <vt:lpwstr>\\eiciBRUpr1\pdocep$\DocEP\DOCS\General\AL\AL_JURI.dotx(20/01/2023 22:25:05)</vt:lpwstr>
  </property>
  <property fmtid="{D5CDD505-2E9C-101B-9397-08002B2CF9AE}" pid="8" name="&lt;ModelTra&gt;">
    <vt:lpwstr>\\eiciBRUpr1\pdocep$\DocEP\TRANSFIL\EN\AL_JURI.EN(11/09/2024 09:05:01)</vt:lpwstr>
  </property>
  <property fmtid="{D5CDD505-2E9C-101B-9397-08002B2CF9AE}" pid="9" name="&lt;Model&gt;">
    <vt:lpwstr>AL_JURI</vt:lpwstr>
  </property>
  <property fmtid="{D5CDD505-2E9C-101B-9397-08002B2CF9AE}" pid="10" name="FooterPath">
    <vt:lpwstr>AL\1330969LT.docx</vt:lpwstr>
  </property>
  <property fmtid="{D5CDD505-2E9C-101B-9397-08002B2CF9AE}" pid="11" name="PE number">
    <vt:lpwstr>778.317</vt:lpwstr>
  </property>
  <property fmtid="{D5CDD505-2E9C-101B-9397-08002B2CF9AE}" pid="12" name="SendToEpades">
    <vt:lpwstr>OK - 2025/10/29 16:13</vt:lpwstr>
  </property>
  <property fmtid="{D5CDD505-2E9C-101B-9397-08002B2CF9AE}" pid="13" name="SDLStudio">
    <vt:lpwstr/>
  </property>
  <property fmtid="{D5CDD505-2E9C-101B-9397-08002B2CF9AE}" pid="14" name="Bookout">
    <vt:lpwstr>OK - 2025/10/31 09:22</vt:lpwstr>
  </property>
</Properties>
</file>