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7659C3" w14:paraId="0678EBCD" w14:textId="77777777" w:rsidTr="00C85D0F">
        <w:trPr>
          <w:trHeight w:hRule="exact" w:val="1418"/>
        </w:trPr>
        <w:tc>
          <w:tcPr>
            <w:tcW w:w="6804" w:type="dxa"/>
            <w:shd w:val="clear" w:color="auto" w:fill="auto"/>
            <w:vAlign w:val="center"/>
          </w:tcPr>
          <w:p w14:paraId="7D31FD1B" w14:textId="77777777" w:rsidR="003666DE" w:rsidRPr="007659C3" w:rsidRDefault="005C4B56" w:rsidP="00C85D0F">
            <w:pPr>
              <w:pStyle w:val="EPName"/>
            </w:pPr>
            <w:r>
              <w:t>Eiropas Parlaments</w:t>
            </w:r>
          </w:p>
          <w:p w14:paraId="01C7FF81" w14:textId="77777777" w:rsidR="003666DE" w:rsidRPr="007659C3" w:rsidRDefault="00324EAF" w:rsidP="00324EAF">
            <w:pPr>
              <w:pStyle w:val="EPTerm"/>
            </w:pPr>
            <w:r>
              <w:t>2024-2029</w:t>
            </w:r>
          </w:p>
        </w:tc>
        <w:tc>
          <w:tcPr>
            <w:tcW w:w="2268" w:type="dxa"/>
            <w:shd w:val="clear" w:color="auto" w:fill="auto"/>
          </w:tcPr>
          <w:p w14:paraId="70A1B3BA" w14:textId="77777777" w:rsidR="003666DE" w:rsidRPr="007659C3" w:rsidRDefault="003666DE" w:rsidP="00C85D0F">
            <w:pPr>
              <w:pStyle w:val="EPLogo"/>
            </w:pPr>
            <w:r w:rsidRPr="007659C3">
              <w:rPr>
                <w:noProof/>
              </w:rPr>
              <w:drawing>
                <wp:inline distT="0" distB="0" distL="0" distR="0" wp14:anchorId="662892F6" wp14:editId="3D9ACA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FABA03" w14:textId="77777777" w:rsidR="00000C7D" w:rsidRPr="007659C3" w:rsidRDefault="00000C7D" w:rsidP="00000C7D">
      <w:pPr>
        <w:pStyle w:val="LineTop"/>
      </w:pPr>
    </w:p>
    <w:p w14:paraId="18BEFB2E" w14:textId="77777777" w:rsidR="00000C7D" w:rsidRPr="007659C3" w:rsidRDefault="00000C7D" w:rsidP="00000C7D">
      <w:pPr>
        <w:pStyle w:val="EPBody"/>
      </w:pPr>
      <w:r>
        <w:rPr>
          <w:rStyle w:val="HideTWBExt"/>
        </w:rPr>
        <w:t>&lt;</w:t>
      </w:r>
      <w:r>
        <w:rPr>
          <w:rStyle w:val="HideTWBExt"/>
          <w:i w:val="0"/>
        </w:rPr>
        <w:t>Commission</w:t>
      </w:r>
      <w:r>
        <w:rPr>
          <w:rStyle w:val="HideTWBExt"/>
        </w:rPr>
        <w:t>&gt;</w:t>
      </w:r>
      <w:r>
        <w:rPr>
          <w:rStyle w:val="HideTWBInt"/>
        </w:rPr>
        <w:t>{JURI}</w:t>
      </w:r>
      <w:r>
        <w:t>Juridiskā komiteja</w:t>
      </w:r>
      <w:r>
        <w:rPr>
          <w:rStyle w:val="HideTWBExt"/>
        </w:rPr>
        <w:t>&lt;/</w:t>
      </w:r>
      <w:proofErr w:type="spellStart"/>
      <w:r>
        <w:rPr>
          <w:rStyle w:val="HideTWBExt"/>
          <w:i w:val="0"/>
        </w:rPr>
        <w:t>Commission</w:t>
      </w:r>
      <w:proofErr w:type="spellEnd"/>
      <w:r>
        <w:rPr>
          <w:rStyle w:val="HideTWBExt"/>
        </w:rPr>
        <w:t>&gt;</w:t>
      </w:r>
    </w:p>
    <w:p w14:paraId="71B6D160" w14:textId="77777777" w:rsidR="00000C7D" w:rsidRPr="007659C3" w:rsidRDefault="005C4B56" w:rsidP="00000C7D">
      <w:pPr>
        <w:pStyle w:val="EPBody"/>
      </w:pPr>
      <w:r>
        <w:t>Priekšsēdētājs</w:t>
      </w:r>
    </w:p>
    <w:p w14:paraId="0D8B3C86" w14:textId="77777777" w:rsidR="00000C7D" w:rsidRPr="007659C3" w:rsidRDefault="00000C7D" w:rsidP="00000C7D">
      <w:pPr>
        <w:pStyle w:val="LineBottom"/>
      </w:pPr>
    </w:p>
    <w:p w14:paraId="319DA2D8" w14:textId="77777777" w:rsidR="00E71F4C" w:rsidRPr="007659C3" w:rsidRDefault="00501E47" w:rsidP="00A04228">
      <w:pPr>
        <w:pStyle w:val="LetterDate"/>
      </w:pPr>
      <w:r>
        <w:rPr>
          <w:rStyle w:val="HideTWBExt"/>
        </w:rPr>
        <w:t>&lt;Date&gt;</w:t>
      </w:r>
      <w:r>
        <w:rPr>
          <w:rStyle w:val="HideTWBInt"/>
        </w:rPr>
        <w:t>{17/10/2025}</w:t>
      </w:r>
      <w:r>
        <w:t>17.10.2025</w:t>
      </w:r>
      <w:r>
        <w:rPr>
          <w:rStyle w:val="HideTWBExt"/>
        </w:rPr>
        <w:t>&lt;/</w:t>
      </w:r>
      <w:proofErr w:type="spellStart"/>
      <w:r>
        <w:rPr>
          <w:rStyle w:val="HideTWBExt"/>
        </w:rPr>
        <w:t>Date</w:t>
      </w:r>
      <w:proofErr w:type="spellEnd"/>
      <w:r>
        <w:rPr>
          <w:rStyle w:val="HideTWBExt"/>
        </w:rPr>
        <w:t>&gt;</w:t>
      </w:r>
    </w:p>
    <w:p w14:paraId="077CFADC" w14:textId="77777777" w:rsidR="007179A7" w:rsidRPr="007659C3" w:rsidRDefault="00324EAF">
      <w:proofErr w:type="spellStart"/>
      <w:r>
        <w:t>Javier</w:t>
      </w:r>
      <w:proofErr w:type="spellEnd"/>
      <w:r>
        <w:t xml:space="preserve"> </w:t>
      </w:r>
      <w:proofErr w:type="spellStart"/>
      <w:r>
        <w:t>Zarzalejos</w:t>
      </w:r>
      <w:proofErr w:type="spellEnd"/>
    </w:p>
    <w:p w14:paraId="60B07AD9" w14:textId="77777777" w:rsidR="007179A7" w:rsidRPr="007659C3" w:rsidRDefault="005C4B56">
      <w:r>
        <w:t>priekšsēdētājs</w:t>
      </w:r>
    </w:p>
    <w:p w14:paraId="6D65C81F" w14:textId="77777777" w:rsidR="007179A7" w:rsidRPr="007659C3" w:rsidRDefault="00324EAF">
      <w:r>
        <w:t xml:space="preserve">Pilsoņu brīvību, tieslietu un </w:t>
      </w:r>
      <w:proofErr w:type="spellStart"/>
      <w:r>
        <w:t>iekšlietu</w:t>
      </w:r>
      <w:proofErr w:type="spellEnd"/>
      <w:r>
        <w:t xml:space="preserve"> komiteja</w:t>
      </w:r>
    </w:p>
    <w:p w14:paraId="74BB3FAD" w14:textId="77777777" w:rsidR="007179A7" w:rsidRPr="007659C3" w:rsidRDefault="005C4B56">
      <w:r>
        <w:t>BRISELĒ</w:t>
      </w:r>
    </w:p>
    <w:p w14:paraId="4E86B7C6" w14:textId="77777777" w:rsidR="009F796C" w:rsidRPr="007659C3" w:rsidRDefault="005C4B56" w:rsidP="009F796C">
      <w:pPr>
        <w:pStyle w:val="LetterSubject"/>
      </w:pPr>
      <w:r>
        <w:t>Temats:</w:t>
      </w:r>
      <w:r>
        <w:tab/>
      </w:r>
      <w:r>
        <w:rPr>
          <w:rStyle w:val="HideTWBExt"/>
        </w:rPr>
        <w:t>&lt;Titre&gt;</w:t>
      </w:r>
      <w:r>
        <w:t>Atzinums par Komisijas priekšlikumu Eiropas Parlamenta un Padomes Regulai par policijas sadarbības uzlabošanu saistībā ar migrantu kontrabandas un cilvēku tirdzniecības novēršanu, atklāšanu un izmeklēšanu, kā arī par Eiropola atbalsta uzlabošanu šādu noziegumu novēršanā un apkarošanā un par Regulas (ES) 2016/794 grozīšanu</w:t>
      </w:r>
      <w:r>
        <w:rPr>
          <w:rStyle w:val="HideTWBExt"/>
        </w:rPr>
        <w:t>&lt;/</w:t>
      </w:r>
      <w:proofErr w:type="spellStart"/>
      <w:r>
        <w:rPr>
          <w:rStyle w:val="HideTWBExt"/>
        </w:rPr>
        <w:t>Titre</w:t>
      </w:r>
      <w:proofErr w:type="spellEnd"/>
      <w:r>
        <w:rPr>
          <w:rStyle w:val="HideTWBExt"/>
        </w:rPr>
        <w:t>&gt;</w:t>
      </w:r>
      <w:r>
        <w:t xml:space="preserve"> </w:t>
      </w:r>
      <w:r>
        <w:rPr>
          <w:rStyle w:val="HideTWBExt"/>
        </w:rPr>
        <w:t>&lt;DocRef&gt;</w:t>
      </w:r>
      <w:r>
        <w:t>(COM(2023)0754 – C9</w:t>
      </w:r>
      <w:r>
        <w:noBreakHyphen/>
        <w:t>0431/2023 – 2023/0438(COD))</w:t>
      </w:r>
      <w:r>
        <w:rPr>
          <w:rStyle w:val="HideTWBExt"/>
        </w:rPr>
        <w:t>&lt;/</w:t>
      </w:r>
      <w:proofErr w:type="spellStart"/>
      <w:r>
        <w:rPr>
          <w:rStyle w:val="HideTWBExt"/>
        </w:rPr>
        <w:t>DocRef</w:t>
      </w:r>
      <w:proofErr w:type="spellEnd"/>
      <w:r>
        <w:rPr>
          <w:rStyle w:val="HideTWBExt"/>
        </w:rPr>
        <w:t>&gt;</w:t>
      </w:r>
    </w:p>
    <w:p w14:paraId="2144FE60" w14:textId="77777777" w:rsidR="00FC1E12" w:rsidRPr="007659C3" w:rsidRDefault="007F3C4A" w:rsidP="00FC1E12">
      <w:pPr>
        <w:pStyle w:val="LetterSalutation"/>
      </w:pPr>
      <w:r>
        <w:t>Godātais priekšsēdētāj!</w:t>
      </w:r>
    </w:p>
    <w:p w14:paraId="6EDF5B60" w14:textId="77777777" w:rsidR="00FC1E12" w:rsidRPr="007659C3" w:rsidRDefault="00FC1E12" w:rsidP="006A4CE5">
      <w:pPr>
        <w:pStyle w:val="Normal12a"/>
      </w:pPr>
      <w:r>
        <w:t xml:space="preserve">2025. gada 12. septembrī saņemtajā vēstulē jūs kā Pilsoņu brīvību, tieslietu un </w:t>
      </w:r>
      <w:proofErr w:type="spellStart"/>
      <w:r>
        <w:t>iekšlietu</w:t>
      </w:r>
      <w:proofErr w:type="spellEnd"/>
      <w:r>
        <w:t xml:space="preserve"> komitejas (LIBE) priekšsēdētājs Juridiskajai komitejai (JURI) saskaņā ar Reglamenta 41. panta 2. punktu lūdzat sniegt atzinumu par tā priekšlikuma juridiskā pamata pareizību, ar kuru ierosina pieņemt Eiropas Parlamenta un Padomes Regulu par policijas sadarbības uzlabošanu saistībā ar migrantu kontrabandas un cilvēku tirdzniecības novēršanu, atklāšanu un izmeklēšanu, kā arī par Eiropola atbalsta uzlabošanu šādu noziegumu novēršanā un apkarošanā un par Regulas (ES) 2016/794 grozīšanu (2023/0438(COD)) (turpmāk – ierosinātā Regula).</w:t>
      </w:r>
    </w:p>
    <w:p w14:paraId="09C15C0D" w14:textId="77777777" w:rsidR="00FC1E12" w:rsidRPr="007659C3" w:rsidRDefault="00FC1E12" w:rsidP="00FC1E12">
      <w:pPr>
        <w:pStyle w:val="Normal12a"/>
      </w:pPr>
      <w:r>
        <w:t>JURI komiteja minēto jautājumu izskatīja 2025. gada 13. oktobra sanāksmē.</w:t>
      </w:r>
    </w:p>
    <w:p w14:paraId="59F52108" w14:textId="77777777" w:rsidR="00FC1E12" w:rsidRPr="007659C3" w:rsidRDefault="00FC1E12" w:rsidP="00FC1E12">
      <w:pPr>
        <w:spacing w:after="240"/>
        <w:jc w:val="both"/>
        <w:rPr>
          <w:b/>
          <w:u w:val="single"/>
        </w:rPr>
      </w:pPr>
      <w:r>
        <w:rPr>
          <w:b/>
          <w:u w:val="single"/>
        </w:rPr>
        <w:t>I – Priekšvēsture</w:t>
      </w:r>
    </w:p>
    <w:p w14:paraId="2C012698" w14:textId="77777777" w:rsidR="00FC1E12" w:rsidRPr="007659C3" w:rsidRDefault="00FC1E12" w:rsidP="006A4CE5">
      <w:r>
        <w:rPr>
          <w:color w:val="000000" w:themeColor="text1"/>
        </w:rPr>
        <w:t>LIBE komiteja par ierosināto Regulu risināja iestāžu sarunas.</w:t>
      </w:r>
      <w:r>
        <w:t xml:space="preserve"> </w:t>
      </w:r>
    </w:p>
    <w:p w14:paraId="43326445" w14:textId="77777777" w:rsidR="00FC1E12" w:rsidRPr="007659C3" w:rsidRDefault="00FC1E12" w:rsidP="00FC1E12">
      <w:pPr>
        <w:jc w:val="both"/>
      </w:pPr>
    </w:p>
    <w:p w14:paraId="7F3D76BE" w14:textId="77777777" w:rsidR="00FC1E12" w:rsidRPr="007659C3" w:rsidRDefault="00FC1E12" w:rsidP="006A4CE5">
      <w:pPr>
        <w:spacing w:after="240"/>
        <w:rPr>
          <w:color w:val="000000" w:themeColor="text1"/>
        </w:rPr>
      </w:pPr>
      <w:r>
        <w:rPr>
          <w:color w:val="000000" w:themeColor="text1"/>
        </w:rPr>
        <w:t>Ierosinātā Regula sākotnēji ietvēra, pirmkārt, jaunu “patstāvīgu regulu”, lai cita starpā izveidotu Eiropas Migrantu kontrabandas apkarošanas centru, un, otrkārt, mērķtiecīgus grozījumus Eiropola esošajās pilnvarās (Regula (ES) 2016/794</w:t>
      </w:r>
      <w:r w:rsidRPr="007659C3">
        <w:rPr>
          <w:color w:val="000000" w:themeColor="text1"/>
          <w:vertAlign w:val="superscript"/>
        </w:rPr>
        <w:footnoteReference w:id="1"/>
      </w:r>
      <w:r>
        <w:rPr>
          <w:color w:val="000000" w:themeColor="text1"/>
        </w:rPr>
        <w:t xml:space="preserve">, turpmāk “Eiropola regula”). </w:t>
      </w:r>
      <w:r>
        <w:lastRenderedPageBreak/>
        <w:t>Komisijas priekšlikuma pamatā bija Līguma par Eiropas Savienības darbību (LESD) 85. panta 1. punkts, 87. panta 2. punkts un 88. panta 2. punkts.</w:t>
      </w:r>
      <w:r>
        <w:rPr>
          <w:color w:val="000000" w:themeColor="text1"/>
        </w:rPr>
        <w:t xml:space="preserve"> (Norādīto procedūru izvēlas atkarībā no Komisijas ierosinātā juridiskā pamata)</w:t>
      </w:r>
    </w:p>
    <w:p w14:paraId="74014265" w14:textId="77777777" w:rsidR="00FC1E12" w:rsidRPr="007659C3" w:rsidRDefault="00FC1E12" w:rsidP="006A4CE5">
      <w:pPr>
        <w:rPr>
          <w:color w:val="000000" w:themeColor="text1"/>
        </w:rPr>
      </w:pPr>
      <w:r>
        <w:rPr>
          <w:color w:val="000000" w:themeColor="text1"/>
        </w:rPr>
        <w:t>Savās attiecīgajās pilnvarās iestāžu sarunām gan Parlaments, gan Padome izvēlējās ierosinātās Regulas tvērumu ierobežot, attiecinot to tikai uz grozījumiem Eiropola esošajās pilnvarās, bet juridisko pamatu nemainīja. Pēc tam iestāžu sarunās tika panākta provizoriska vienošanās par ierosinātās Regulas mērķa un satura ierobežošanu minētajā veidā. Tā rezultātā šķita nepieciešams pielāgot juridisko pamatu un balstīt tiesību aktu tikai uz LESD 88. panta 2. punktu, proti, svītrot LESD 85. panta 1. punktu un 87. panta 2. punktu.</w:t>
      </w:r>
    </w:p>
    <w:p w14:paraId="6F5D01C4" w14:textId="77777777" w:rsidR="00FC1E12" w:rsidRPr="007659C3" w:rsidRDefault="00FC1E12" w:rsidP="00FC1E12">
      <w:pPr>
        <w:jc w:val="both"/>
        <w:rPr>
          <w:color w:val="000000" w:themeColor="text1"/>
        </w:rPr>
      </w:pPr>
    </w:p>
    <w:p w14:paraId="5E19BDC1" w14:textId="77777777" w:rsidR="00FC1E12" w:rsidRPr="007659C3" w:rsidRDefault="00FC1E12" w:rsidP="006A4CE5">
      <w:pPr>
        <w:spacing w:after="240"/>
      </w:pPr>
      <w:r>
        <w:rPr>
          <w:color w:val="000000" w:themeColor="text1"/>
        </w:rPr>
        <w:t>Tādēļ saskaņā ar Reglamenta 41. panta 2. punktu LIBE komiteja lūdz JURI komiteju sniegt atzinumu par šādi mainītā juridiskā pamata piemērotību.</w:t>
      </w:r>
    </w:p>
    <w:p w14:paraId="1C917134" w14:textId="77777777" w:rsidR="00FC1E12" w:rsidRPr="007659C3" w:rsidRDefault="00FC1E12" w:rsidP="00FC1E12">
      <w:pPr>
        <w:tabs>
          <w:tab w:val="left" w:pos="567"/>
          <w:tab w:val="left" w:pos="7014"/>
        </w:tabs>
        <w:spacing w:after="240"/>
        <w:ind w:left="567" w:hanging="567"/>
        <w:rPr>
          <w:rStyle w:val="Nessuno"/>
          <w:b/>
          <w:bCs/>
        </w:rPr>
      </w:pPr>
      <w:r>
        <w:rPr>
          <w:b/>
          <w:u w:val="single"/>
        </w:rPr>
        <w:t>II - Attiecīgie Līguma panti</w:t>
      </w:r>
    </w:p>
    <w:p w14:paraId="12B09470" w14:textId="77777777" w:rsidR="00FC1E12" w:rsidRPr="007659C3" w:rsidRDefault="00FC1E12" w:rsidP="006A4CE5">
      <w:pPr>
        <w:tabs>
          <w:tab w:val="left" w:pos="7014"/>
        </w:tabs>
        <w:rPr>
          <w:rStyle w:val="Nessuno"/>
          <w:bCs/>
        </w:rPr>
      </w:pPr>
      <w:r>
        <w:rPr>
          <w:rStyle w:val="Nessuno"/>
        </w:rPr>
        <w:t>LESD trešās daļas V sadaļas 4. nodaļā (“Tiesu iestāžu sadarbība krimināllietās”) cita starpā ir teikts (izcēlums pievienots):</w:t>
      </w:r>
    </w:p>
    <w:p w14:paraId="1B3B372D" w14:textId="77777777" w:rsidR="00FC1E12" w:rsidRPr="007659C3" w:rsidRDefault="00FC1E12" w:rsidP="00FC1E12">
      <w:pPr>
        <w:tabs>
          <w:tab w:val="left" w:pos="7014"/>
        </w:tabs>
        <w:rPr>
          <w:rStyle w:val="Nessuno"/>
          <w:bCs/>
          <w:i/>
        </w:rPr>
      </w:pPr>
    </w:p>
    <w:p w14:paraId="49C06C73" w14:textId="77777777" w:rsidR="00FC1E12" w:rsidRPr="007659C3" w:rsidRDefault="00FC1E12" w:rsidP="00FC1E12">
      <w:pPr>
        <w:tabs>
          <w:tab w:val="left" w:pos="7014"/>
        </w:tabs>
        <w:jc w:val="center"/>
        <w:rPr>
          <w:rStyle w:val="Nessuno"/>
          <w:bCs/>
          <w:i/>
        </w:rPr>
      </w:pPr>
      <w:r>
        <w:rPr>
          <w:rStyle w:val="Nessuno"/>
          <w:i/>
        </w:rPr>
        <w:t>85. pants</w:t>
      </w:r>
    </w:p>
    <w:p w14:paraId="760D4CF8" w14:textId="77777777" w:rsidR="00FC1E12" w:rsidRPr="007659C3" w:rsidRDefault="00FC1E12" w:rsidP="00FC1E12">
      <w:pPr>
        <w:tabs>
          <w:tab w:val="left" w:pos="7014"/>
        </w:tabs>
        <w:jc w:val="center"/>
        <w:rPr>
          <w:rStyle w:val="Nessuno"/>
          <w:bCs/>
          <w:i/>
        </w:rPr>
      </w:pPr>
      <w:r>
        <w:rPr>
          <w:i/>
        </w:rPr>
        <w:t>(bijušais LES 31. pants)</w:t>
      </w:r>
    </w:p>
    <w:p w14:paraId="774EB416" w14:textId="77777777" w:rsidR="00FC1E12" w:rsidRPr="007659C3" w:rsidRDefault="00FC1E12" w:rsidP="00FC1E12">
      <w:pPr>
        <w:tabs>
          <w:tab w:val="left" w:pos="7014"/>
        </w:tabs>
        <w:jc w:val="both"/>
        <w:rPr>
          <w:rStyle w:val="Nessuno"/>
          <w:bCs/>
          <w:i/>
        </w:rPr>
      </w:pPr>
    </w:p>
    <w:p w14:paraId="215FA2B6" w14:textId="77777777" w:rsidR="00FC1E12" w:rsidRPr="007659C3" w:rsidRDefault="00FC1E12" w:rsidP="00C82F7E">
      <w:pPr>
        <w:tabs>
          <w:tab w:val="left" w:pos="7014"/>
        </w:tabs>
        <w:ind w:left="426" w:hanging="426"/>
        <w:jc w:val="both"/>
        <w:rPr>
          <w:rStyle w:val="Nessuno"/>
          <w:b/>
          <w:bCs/>
          <w:i/>
        </w:rPr>
      </w:pPr>
    </w:p>
    <w:p w14:paraId="6CF1D730" w14:textId="77777777" w:rsidR="00571C42" w:rsidRPr="007659C3" w:rsidRDefault="00571C42" w:rsidP="00C82F7E">
      <w:pPr>
        <w:tabs>
          <w:tab w:val="left" w:pos="7014"/>
        </w:tabs>
        <w:ind w:left="426" w:hanging="426"/>
        <w:jc w:val="both"/>
        <w:rPr>
          <w:rStyle w:val="Nessuno"/>
          <w:b/>
          <w:bCs/>
          <w:i/>
        </w:rPr>
      </w:pPr>
    </w:p>
    <w:p w14:paraId="14D939B0" w14:textId="32BD65B2" w:rsidR="00571C42" w:rsidRPr="007659C3" w:rsidRDefault="00571C42" w:rsidP="00C82F7E">
      <w:pPr>
        <w:tabs>
          <w:tab w:val="left" w:pos="7014"/>
        </w:tabs>
        <w:ind w:left="360" w:hanging="360"/>
        <w:jc w:val="both"/>
        <w:rPr>
          <w:rStyle w:val="Nessuno"/>
          <w:b/>
          <w:i/>
        </w:rPr>
      </w:pPr>
      <w:r>
        <w:rPr>
          <w:rStyle w:val="Nessuno"/>
          <w:b/>
          <w:i/>
        </w:rPr>
        <w:t>1.</w:t>
      </w:r>
      <w:r>
        <w:rPr>
          <w:rStyle w:val="Nessuno"/>
          <w:b/>
          <w:i/>
        </w:rPr>
        <w:tab/>
      </w:r>
      <w:proofErr w:type="spellStart"/>
      <w:r w:rsidR="00657A15">
        <w:rPr>
          <w:rStyle w:val="Nessuno"/>
          <w:b/>
          <w:i/>
        </w:rPr>
        <w:t>E</w:t>
      </w:r>
      <w:r>
        <w:rPr>
          <w:rStyle w:val="Nessuno"/>
          <w:b/>
          <w:i/>
        </w:rPr>
        <w:t>urojus</w:t>
      </w:r>
      <w:r w:rsidR="00657A15">
        <w:rPr>
          <w:rStyle w:val="Nessuno"/>
          <w:b/>
          <w:i/>
        </w:rPr>
        <w:t>t</w:t>
      </w:r>
      <w:proofErr w:type="spellEnd"/>
      <w:r w:rsidR="00657A15">
        <w:rPr>
          <w:rStyle w:val="Nessuno"/>
          <w:b/>
          <w:i/>
        </w:rPr>
        <w:t xml:space="preserve"> </w:t>
      </w:r>
      <w:r>
        <w:rPr>
          <w:rStyle w:val="Nessuno"/>
          <w:b/>
          <w:i/>
        </w:rPr>
        <w:t>uzdevums ir atbalstīt un stiprināt koordināciju un sadarbību starp tām valstu iestādēm, kas veic izmeklēšanu un kriminālvajāšanu, saistībā ar smagiem noziegumiem, kuri skar vismaz divas dalībvalstis vai kuru dēļ nepieciešama kopīga kriminālvajāšana, pamatojoties uz dalībvalstu iestāžu un Eiropola veiktajām darbībām un sniegto informāciju.</w:t>
      </w:r>
    </w:p>
    <w:p w14:paraId="6C86C21E" w14:textId="77777777" w:rsidR="00571C42" w:rsidRPr="007659C3" w:rsidRDefault="00571C42" w:rsidP="00571C42">
      <w:pPr>
        <w:tabs>
          <w:tab w:val="left" w:pos="7014"/>
        </w:tabs>
        <w:ind w:left="426" w:hanging="426"/>
        <w:jc w:val="both"/>
        <w:rPr>
          <w:rStyle w:val="Nessuno"/>
          <w:b/>
          <w:i/>
        </w:rPr>
      </w:pPr>
      <w:r>
        <w:rPr>
          <w:rStyle w:val="Nessuno"/>
          <w:b/>
          <w:i/>
        </w:rPr>
        <w:tab/>
        <w:t xml:space="preserve">Šajā sakarā Eiropas Parlaments un Padome, pieņemot regulas saskaņā ar parasto likumdošanas procedūru, nosaka </w:t>
      </w:r>
      <w:proofErr w:type="spellStart"/>
      <w:r>
        <w:rPr>
          <w:rStyle w:val="Nessuno"/>
          <w:b/>
          <w:i/>
        </w:rPr>
        <w:t>Eurojust</w:t>
      </w:r>
      <w:proofErr w:type="spellEnd"/>
      <w:r>
        <w:rPr>
          <w:rStyle w:val="Nessuno"/>
          <w:b/>
          <w:i/>
        </w:rPr>
        <w:t xml:space="preserve"> struktūru, darbību, rīcības jomu un uzdevumus. Šie uzdevumi var būt:</w:t>
      </w:r>
    </w:p>
    <w:p w14:paraId="08D1E70C" w14:textId="77777777" w:rsidR="00571C42" w:rsidRPr="007659C3" w:rsidRDefault="00571C42" w:rsidP="00571C42">
      <w:pPr>
        <w:tabs>
          <w:tab w:val="left" w:pos="7014"/>
        </w:tabs>
        <w:ind w:left="426" w:hanging="426"/>
        <w:jc w:val="both"/>
        <w:rPr>
          <w:rStyle w:val="Nessuno"/>
          <w:b/>
          <w:i/>
        </w:rPr>
      </w:pPr>
    </w:p>
    <w:p w14:paraId="77996B6E" w14:textId="77777777" w:rsidR="00571C42" w:rsidRPr="007659C3" w:rsidRDefault="00571C42" w:rsidP="00571C42">
      <w:pPr>
        <w:tabs>
          <w:tab w:val="left" w:pos="7014"/>
        </w:tabs>
        <w:ind w:left="851" w:hanging="426"/>
        <w:jc w:val="both"/>
        <w:rPr>
          <w:rStyle w:val="Nessuno"/>
          <w:b/>
          <w:i/>
        </w:rPr>
      </w:pPr>
      <w:r>
        <w:rPr>
          <w:rStyle w:val="Nessuno"/>
          <w:b/>
          <w:i/>
        </w:rPr>
        <w:t xml:space="preserve">(a) </w:t>
      </w:r>
      <w:r>
        <w:rPr>
          <w:rStyle w:val="Nessuno"/>
          <w:b/>
          <w:i/>
        </w:rPr>
        <w:tab/>
        <w:t>sākt izmeklēšanu, kā arī ierosināt sākt kriminālvajāšanu, ko veic kompetentas valsts iestādes, jo īpaši saistībā ar noziedzīgiem nodarījumiem pret Savienības finansiālajām interesēm,</w:t>
      </w:r>
    </w:p>
    <w:p w14:paraId="53BB6461" w14:textId="77777777" w:rsidR="00571C42" w:rsidRPr="007659C3" w:rsidRDefault="00571C42" w:rsidP="00571C42">
      <w:pPr>
        <w:tabs>
          <w:tab w:val="left" w:pos="7014"/>
        </w:tabs>
        <w:ind w:left="851" w:hanging="426"/>
        <w:jc w:val="both"/>
        <w:rPr>
          <w:rStyle w:val="Nessuno"/>
          <w:b/>
          <w:i/>
        </w:rPr>
      </w:pPr>
    </w:p>
    <w:p w14:paraId="5706BC2C" w14:textId="77777777" w:rsidR="00571C42" w:rsidRPr="007659C3" w:rsidRDefault="00571C42" w:rsidP="00571C42">
      <w:pPr>
        <w:tabs>
          <w:tab w:val="left" w:pos="7014"/>
        </w:tabs>
        <w:ind w:left="851" w:hanging="426"/>
        <w:jc w:val="both"/>
        <w:rPr>
          <w:rStyle w:val="Nessuno"/>
          <w:b/>
          <w:i/>
        </w:rPr>
      </w:pPr>
      <w:r>
        <w:rPr>
          <w:rStyle w:val="Nessuno"/>
          <w:b/>
          <w:i/>
        </w:rPr>
        <w:t xml:space="preserve">(b) </w:t>
      </w:r>
      <w:r>
        <w:rPr>
          <w:rStyle w:val="Nessuno"/>
          <w:b/>
          <w:i/>
        </w:rPr>
        <w:tab/>
        <w:t>koordinēt a) punktā minēto izmeklēšanu un kriminālvajāšanu;</w:t>
      </w:r>
    </w:p>
    <w:p w14:paraId="386DC325" w14:textId="77777777" w:rsidR="00571C42" w:rsidRPr="007659C3" w:rsidRDefault="00571C42" w:rsidP="00571C42">
      <w:pPr>
        <w:tabs>
          <w:tab w:val="left" w:pos="7014"/>
        </w:tabs>
        <w:ind w:left="851" w:hanging="426"/>
        <w:jc w:val="both"/>
        <w:rPr>
          <w:rStyle w:val="Nessuno"/>
          <w:b/>
          <w:i/>
        </w:rPr>
      </w:pPr>
    </w:p>
    <w:p w14:paraId="65E43024" w14:textId="77777777" w:rsidR="00571C42" w:rsidRPr="007659C3" w:rsidRDefault="00571C42" w:rsidP="00571C42">
      <w:pPr>
        <w:tabs>
          <w:tab w:val="left" w:pos="7014"/>
        </w:tabs>
        <w:ind w:left="851" w:hanging="426"/>
        <w:jc w:val="both"/>
        <w:rPr>
          <w:rStyle w:val="Nessuno"/>
          <w:b/>
          <w:i/>
        </w:rPr>
      </w:pPr>
      <w:r>
        <w:rPr>
          <w:rStyle w:val="Nessuno"/>
          <w:b/>
          <w:i/>
        </w:rPr>
        <w:t xml:space="preserve">(c) </w:t>
      </w:r>
      <w:r>
        <w:rPr>
          <w:rStyle w:val="Nessuno"/>
          <w:b/>
          <w:i/>
        </w:rPr>
        <w:tab/>
        <w:t>stiprināt tiesu iestāžu sadarbību, tostarp risinot jurisdikcijas strīdus un cieši sadarbojoties ar Eiropas Tiesiskās sadarbības tīklu.</w:t>
      </w:r>
    </w:p>
    <w:p w14:paraId="7E17BCC7" w14:textId="77777777" w:rsidR="00571C42" w:rsidRPr="007659C3" w:rsidRDefault="00571C42" w:rsidP="00571C42">
      <w:pPr>
        <w:tabs>
          <w:tab w:val="left" w:pos="7014"/>
        </w:tabs>
        <w:ind w:left="851" w:hanging="426"/>
        <w:jc w:val="both"/>
        <w:rPr>
          <w:rStyle w:val="Nessuno"/>
          <w:b/>
          <w:i/>
        </w:rPr>
      </w:pPr>
    </w:p>
    <w:p w14:paraId="6FB2071D" w14:textId="77777777" w:rsidR="00571C42" w:rsidRPr="007659C3" w:rsidRDefault="00571C42" w:rsidP="00C82F7E">
      <w:pPr>
        <w:tabs>
          <w:tab w:val="left" w:pos="7014"/>
        </w:tabs>
        <w:ind w:left="426" w:hanging="426"/>
        <w:jc w:val="both"/>
        <w:rPr>
          <w:rStyle w:val="Nessuno"/>
          <w:b/>
          <w:bCs/>
          <w:i/>
        </w:rPr>
      </w:pPr>
      <w:r>
        <w:rPr>
          <w:rStyle w:val="Nessuno"/>
          <w:b/>
          <w:i/>
        </w:rPr>
        <w:t xml:space="preserve">Šādās regulās nosaka arī kārtību, kādā </w:t>
      </w:r>
      <w:proofErr w:type="spellStart"/>
      <w:r>
        <w:rPr>
          <w:rStyle w:val="Nessuno"/>
          <w:b/>
          <w:i/>
        </w:rPr>
        <w:t>Eurojust</w:t>
      </w:r>
      <w:proofErr w:type="spellEnd"/>
      <w:r>
        <w:rPr>
          <w:rStyle w:val="Nessuno"/>
          <w:b/>
          <w:i/>
        </w:rPr>
        <w:t xml:space="preserve"> darbību izvērtēšanā iesaista Eiropas Parlamentu un valstu parlamentus.</w:t>
      </w:r>
    </w:p>
    <w:p w14:paraId="1BC7E83C" w14:textId="77777777" w:rsidR="00FC1E12" w:rsidRPr="007659C3" w:rsidRDefault="00FC1E12" w:rsidP="00FC1E12">
      <w:pPr>
        <w:tabs>
          <w:tab w:val="left" w:pos="7014"/>
        </w:tabs>
        <w:jc w:val="both"/>
        <w:rPr>
          <w:rStyle w:val="Nessuno"/>
          <w:bCs/>
          <w:i/>
        </w:rPr>
      </w:pPr>
    </w:p>
    <w:p w14:paraId="5F2513A5" w14:textId="77777777" w:rsidR="00FC1E12" w:rsidRPr="007659C3" w:rsidRDefault="00FC1E12" w:rsidP="00FC1E12">
      <w:pPr>
        <w:tabs>
          <w:tab w:val="left" w:pos="7014"/>
        </w:tabs>
        <w:ind w:left="426" w:hanging="426"/>
        <w:jc w:val="both"/>
        <w:rPr>
          <w:rStyle w:val="Nessuno"/>
          <w:bCs/>
          <w:i/>
        </w:rPr>
      </w:pPr>
      <w:r>
        <w:rPr>
          <w:rStyle w:val="Nessuno"/>
          <w:i/>
        </w:rPr>
        <w:t>(...)</w:t>
      </w:r>
    </w:p>
    <w:p w14:paraId="2C6F9695" w14:textId="77777777" w:rsidR="00FC1E12" w:rsidRPr="007659C3" w:rsidRDefault="00FC1E12" w:rsidP="00FC1E12">
      <w:pPr>
        <w:tabs>
          <w:tab w:val="left" w:pos="7014"/>
        </w:tabs>
        <w:ind w:left="426" w:hanging="426"/>
        <w:jc w:val="both"/>
        <w:rPr>
          <w:rStyle w:val="Nessuno"/>
          <w:bCs/>
          <w:i/>
        </w:rPr>
      </w:pPr>
    </w:p>
    <w:p w14:paraId="4FF08C59" w14:textId="77777777" w:rsidR="00FC1E12" w:rsidRPr="007659C3" w:rsidRDefault="00FC1E12" w:rsidP="006A4CE5">
      <w:pPr>
        <w:tabs>
          <w:tab w:val="left" w:pos="7014"/>
        </w:tabs>
        <w:rPr>
          <w:rStyle w:val="Nessuno"/>
          <w:bCs/>
        </w:rPr>
      </w:pPr>
      <w:r>
        <w:rPr>
          <w:rStyle w:val="Nessuno"/>
        </w:rPr>
        <w:t>LESD trešās daļas V sadaļas 5. nodaļā (“Tiesu iestāžu sadarbība krimināllietās”) cita starpā ir teikts (izcēlums pievienots):</w:t>
      </w:r>
    </w:p>
    <w:p w14:paraId="5A451157" w14:textId="77777777" w:rsidR="00FC1E12" w:rsidRPr="007659C3" w:rsidRDefault="00FC1E12" w:rsidP="00FC1E12">
      <w:pPr>
        <w:tabs>
          <w:tab w:val="left" w:pos="7014"/>
        </w:tabs>
        <w:jc w:val="both"/>
        <w:rPr>
          <w:rStyle w:val="Nessuno"/>
          <w:bCs/>
        </w:rPr>
      </w:pPr>
    </w:p>
    <w:p w14:paraId="26B71CBC" w14:textId="77777777" w:rsidR="00FC1E12" w:rsidRPr="007659C3" w:rsidRDefault="00FC1E12" w:rsidP="00FC1E12">
      <w:pPr>
        <w:tabs>
          <w:tab w:val="left" w:pos="7014"/>
        </w:tabs>
        <w:jc w:val="center"/>
        <w:rPr>
          <w:rStyle w:val="Nessuno"/>
          <w:bCs/>
          <w:i/>
        </w:rPr>
      </w:pPr>
      <w:r>
        <w:rPr>
          <w:rStyle w:val="Nessuno"/>
          <w:i/>
        </w:rPr>
        <w:t>87. pants</w:t>
      </w:r>
    </w:p>
    <w:p w14:paraId="59D621E0" w14:textId="77777777" w:rsidR="00FC1E12" w:rsidRPr="007659C3" w:rsidRDefault="00FC1E12" w:rsidP="00FC1E12">
      <w:pPr>
        <w:tabs>
          <w:tab w:val="left" w:pos="7014"/>
        </w:tabs>
        <w:jc w:val="center"/>
        <w:rPr>
          <w:rStyle w:val="Nessuno"/>
          <w:bCs/>
          <w:i/>
        </w:rPr>
      </w:pPr>
      <w:r>
        <w:rPr>
          <w:rStyle w:val="Nessuno"/>
          <w:i/>
        </w:rPr>
        <w:t>(bijušais LES 30. pants)</w:t>
      </w:r>
    </w:p>
    <w:p w14:paraId="06DE7674" w14:textId="77777777" w:rsidR="00FC1E12" w:rsidRPr="007659C3" w:rsidRDefault="00FC1E12" w:rsidP="00FC1E12">
      <w:pPr>
        <w:tabs>
          <w:tab w:val="left" w:pos="7014"/>
        </w:tabs>
        <w:jc w:val="center"/>
        <w:rPr>
          <w:rStyle w:val="Nessuno"/>
          <w:bCs/>
          <w:i/>
        </w:rPr>
      </w:pPr>
    </w:p>
    <w:p w14:paraId="1F72FF15" w14:textId="77777777" w:rsidR="00FC1E12" w:rsidRPr="007659C3" w:rsidRDefault="00FC1E12" w:rsidP="00FC1E12">
      <w:pPr>
        <w:tabs>
          <w:tab w:val="left" w:pos="7014"/>
        </w:tabs>
        <w:ind w:left="426" w:hanging="426"/>
        <w:jc w:val="both"/>
        <w:rPr>
          <w:rStyle w:val="Nessuno"/>
          <w:bCs/>
          <w:i/>
        </w:rPr>
      </w:pPr>
      <w:r>
        <w:rPr>
          <w:rStyle w:val="Nessuno"/>
          <w:i/>
        </w:rPr>
        <w:t>1.</w:t>
      </w:r>
      <w:r>
        <w:rPr>
          <w:rStyle w:val="Nessuno"/>
          <w:i/>
        </w:rPr>
        <w:tab/>
        <w:t>Savienība attīsta policijas sadarbību, iesaistot visas dalībvalstu kompetentās iestādes, tostarp policiju, muitas iestādes un citas dalībvalstu tiesībaizsardzības iestādes, kas specializējas noziedzīgu nodarījumu novēršanā, atklāšanā un izmeklēšanā.</w:t>
      </w:r>
    </w:p>
    <w:p w14:paraId="19B09249" w14:textId="77777777" w:rsidR="00FC1E12" w:rsidRPr="007659C3" w:rsidRDefault="00FC1E12" w:rsidP="00FC1E12">
      <w:pPr>
        <w:tabs>
          <w:tab w:val="left" w:pos="7014"/>
        </w:tabs>
        <w:jc w:val="both"/>
        <w:rPr>
          <w:rStyle w:val="Nessuno"/>
          <w:bCs/>
          <w:i/>
        </w:rPr>
      </w:pPr>
    </w:p>
    <w:p w14:paraId="25E8C334" w14:textId="77777777" w:rsidR="00FC1E12" w:rsidRPr="007659C3" w:rsidRDefault="00FC1E12" w:rsidP="00FC1E12">
      <w:pPr>
        <w:tabs>
          <w:tab w:val="left" w:pos="7014"/>
        </w:tabs>
        <w:ind w:left="426" w:hanging="426"/>
        <w:jc w:val="both"/>
        <w:rPr>
          <w:rStyle w:val="Nessuno"/>
          <w:b/>
          <w:i/>
        </w:rPr>
      </w:pPr>
      <w:r>
        <w:rPr>
          <w:rStyle w:val="Nessuno"/>
          <w:b/>
          <w:i/>
        </w:rPr>
        <w:t xml:space="preserve">2. </w:t>
      </w:r>
      <w:r>
        <w:rPr>
          <w:rStyle w:val="Nessuno"/>
          <w:b/>
          <w:i/>
        </w:rPr>
        <w:tab/>
        <w:t>Piemērojot 1. punktu, Eiropas Parlaments un Padome saskaņā ar parasto likumdošanas procedūru var noteikt pasākumus par:</w:t>
      </w:r>
    </w:p>
    <w:p w14:paraId="6D955CB5" w14:textId="77777777" w:rsidR="00FC1E12" w:rsidRPr="007659C3" w:rsidRDefault="00FC1E12" w:rsidP="00FC1E12">
      <w:pPr>
        <w:tabs>
          <w:tab w:val="left" w:pos="7014"/>
        </w:tabs>
        <w:jc w:val="both"/>
        <w:rPr>
          <w:rStyle w:val="Nessuno"/>
          <w:b/>
          <w:i/>
        </w:rPr>
      </w:pPr>
    </w:p>
    <w:p w14:paraId="16127C26" w14:textId="77777777" w:rsidR="00FC1E12" w:rsidRPr="007659C3" w:rsidRDefault="00FC1E12" w:rsidP="00FC1E12">
      <w:pPr>
        <w:tabs>
          <w:tab w:val="left" w:pos="7014"/>
        </w:tabs>
        <w:ind w:left="851" w:hanging="425"/>
        <w:jc w:val="both"/>
        <w:rPr>
          <w:rStyle w:val="Nessuno"/>
          <w:b/>
          <w:i/>
        </w:rPr>
      </w:pPr>
      <w:r>
        <w:rPr>
          <w:rStyle w:val="Nessuno"/>
          <w:b/>
          <w:i/>
        </w:rPr>
        <w:t>(a)</w:t>
      </w:r>
      <w:r>
        <w:rPr>
          <w:rStyle w:val="Nessuno"/>
          <w:b/>
          <w:i/>
        </w:rPr>
        <w:tab/>
        <w:t>attiecīgas informācijas vākšanu, uzglabāšanu, apstrādi, analīzi un apmaiņu,</w:t>
      </w:r>
    </w:p>
    <w:p w14:paraId="5E3182F6" w14:textId="77777777" w:rsidR="00FC1E12" w:rsidRPr="007659C3" w:rsidRDefault="00FC1E12" w:rsidP="00FC1E12">
      <w:pPr>
        <w:tabs>
          <w:tab w:val="left" w:pos="7014"/>
        </w:tabs>
        <w:ind w:left="851" w:hanging="425"/>
        <w:jc w:val="both"/>
        <w:rPr>
          <w:rStyle w:val="Nessuno"/>
          <w:b/>
          <w:i/>
        </w:rPr>
      </w:pPr>
    </w:p>
    <w:p w14:paraId="2C7A0A4F" w14:textId="77777777" w:rsidR="00FC1E12" w:rsidRPr="007659C3" w:rsidRDefault="00FC1E12" w:rsidP="00FC1E12">
      <w:pPr>
        <w:tabs>
          <w:tab w:val="left" w:pos="7014"/>
        </w:tabs>
        <w:ind w:left="851" w:hanging="425"/>
        <w:jc w:val="both"/>
        <w:rPr>
          <w:rStyle w:val="Nessuno"/>
          <w:b/>
          <w:i/>
        </w:rPr>
      </w:pPr>
      <w:r>
        <w:rPr>
          <w:rStyle w:val="Nessuno"/>
          <w:b/>
          <w:i/>
        </w:rPr>
        <w:t>(b)</w:t>
      </w:r>
      <w:r>
        <w:rPr>
          <w:rStyle w:val="Nessuno"/>
          <w:b/>
          <w:i/>
        </w:rPr>
        <w:tab/>
        <w:t>atbalstu personāla mācībām un sadarbībai personāla apmaiņas, iekārtu un noziegumu atklāšanas izpētes jomā,</w:t>
      </w:r>
    </w:p>
    <w:p w14:paraId="60EA449A" w14:textId="77777777" w:rsidR="00FC1E12" w:rsidRPr="007659C3" w:rsidRDefault="00FC1E12" w:rsidP="00FC1E12">
      <w:pPr>
        <w:tabs>
          <w:tab w:val="left" w:pos="7014"/>
        </w:tabs>
        <w:ind w:left="851" w:hanging="425"/>
        <w:jc w:val="both"/>
        <w:rPr>
          <w:rStyle w:val="Nessuno"/>
          <w:b/>
          <w:i/>
        </w:rPr>
      </w:pPr>
    </w:p>
    <w:p w14:paraId="1656A1DD" w14:textId="77777777" w:rsidR="00FC1E12" w:rsidRPr="007659C3" w:rsidRDefault="00FC1E12" w:rsidP="00FC1E12">
      <w:pPr>
        <w:tabs>
          <w:tab w:val="left" w:pos="7014"/>
        </w:tabs>
        <w:ind w:left="851" w:hanging="425"/>
        <w:jc w:val="both"/>
        <w:rPr>
          <w:rStyle w:val="Nessuno"/>
          <w:b/>
          <w:i/>
        </w:rPr>
      </w:pPr>
      <w:r>
        <w:rPr>
          <w:rStyle w:val="Nessuno"/>
          <w:b/>
          <w:i/>
        </w:rPr>
        <w:t>(c)</w:t>
      </w:r>
      <w:r>
        <w:rPr>
          <w:rStyle w:val="Nessuno"/>
          <w:b/>
          <w:i/>
        </w:rPr>
        <w:tab/>
        <w:t>īpašu izmeklēšanas metožu kopīgu izvērtēšanu attiecībā uz organizētās noziedzības smago formu atklāšanu.</w:t>
      </w:r>
    </w:p>
    <w:p w14:paraId="148C4D91" w14:textId="77777777" w:rsidR="00FC1E12" w:rsidRPr="007659C3" w:rsidRDefault="00FC1E12" w:rsidP="00FC1E12">
      <w:pPr>
        <w:tabs>
          <w:tab w:val="left" w:pos="7014"/>
        </w:tabs>
        <w:jc w:val="both"/>
        <w:rPr>
          <w:rStyle w:val="Nessuno"/>
          <w:bCs/>
          <w:i/>
        </w:rPr>
      </w:pPr>
    </w:p>
    <w:p w14:paraId="65886294" w14:textId="77777777" w:rsidR="00FC1E12" w:rsidRPr="007659C3" w:rsidRDefault="00FC1E12" w:rsidP="00FC1E12">
      <w:pPr>
        <w:tabs>
          <w:tab w:val="left" w:pos="7014"/>
        </w:tabs>
        <w:jc w:val="both"/>
        <w:rPr>
          <w:rStyle w:val="Nessuno"/>
          <w:bCs/>
          <w:i/>
        </w:rPr>
      </w:pPr>
      <w:r>
        <w:rPr>
          <w:rStyle w:val="Nessuno"/>
          <w:i/>
        </w:rPr>
        <w:t>(...)</w:t>
      </w:r>
    </w:p>
    <w:p w14:paraId="3C3ABCBB" w14:textId="77777777" w:rsidR="00FC1E12" w:rsidRPr="007659C3" w:rsidRDefault="00FC1E12" w:rsidP="00FC1E12">
      <w:pPr>
        <w:tabs>
          <w:tab w:val="left" w:pos="7014"/>
        </w:tabs>
        <w:jc w:val="both"/>
        <w:rPr>
          <w:rStyle w:val="Nessuno"/>
          <w:bCs/>
          <w:i/>
        </w:rPr>
      </w:pPr>
    </w:p>
    <w:p w14:paraId="34671A2A" w14:textId="77777777" w:rsidR="00FC1E12" w:rsidRPr="007659C3" w:rsidRDefault="00FC1E12" w:rsidP="00FC1E12">
      <w:pPr>
        <w:tabs>
          <w:tab w:val="left" w:pos="7014"/>
        </w:tabs>
        <w:jc w:val="center"/>
        <w:rPr>
          <w:rStyle w:val="Nessuno"/>
          <w:bCs/>
          <w:i/>
        </w:rPr>
      </w:pPr>
      <w:r>
        <w:rPr>
          <w:rStyle w:val="Nessuno"/>
          <w:i/>
        </w:rPr>
        <w:t>88. pants</w:t>
      </w:r>
    </w:p>
    <w:p w14:paraId="72639AFE" w14:textId="77777777" w:rsidR="00FC1E12" w:rsidRPr="007659C3" w:rsidRDefault="00FC1E12" w:rsidP="00FC1E12">
      <w:pPr>
        <w:tabs>
          <w:tab w:val="left" w:pos="7014"/>
        </w:tabs>
        <w:jc w:val="center"/>
        <w:rPr>
          <w:rStyle w:val="Nessuno"/>
          <w:bCs/>
          <w:i/>
        </w:rPr>
      </w:pPr>
      <w:r>
        <w:rPr>
          <w:rStyle w:val="Nessuno"/>
          <w:i/>
        </w:rPr>
        <w:t>(bijušais LES 30. pants)</w:t>
      </w:r>
    </w:p>
    <w:p w14:paraId="723DE507" w14:textId="77777777" w:rsidR="00FC1E12" w:rsidRPr="007659C3" w:rsidRDefault="00FC1E12" w:rsidP="00FC1E12">
      <w:pPr>
        <w:tabs>
          <w:tab w:val="left" w:pos="7014"/>
        </w:tabs>
        <w:jc w:val="center"/>
        <w:rPr>
          <w:rStyle w:val="Nessuno"/>
          <w:bCs/>
          <w:i/>
        </w:rPr>
      </w:pPr>
    </w:p>
    <w:p w14:paraId="4B8826F7" w14:textId="77777777" w:rsidR="00FC1E12" w:rsidRPr="007659C3" w:rsidRDefault="00FC1E12" w:rsidP="00FC1E12">
      <w:pPr>
        <w:tabs>
          <w:tab w:val="left" w:pos="7014"/>
        </w:tabs>
        <w:ind w:left="426" w:hanging="426"/>
        <w:jc w:val="both"/>
        <w:rPr>
          <w:rStyle w:val="Nessuno"/>
          <w:bCs/>
          <w:i/>
        </w:rPr>
      </w:pPr>
      <w:r>
        <w:rPr>
          <w:rStyle w:val="Nessuno"/>
          <w:i/>
        </w:rPr>
        <w:t xml:space="preserve">1. </w:t>
      </w:r>
      <w:r>
        <w:rPr>
          <w:rStyle w:val="Nessuno"/>
          <w:i/>
        </w:rPr>
        <w:tab/>
        <w:t>Eiropola uzdevums ir atbalstīt un stiprināt dalībvalstu policijas iestāžu un citu tiesībaizsardzības iestāžu darbību un to savstarpējo sadarbību, novēršot un apkarojot smagus noziegumus, kas skar vismaz divas dalībvalstis, terorismu un tāda veida noziegumus, kas skar vispārējās intereses, uz kurām attiecas Savienības politika.</w:t>
      </w:r>
    </w:p>
    <w:p w14:paraId="414BC173" w14:textId="77777777" w:rsidR="00FC1E12" w:rsidRPr="007659C3" w:rsidRDefault="00FC1E12" w:rsidP="00FC1E12">
      <w:pPr>
        <w:tabs>
          <w:tab w:val="left" w:pos="7014"/>
        </w:tabs>
        <w:ind w:left="426" w:hanging="426"/>
        <w:jc w:val="both"/>
        <w:rPr>
          <w:rStyle w:val="Nessuno"/>
          <w:bCs/>
          <w:i/>
        </w:rPr>
      </w:pPr>
    </w:p>
    <w:p w14:paraId="12492BF3" w14:textId="77777777" w:rsidR="00FC1E12" w:rsidRPr="007659C3" w:rsidRDefault="00FC1E12" w:rsidP="00FC1E12">
      <w:pPr>
        <w:tabs>
          <w:tab w:val="left" w:pos="7014"/>
        </w:tabs>
        <w:ind w:left="426" w:hanging="426"/>
        <w:jc w:val="both"/>
        <w:rPr>
          <w:rStyle w:val="Nessuno"/>
          <w:b/>
          <w:i/>
        </w:rPr>
      </w:pPr>
      <w:r>
        <w:rPr>
          <w:rStyle w:val="Nessuno"/>
          <w:b/>
          <w:i/>
        </w:rPr>
        <w:t xml:space="preserve">2. </w:t>
      </w:r>
      <w:r>
        <w:rPr>
          <w:rStyle w:val="Nessuno"/>
          <w:b/>
          <w:i/>
        </w:rPr>
        <w:tab/>
        <w:t>Eiropas Parlaments un Padome, pieņemot regulas saskaņā ar parasto likumdošanas procedūru, nosaka Eiropola struktūru, darbību, rīcības jomu un uzdevumus. Šie uzdevumi var būt:</w:t>
      </w:r>
    </w:p>
    <w:p w14:paraId="1C27D495" w14:textId="77777777" w:rsidR="00FC1E12" w:rsidRPr="007659C3" w:rsidRDefault="00FC1E12" w:rsidP="00FC1E12">
      <w:pPr>
        <w:tabs>
          <w:tab w:val="left" w:pos="7014"/>
        </w:tabs>
        <w:jc w:val="both"/>
        <w:rPr>
          <w:rStyle w:val="Nessuno"/>
          <w:b/>
          <w:i/>
        </w:rPr>
      </w:pPr>
    </w:p>
    <w:p w14:paraId="3F1320A9" w14:textId="77777777" w:rsidR="00FC1E12" w:rsidRPr="007659C3" w:rsidRDefault="00FC1E12" w:rsidP="00FC1E12">
      <w:pPr>
        <w:tabs>
          <w:tab w:val="left" w:pos="7014"/>
        </w:tabs>
        <w:ind w:left="851" w:hanging="425"/>
        <w:jc w:val="both"/>
        <w:rPr>
          <w:rStyle w:val="Nessuno"/>
          <w:b/>
          <w:i/>
        </w:rPr>
      </w:pPr>
      <w:r>
        <w:rPr>
          <w:rStyle w:val="Nessuno"/>
          <w:b/>
          <w:i/>
        </w:rPr>
        <w:t>(a)</w:t>
      </w:r>
      <w:r>
        <w:rPr>
          <w:rStyle w:val="Nessuno"/>
          <w:b/>
          <w:i/>
        </w:rPr>
        <w:tab/>
        <w:t>vākt, uzglabāt, apstrādāt, analizēt informāciju un apmainīties ar informāciju, ko sniedz dalībvalstu iestādes vai trešās valstis vai struktūras;</w:t>
      </w:r>
    </w:p>
    <w:p w14:paraId="5BD8C6A3" w14:textId="77777777" w:rsidR="00FC1E12" w:rsidRPr="007659C3" w:rsidRDefault="00FC1E12" w:rsidP="00FC1E12">
      <w:pPr>
        <w:tabs>
          <w:tab w:val="left" w:pos="7014"/>
        </w:tabs>
        <w:ind w:left="851" w:hanging="425"/>
        <w:jc w:val="both"/>
        <w:rPr>
          <w:rStyle w:val="Nessuno"/>
          <w:b/>
          <w:i/>
        </w:rPr>
      </w:pPr>
    </w:p>
    <w:p w14:paraId="264953DA" w14:textId="77777777" w:rsidR="00FC1E12" w:rsidRPr="007659C3" w:rsidRDefault="00FC1E12" w:rsidP="00FC1E12">
      <w:pPr>
        <w:tabs>
          <w:tab w:val="left" w:pos="7014"/>
        </w:tabs>
        <w:ind w:left="851" w:hanging="425"/>
        <w:jc w:val="both"/>
        <w:rPr>
          <w:rStyle w:val="Nessuno"/>
          <w:b/>
          <w:i/>
        </w:rPr>
      </w:pPr>
      <w:r>
        <w:rPr>
          <w:rStyle w:val="Nessuno"/>
          <w:b/>
          <w:i/>
        </w:rPr>
        <w:t>(b)</w:t>
      </w:r>
      <w:r>
        <w:rPr>
          <w:rStyle w:val="Nessuno"/>
          <w:b/>
          <w:i/>
        </w:rPr>
        <w:tab/>
        <w:t xml:space="preserve">koordinēt, organizēt un īstenot izmeklēšanas un operatīvās darbības, ko veic kopīgi ar dalībvalstu kompetentajām iestādēm vai kopējās izmeklēšanas grupās, vajadzības gadījumā saziņā ar </w:t>
      </w:r>
      <w:proofErr w:type="spellStart"/>
      <w:r>
        <w:rPr>
          <w:rStyle w:val="Nessuno"/>
          <w:b/>
          <w:i/>
        </w:rPr>
        <w:t>Eurojust</w:t>
      </w:r>
      <w:proofErr w:type="spellEnd"/>
      <w:r>
        <w:rPr>
          <w:rStyle w:val="Nessuno"/>
          <w:b/>
          <w:i/>
        </w:rPr>
        <w:t>.</w:t>
      </w:r>
    </w:p>
    <w:p w14:paraId="6622969A" w14:textId="77777777" w:rsidR="00FC1E12" w:rsidRPr="007659C3" w:rsidRDefault="00FC1E12" w:rsidP="00FC1E12">
      <w:pPr>
        <w:tabs>
          <w:tab w:val="left" w:pos="7014"/>
        </w:tabs>
        <w:jc w:val="both"/>
        <w:rPr>
          <w:rStyle w:val="Nessuno"/>
          <w:b/>
          <w:i/>
        </w:rPr>
      </w:pPr>
    </w:p>
    <w:p w14:paraId="57F88BED" w14:textId="77777777" w:rsidR="00FC1E12" w:rsidRPr="007659C3" w:rsidRDefault="00FC1E12" w:rsidP="00FC1E12">
      <w:pPr>
        <w:tabs>
          <w:tab w:val="left" w:pos="7014"/>
        </w:tabs>
        <w:ind w:left="426" w:hanging="426"/>
        <w:jc w:val="both"/>
        <w:rPr>
          <w:rStyle w:val="Nessuno"/>
          <w:b/>
          <w:i/>
        </w:rPr>
      </w:pPr>
      <w:r>
        <w:rPr>
          <w:rStyle w:val="Nessuno"/>
          <w:b/>
          <w:i/>
        </w:rPr>
        <w:tab/>
        <w:t>Šajās regulās nosaka arī kārtību Eiropola darbību pārraudzībai, ko Eiropas Parlaments veic kopā ar valstu parlamentiem.</w:t>
      </w:r>
    </w:p>
    <w:p w14:paraId="751CF835" w14:textId="77777777" w:rsidR="00FC1E12" w:rsidRPr="007659C3" w:rsidRDefault="00FC1E12" w:rsidP="00FC1E12">
      <w:pPr>
        <w:tabs>
          <w:tab w:val="left" w:pos="7014"/>
        </w:tabs>
        <w:jc w:val="both"/>
        <w:rPr>
          <w:rStyle w:val="Nessuno"/>
          <w:bCs/>
          <w:i/>
        </w:rPr>
      </w:pPr>
    </w:p>
    <w:p w14:paraId="736B05C8" w14:textId="77777777" w:rsidR="00FC1E12" w:rsidRPr="007659C3" w:rsidRDefault="00FC1E12" w:rsidP="00FC1E12">
      <w:pPr>
        <w:ind w:left="426" w:hanging="426"/>
        <w:jc w:val="both"/>
        <w:rPr>
          <w:rStyle w:val="Nessuno"/>
          <w:b/>
          <w:bCs/>
          <w:i/>
        </w:rPr>
      </w:pPr>
      <w:r>
        <w:rPr>
          <w:rStyle w:val="Nessuno"/>
          <w:i/>
        </w:rPr>
        <w:t>3.</w:t>
      </w:r>
      <w:r>
        <w:rPr>
          <w:rStyle w:val="Nessuno"/>
          <w:i/>
        </w:rPr>
        <w:tab/>
        <w:t>Jebkura rīcība Eiropolam jāveic, sazinoties un vienojoties ar to dalībvalstu iestādēm, uz kuru teritoriju šī rīcība attiecas. Piespiedu līdzekļu piemērošana ir vienīgi valstu kompetento iestāžu ziņā.</w:t>
      </w:r>
    </w:p>
    <w:p w14:paraId="6BC9C5A9" w14:textId="77777777" w:rsidR="00FC1E12" w:rsidRPr="007659C3" w:rsidRDefault="00FC1E12" w:rsidP="00FC1E12">
      <w:pPr>
        <w:jc w:val="both"/>
        <w:rPr>
          <w:rStyle w:val="Nessuno"/>
          <w:b/>
          <w:bCs/>
          <w:i/>
        </w:rPr>
      </w:pPr>
    </w:p>
    <w:p w14:paraId="36B0D5E9" w14:textId="77777777" w:rsidR="00FC1E12" w:rsidRPr="007659C3" w:rsidRDefault="00FC1E12" w:rsidP="00FC1E12">
      <w:pPr>
        <w:tabs>
          <w:tab w:val="left" w:pos="567"/>
          <w:tab w:val="left" w:pos="7014"/>
        </w:tabs>
        <w:ind w:left="397" w:hanging="397"/>
        <w:jc w:val="both"/>
        <w:rPr>
          <w:rStyle w:val="Nessuno"/>
          <w:bCs/>
          <w:i/>
        </w:rPr>
      </w:pPr>
    </w:p>
    <w:p w14:paraId="390B2CAD" w14:textId="77777777" w:rsidR="00FC1E12" w:rsidRPr="007659C3" w:rsidRDefault="00FC1E12" w:rsidP="00FC1E12">
      <w:pPr>
        <w:spacing w:after="240"/>
        <w:jc w:val="both"/>
        <w:rPr>
          <w:b/>
          <w:u w:val="single"/>
        </w:rPr>
      </w:pPr>
      <w:r>
        <w:rPr>
          <w:b/>
          <w:u w:val="single"/>
        </w:rPr>
        <w:t>III – EST judikatūra par juridiskā pamata izvēli</w:t>
      </w:r>
    </w:p>
    <w:p w14:paraId="7CBDCB4D" w14:textId="77777777" w:rsidR="00FC1E12" w:rsidRPr="007659C3" w:rsidRDefault="00FC1E12" w:rsidP="006A4CE5">
      <w:pPr>
        <w:pStyle w:val="Point123"/>
        <w:numPr>
          <w:ilvl w:val="0"/>
          <w:numId w:val="0"/>
        </w:numPr>
        <w:spacing w:before="0" w:after="0" w:line="240" w:lineRule="auto"/>
        <w:rPr>
          <w:color w:val="000000" w:themeColor="text1"/>
        </w:rPr>
      </w:pPr>
      <w:r>
        <w:rPr>
          <w:color w:val="000000" w:themeColor="text1"/>
        </w:rPr>
        <w:t>Jautājumu par pareizo juridisko pamatu Tiesa tradicionāli ir uzskatījusi par konstitucionālas nozīmes jautājumu, kas nodrošina kompetences piešķiršanas principa (Līguma par Eiropas Savienību 5. pants) ievērošanu un nosaka Savienības kompetences būtību un darbības jomu</w:t>
      </w:r>
      <w:r w:rsidRPr="007659C3">
        <w:rPr>
          <w:color w:val="000000" w:themeColor="text1"/>
          <w:vertAlign w:val="superscript"/>
        </w:rPr>
        <w:footnoteReference w:id="2"/>
      </w:r>
      <w:r>
        <w:rPr>
          <w:color w:val="000000" w:themeColor="text1"/>
        </w:rPr>
        <w:t>.</w:t>
      </w:r>
    </w:p>
    <w:p w14:paraId="182D3CBD" w14:textId="77777777" w:rsidR="00FC1E12" w:rsidRPr="007659C3" w:rsidRDefault="00FC1E12" w:rsidP="00FC1E12">
      <w:pPr>
        <w:pStyle w:val="Point123"/>
        <w:numPr>
          <w:ilvl w:val="0"/>
          <w:numId w:val="0"/>
        </w:numPr>
        <w:spacing w:before="0" w:after="0" w:line="240" w:lineRule="auto"/>
        <w:jc w:val="both"/>
        <w:rPr>
          <w:color w:val="000000" w:themeColor="text1"/>
        </w:rPr>
      </w:pPr>
    </w:p>
    <w:p w14:paraId="1A7FEA91" w14:textId="77777777" w:rsidR="00FC1E12" w:rsidRPr="007659C3" w:rsidRDefault="00FC1E12" w:rsidP="006A4CE5">
      <w:pPr>
        <w:pStyle w:val="Point123"/>
        <w:numPr>
          <w:ilvl w:val="0"/>
          <w:numId w:val="0"/>
        </w:numPr>
        <w:spacing w:before="0" w:after="0" w:line="240" w:lineRule="auto"/>
        <w:rPr>
          <w:color w:val="000000" w:themeColor="text1"/>
          <w:vertAlign w:val="superscript"/>
        </w:rPr>
      </w:pPr>
      <w:r>
        <w:rPr>
          <w:color w:val="000000" w:themeColor="text1"/>
        </w:rPr>
        <w:t>Saskaņā ar iedibināto judikatūru Savienības akta juridiskais pamats nav atkarīgs no iestādes pārliecības par sasniedzamo mērķi, bet ir jānosaka, balstoties uz objektīviem un tiesā pārbaudāmiem kritērijiem, tostarp jo īpaši uz pasākuma mērķi un saturu</w:t>
      </w:r>
      <w:r w:rsidRPr="007659C3">
        <w:rPr>
          <w:color w:val="000000" w:themeColor="text1"/>
          <w:vertAlign w:val="superscript"/>
        </w:rPr>
        <w:footnoteReference w:id="3"/>
      </w:r>
      <w:r>
        <w:rPr>
          <w:color w:val="000000" w:themeColor="text1"/>
        </w:rPr>
        <w:t>.</w:t>
      </w:r>
      <w:r>
        <w:rPr>
          <w:color w:val="000000" w:themeColor="text1"/>
          <w:vertAlign w:val="superscript"/>
        </w:rPr>
        <w:t xml:space="preserve"> </w:t>
      </w:r>
    </w:p>
    <w:p w14:paraId="3856703A" w14:textId="77777777" w:rsidR="00FC1E12" w:rsidRPr="007659C3" w:rsidRDefault="00FC1E12" w:rsidP="00FC1E12">
      <w:pPr>
        <w:pStyle w:val="Point123"/>
        <w:numPr>
          <w:ilvl w:val="0"/>
          <w:numId w:val="0"/>
        </w:numPr>
        <w:spacing w:before="0" w:after="0" w:line="240" w:lineRule="auto"/>
        <w:jc w:val="both"/>
        <w:rPr>
          <w:color w:val="000000" w:themeColor="text1"/>
          <w:vertAlign w:val="superscript"/>
        </w:rPr>
      </w:pPr>
    </w:p>
    <w:p w14:paraId="671C39B5" w14:textId="77777777" w:rsidR="00FC1E12" w:rsidRPr="007659C3" w:rsidRDefault="00FC1E12" w:rsidP="006A4CE5">
      <w:pPr>
        <w:pStyle w:val="Point123"/>
        <w:numPr>
          <w:ilvl w:val="0"/>
          <w:numId w:val="0"/>
        </w:numPr>
        <w:tabs>
          <w:tab w:val="left" w:pos="720"/>
        </w:tabs>
        <w:spacing w:before="0" w:after="0" w:line="240" w:lineRule="auto"/>
      </w:pPr>
      <w:r>
        <w:rPr>
          <w:color w:val="000000" w:themeColor="text1"/>
        </w:rPr>
        <w:t>Ja normatīvā akta pārbaudē tiek atklāts, ka tam ir divi mērķi vai divas sastāvdaļas, un ja vienu no tiem var identificēt kā galveno vai dominējošo mērķi vai sastāvdaļu, bet otram ir tikai pakārtots raksturs, tad minētais akts ir jābalsta tikai uz vienu juridisko pamatu, proti, to, kurš izriet no galvenā vai dominējošā mērķa vai sastāvdaļas</w:t>
      </w:r>
      <w:r w:rsidRPr="007659C3">
        <w:rPr>
          <w:color w:val="000000" w:themeColor="text1"/>
          <w:vertAlign w:val="superscript"/>
        </w:rPr>
        <w:footnoteReference w:id="4"/>
      </w:r>
      <w:r>
        <w:rPr>
          <w:color w:val="000000" w:themeColor="text1"/>
        </w:rPr>
        <w:t>. Vienīgi tad, ja tiek konstatēts, ka tiesību aktam vienlaicīgi ir vairāki mērķi, kas ir nesaraujami saistīti, un neviens no tiem nav pakārtots un netiešs attiecībā uz citiem, šādam tiesību aktam izņēmuma kārtā var būt vairāki attiecīgi juridiskie pamati</w:t>
      </w:r>
      <w:r w:rsidRPr="007659C3">
        <w:rPr>
          <w:color w:val="000000" w:themeColor="text1"/>
          <w:vertAlign w:val="superscript"/>
        </w:rPr>
        <w:footnoteReference w:id="5"/>
      </w:r>
      <w:r>
        <w:rPr>
          <w:color w:val="000000" w:themeColor="text1"/>
        </w:rPr>
        <w:t>. Tomēr tas būtu iespējams tikai tad, ja procedūras, kas ir paredzētas attiecīgajiem juridiskajiem pamatiem, nav nesaderīgas un neapdraud Eiropas Parlamenta tiesības</w:t>
      </w:r>
      <w:r w:rsidRPr="007659C3">
        <w:rPr>
          <w:color w:val="000000" w:themeColor="text1"/>
          <w:vertAlign w:val="superscript"/>
        </w:rPr>
        <w:footnoteReference w:id="6"/>
      </w:r>
      <w:r>
        <w:rPr>
          <w:color w:val="000000" w:themeColor="text1"/>
        </w:rPr>
        <w:t>.</w:t>
      </w:r>
    </w:p>
    <w:p w14:paraId="40DED063" w14:textId="77777777" w:rsidR="00FC1E12" w:rsidRPr="007659C3" w:rsidRDefault="00FC1E12" w:rsidP="00FC1E12">
      <w:pPr>
        <w:spacing w:after="240"/>
        <w:ind w:left="567" w:hanging="567"/>
        <w:jc w:val="both"/>
        <w:rPr>
          <w:b/>
          <w:u w:val="single"/>
        </w:rPr>
      </w:pPr>
    </w:p>
    <w:p w14:paraId="3EED3491" w14:textId="77777777" w:rsidR="00FC1E12" w:rsidRPr="007659C3" w:rsidRDefault="00FC1E12" w:rsidP="00FC1E12">
      <w:pPr>
        <w:spacing w:after="240"/>
        <w:ind w:left="567" w:hanging="567"/>
        <w:jc w:val="both"/>
      </w:pPr>
      <w:r>
        <w:rPr>
          <w:b/>
          <w:u w:val="single"/>
        </w:rPr>
        <w:t>IV – Ierosinātās Regulas mērķis un saturs</w:t>
      </w:r>
    </w:p>
    <w:p w14:paraId="2D0666E8" w14:textId="77777777" w:rsidR="00FC1E12" w:rsidRPr="007659C3" w:rsidRDefault="00FC1E12" w:rsidP="00F30938">
      <w:r>
        <w:t>Kā ir ierosinājusi Komisija, ierosinātās Regulas mērķis bija stiprināt Eiropola lomu cīņā pret migrantu kontrabandu un cilvēku tirdzniecību un Eiropas Migrantu kontrabandas apkarošanas centra lomu, kā arī stiprināt sadarbību starp dalībvalstīm un Eiropolu migrantu kontrabandas un cilvēku tirdzniecības novēršanā un apkarošanā.</w:t>
      </w:r>
    </w:p>
    <w:p w14:paraId="69A6B004" w14:textId="77777777" w:rsidR="00FC1E12" w:rsidRPr="007659C3" w:rsidRDefault="00FC1E12" w:rsidP="00FC1E12">
      <w:pPr>
        <w:jc w:val="both"/>
      </w:pPr>
    </w:p>
    <w:p w14:paraId="3ABB6C36" w14:textId="77777777" w:rsidR="00FC1E12" w:rsidRPr="007659C3" w:rsidRDefault="00FC1E12" w:rsidP="00F30938">
      <w:pPr>
        <w:spacing w:line="257" w:lineRule="auto"/>
      </w:pPr>
      <w:r>
        <w:t>Lai sasniegtu šos mērķus, Komisija ierosināja paredzēt noteikumus par: (a) Eiropas Migrantu kontrabandas apkarošanas centra (Centrs) un pārvaldības sistēmas izveidi Eiropola ietvaros, lai reglamentētu un atbalstītu tā darbības; (b) sadarbības un koordinācijas starp dalībvalstīm, Eiropolu un citām Savienības aģentūrām uzlabošanu; (c) informācijas apmaiņas starp dalībvalstīm un Eiropolu uzlabošanu; (d) Eiropolam nepieciešamo rīku nodrošināšanu, lai atbalstītu un stiprinātu dalībvalstu kompetento iestāžu darbības un savstarpējo sadarbību tādu noziedzīgu nodarījumu novēršanā un apkarošanā, cīņa pret kuriem ietilpst Eiropola mērķu darbības jomā; (e) Eiropola un trešo valstu sadarbības uzlabošanu.</w:t>
      </w:r>
    </w:p>
    <w:p w14:paraId="43331687" w14:textId="77777777" w:rsidR="00FC1E12" w:rsidRPr="007659C3" w:rsidRDefault="00FC1E12" w:rsidP="00FC1E12">
      <w:pPr>
        <w:autoSpaceDE w:val="0"/>
        <w:autoSpaceDN w:val="0"/>
        <w:adjustRightInd w:val="0"/>
        <w:jc w:val="both"/>
      </w:pPr>
    </w:p>
    <w:p w14:paraId="19F41AC1" w14:textId="77777777" w:rsidR="00FC1E12" w:rsidRPr="007659C3" w:rsidRDefault="00FC1E12" w:rsidP="00F30938">
      <w:pPr>
        <w:autoSpaceDE w:val="0"/>
        <w:autoSpaceDN w:val="0"/>
        <w:adjustRightInd w:val="0"/>
      </w:pPr>
      <w:r>
        <w:t>Šajā nolūkā ierosināto Regulu sākotnēji veidoja, no vienas puses, “patstāvīga regula”, ar kuru Centru izveido Eiropola ietvaros un paredz sīki izstrādātus noteikumus par tā komplektāciju un uzdevumiem, kā arī noteikumi par informācijas apmaiņu un valstu specializētiem dienestiem, kas būtu paredzēti migrantu kontrabandas un cilvēku tirdzniecības novēršanai un apkarošanai. No otras puses, tajā tika ietverti grozījumi Eiropola regulā.</w:t>
      </w:r>
    </w:p>
    <w:p w14:paraId="44B30C32" w14:textId="77777777" w:rsidR="00FC1E12" w:rsidRPr="007659C3" w:rsidRDefault="00FC1E12" w:rsidP="00FC1E12">
      <w:pPr>
        <w:autoSpaceDE w:val="0"/>
        <w:autoSpaceDN w:val="0"/>
        <w:adjustRightInd w:val="0"/>
        <w:jc w:val="both"/>
      </w:pPr>
    </w:p>
    <w:p w14:paraId="23E7A8D7" w14:textId="77777777" w:rsidR="00FC1E12" w:rsidRPr="007659C3" w:rsidRDefault="00FC1E12" w:rsidP="00F30938">
      <w:r>
        <w:t xml:space="preserve">Iestāžu sarunās saskaņā ar attiecīgajām Parlamenta un Padomes pilnvarām tika panākta vienošanās svītrot ierosinātās Regulas tās daļas, kuras izstrādāja, lai izveidotu “patstāvīgu regulu” un pārveidotu to tikai par aktu, ar ko groza Eiropola regulu. </w:t>
      </w:r>
    </w:p>
    <w:p w14:paraId="09450F4F" w14:textId="77777777" w:rsidR="00FC1E12" w:rsidRPr="007659C3" w:rsidRDefault="00FC1E12" w:rsidP="00FC1E12">
      <w:pPr>
        <w:autoSpaceDE w:val="0"/>
        <w:autoSpaceDN w:val="0"/>
        <w:adjustRightInd w:val="0"/>
        <w:jc w:val="both"/>
      </w:pPr>
    </w:p>
    <w:p w14:paraId="3968FCF3" w14:textId="77777777" w:rsidR="00FC1E12" w:rsidRPr="007659C3" w:rsidRDefault="00FC1E12" w:rsidP="00F30938">
      <w:pPr>
        <w:pStyle w:val="Point123"/>
        <w:numPr>
          <w:ilvl w:val="0"/>
          <w:numId w:val="0"/>
        </w:numPr>
        <w:tabs>
          <w:tab w:val="left" w:pos="720"/>
        </w:tabs>
        <w:spacing w:before="0" w:after="0" w:line="240" w:lineRule="auto"/>
      </w:pPr>
      <w:r>
        <w:t>Tādējādi ierosinātā Regula, ko grozījuši ir abi likumdevēji, attiecas tikai uz Eiropola struktūru, darbību, darbības jomu un uzdevumiem. Tās ierosinātās Regulas galvenie mērķi, kas ir grozīta un par ko provizoriski ir vienojušies likumdevēji, tagad ir šādi: spēcināt Eiropolu, lai stiprinātu tiesībaizsardzības iestāžu reakciju uz migrantu kontrabandu un cilvēku tirdzniecību, kā arī vairot Eiropola kā Savienības kriminālās informācijas centra un pakalpojumu sniedzēja lomu, jo īpaši, nodrošinot drošu datu apmaiņas tīklu, piemēram, drošas informācijas apmaiņas tīkla lietojumprogrammu, nodrošināt, lai dalībvalstis apmainītos ar informāciju ar Eiropolu, un precizēt, ka Eiropola mērķi nepārprotami attiecas arī uz Savienības ierobežojošo pasākumu pārkāpumiem.</w:t>
      </w:r>
    </w:p>
    <w:p w14:paraId="0BBCD969" w14:textId="77777777" w:rsidR="00FC1E12" w:rsidRPr="007659C3" w:rsidRDefault="00FC1E12" w:rsidP="00FC1E12">
      <w:pPr>
        <w:jc w:val="both"/>
        <w:rPr>
          <w:b/>
          <w:u w:val="single"/>
        </w:rPr>
      </w:pPr>
    </w:p>
    <w:p w14:paraId="66ED5088" w14:textId="77777777" w:rsidR="00FC1E12" w:rsidRPr="007659C3" w:rsidRDefault="00FC1E12" w:rsidP="00FC1E12">
      <w:pPr>
        <w:spacing w:after="240"/>
        <w:jc w:val="both"/>
        <w:rPr>
          <w:b/>
          <w:u w:val="single"/>
        </w:rPr>
      </w:pPr>
      <w:r>
        <w:rPr>
          <w:b/>
          <w:u w:val="single"/>
        </w:rPr>
        <w:t xml:space="preserve">V – Analīze </w:t>
      </w:r>
    </w:p>
    <w:p w14:paraId="393764DF" w14:textId="77777777" w:rsidR="00FC1E12" w:rsidRPr="007659C3" w:rsidRDefault="00FC1E12" w:rsidP="00F30938">
      <w:r>
        <w:t>No iepriekš minētā un tās ierosinātās Regulas apsvērumu regulatīvās daļas normu izpētes, par ko provizoriski ir vienojušies likumdevēji, izriet, ka minētais normatīvais akts ir samazināts, lai faktiski saturētu tikai Eiropola regulas grozījumus. Tādēļ tās mērķis un saturs tagad attiecas tikai uz Eiropola struktūru, darbību, darbības jomu un uzdevumiem.</w:t>
      </w:r>
    </w:p>
    <w:p w14:paraId="1D259555" w14:textId="77777777" w:rsidR="00FC1E12" w:rsidRPr="007659C3" w:rsidRDefault="00FC1E12" w:rsidP="00FC1E12">
      <w:pPr>
        <w:jc w:val="both"/>
      </w:pPr>
    </w:p>
    <w:p w14:paraId="45DE9AF2" w14:textId="77777777" w:rsidR="00FC1E12" w:rsidRPr="007659C3" w:rsidRDefault="00FC1E12" w:rsidP="00F30938">
      <w:r>
        <w:t>Saskaņā ar LESD 88. panta 2. punktu Parlaments un Padome nosaka Eiropola struktūru, darbību, darbības sfēru un uzdevumus, proti, pieņem regulas saskaņā ar parasto likumdošanas procedūru.</w:t>
      </w:r>
    </w:p>
    <w:p w14:paraId="07EB112E" w14:textId="77777777" w:rsidR="00FC1E12" w:rsidRPr="007659C3" w:rsidRDefault="00FC1E12" w:rsidP="00FC1E12">
      <w:pPr>
        <w:jc w:val="both"/>
      </w:pPr>
    </w:p>
    <w:p w14:paraId="5FFECE54" w14:textId="77777777" w:rsidR="00FC1E12" w:rsidRPr="007659C3" w:rsidRDefault="00FC1E12" w:rsidP="00F30938">
      <w:pPr>
        <w:pStyle w:val="Point123"/>
        <w:numPr>
          <w:ilvl w:val="0"/>
          <w:numId w:val="0"/>
        </w:numPr>
        <w:tabs>
          <w:tab w:val="left" w:pos="720"/>
        </w:tabs>
        <w:spacing w:before="0" w:after="0" w:line="240" w:lineRule="auto"/>
      </w:pPr>
      <w:r>
        <w:t>Tādējādi saskaņā ar iepriekš minēto Tiesas iedibināto judikatūru tiesību aktam ir jābūt balstītam uz vienu juridisko pamatu, proti, to, kas izriet no tā galvenā mērķa vai sastāvdaļas.</w:t>
      </w:r>
    </w:p>
    <w:p w14:paraId="4D3E4455" w14:textId="77777777" w:rsidR="00FC1E12" w:rsidRPr="007659C3" w:rsidRDefault="00FC1E12" w:rsidP="00FC1E12">
      <w:pPr>
        <w:jc w:val="both"/>
        <w:rPr>
          <w:b/>
          <w:u w:val="single"/>
        </w:rPr>
      </w:pPr>
    </w:p>
    <w:p w14:paraId="68D04638" w14:textId="77777777" w:rsidR="00FC1E12" w:rsidRPr="007659C3" w:rsidRDefault="00FC1E12" w:rsidP="00FC1E12">
      <w:pPr>
        <w:spacing w:after="240"/>
        <w:jc w:val="both"/>
        <w:rPr>
          <w:b/>
          <w:u w:val="single"/>
        </w:rPr>
      </w:pPr>
      <w:r>
        <w:rPr>
          <w:b/>
          <w:u w:val="single"/>
        </w:rPr>
        <w:t>VI – Secinājums un ieteikums</w:t>
      </w:r>
    </w:p>
    <w:p w14:paraId="1922CE47" w14:textId="77777777" w:rsidR="007179A7" w:rsidRPr="007659C3" w:rsidRDefault="00FC1E12" w:rsidP="00FC1E12">
      <w:pPr>
        <w:pStyle w:val="Normal12a"/>
      </w:pPr>
      <w:r>
        <w:t>Juridiskā komiteja 2025. gada 13. oktobra sanāksmē vienbalsīgi (ar 25 balsīm “par”)</w:t>
      </w:r>
      <w:r w:rsidRPr="007659C3">
        <w:rPr>
          <w:vertAlign w:val="superscript"/>
        </w:rPr>
        <w:footnoteReference w:id="7"/>
      </w:r>
      <w:r>
        <w:t xml:space="preserve"> attiecīgi nolēma Pilsoņu brīvību, tieslietu un </w:t>
      </w:r>
      <w:proofErr w:type="spellStart"/>
      <w:r>
        <w:t>iekšlietu</w:t>
      </w:r>
      <w:proofErr w:type="spellEnd"/>
      <w:r>
        <w:t xml:space="preserve"> komitejai ieteikt LESD 88. panta 2. punktu uzskatīt par vienīgo piemēroto tās ierosinātās Regulas juridisko pamatu, kuru abi likumdevēji ir grozījuši un par kuru provizoriski ir vienojušies iestāžu sarunās.</w:t>
      </w:r>
    </w:p>
    <w:p w14:paraId="67503DE7" w14:textId="77777777" w:rsidR="007179A7" w:rsidRPr="007659C3" w:rsidRDefault="005C4B56" w:rsidP="00A04228">
      <w:pPr>
        <w:pStyle w:val="Normal12a"/>
      </w:pPr>
      <w:r>
        <w:t>Ar cieņu</w:t>
      </w:r>
    </w:p>
    <w:p w14:paraId="0C63A508" w14:textId="77777777" w:rsidR="007179A7" w:rsidRPr="007659C3" w:rsidRDefault="00324EAF">
      <w:pPr>
        <w:pStyle w:val="LetterSignature66b"/>
      </w:pPr>
      <w:proofErr w:type="spellStart"/>
      <w:r>
        <w:t>Ilhan</w:t>
      </w:r>
      <w:proofErr w:type="spellEnd"/>
      <w:r>
        <w:t xml:space="preserve"> </w:t>
      </w:r>
      <w:proofErr w:type="spellStart"/>
      <w:r>
        <w:t>Kyuchyuk</w:t>
      </w:r>
      <w:proofErr w:type="spellEnd"/>
    </w:p>
    <w:p w14:paraId="65BEDCC6" w14:textId="77777777" w:rsidR="009D564F" w:rsidRPr="007659C3" w:rsidRDefault="009D564F" w:rsidP="00332170">
      <w:pPr>
        <w:widowControl/>
      </w:pPr>
    </w:p>
    <w:sectPr w:rsidR="009D564F" w:rsidRPr="007659C3" w:rsidSect="00700F6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9DAB5" w14:textId="77777777" w:rsidR="005C4B56" w:rsidRPr="007659C3" w:rsidRDefault="005C4B56">
      <w:r w:rsidRPr="007659C3">
        <w:separator/>
      </w:r>
    </w:p>
  </w:endnote>
  <w:endnote w:type="continuationSeparator" w:id="0">
    <w:p w14:paraId="7D62F361" w14:textId="77777777" w:rsidR="005C4B56" w:rsidRPr="007659C3" w:rsidRDefault="005C4B56">
      <w:r w:rsidRPr="00765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93A63" w14:textId="77777777" w:rsidR="00700F6D" w:rsidRPr="007659C3" w:rsidRDefault="00700F6D" w:rsidP="00700F6D">
    <w:pPr>
      <w:pStyle w:val="EPFooter"/>
    </w:pPr>
    <w:r w:rsidRPr="007659C3">
      <w:t>PE</w:t>
    </w:r>
    <w:r w:rsidRPr="007659C3">
      <w:rPr>
        <w:rStyle w:val="HideTWBExt"/>
      </w:rPr>
      <w:t>&lt;</w:t>
    </w:r>
    <w:proofErr w:type="spellStart"/>
    <w:r w:rsidRPr="007659C3">
      <w:rPr>
        <w:rStyle w:val="HideTWBExt"/>
      </w:rPr>
      <w:t>NoPE</w:t>
    </w:r>
    <w:proofErr w:type="spellEnd"/>
    <w:r w:rsidRPr="007659C3">
      <w:rPr>
        <w:rStyle w:val="HideTWBExt"/>
      </w:rPr>
      <w:t>&gt;</w:t>
    </w:r>
    <w:r w:rsidRPr="007659C3">
      <w:t>778.317</w:t>
    </w:r>
    <w:r w:rsidRPr="007659C3">
      <w:rPr>
        <w:rStyle w:val="HideTWBExt"/>
      </w:rPr>
      <w:t>&lt;/</w:t>
    </w:r>
    <w:proofErr w:type="spellStart"/>
    <w:r w:rsidRPr="007659C3">
      <w:rPr>
        <w:rStyle w:val="HideTWBExt"/>
      </w:rPr>
      <w:t>NoPE</w:t>
    </w:r>
    <w:proofErr w:type="spellEnd"/>
    <w:r w:rsidRPr="007659C3">
      <w:rPr>
        <w:rStyle w:val="HideTWBExt"/>
      </w:rPr>
      <w:t>&gt;&lt;Version&gt;</w:t>
    </w:r>
    <w:r w:rsidRPr="007659C3">
      <w:t>v02-00</w:t>
    </w:r>
    <w:r w:rsidRPr="007659C3">
      <w:rPr>
        <w:rStyle w:val="HideTWBExt"/>
      </w:rPr>
      <w:t>&lt;/</w:t>
    </w:r>
    <w:proofErr w:type="spellStart"/>
    <w:r w:rsidRPr="007659C3">
      <w:rPr>
        <w:rStyle w:val="HideTWBExt"/>
      </w:rPr>
      <w:t>Version</w:t>
    </w:r>
    <w:proofErr w:type="spellEnd"/>
    <w:r w:rsidRPr="007659C3">
      <w:rPr>
        <w:rStyle w:val="HideTWBExt"/>
      </w:rPr>
      <w:t>&gt;</w:t>
    </w:r>
    <w:r w:rsidRPr="007659C3">
      <w:tab/>
    </w:r>
    <w:r w:rsidRPr="007659C3">
      <w:fldChar w:fldCharType="begin"/>
    </w:r>
    <w:r w:rsidRPr="007659C3">
      <w:instrText xml:space="preserve"> PAGE  \* MERGEFORMAT </w:instrText>
    </w:r>
    <w:r w:rsidRPr="007659C3">
      <w:fldChar w:fldCharType="separate"/>
    </w:r>
    <w:r w:rsidRPr="007659C3">
      <w:rPr>
        <w:noProof/>
      </w:rPr>
      <w:t>2</w:t>
    </w:r>
    <w:r w:rsidRPr="007659C3">
      <w:fldChar w:fldCharType="end"/>
    </w:r>
    <w:r w:rsidRPr="007659C3">
      <w:t>/</w:t>
    </w:r>
    <w:r w:rsidR="00657A15">
      <w:fldChar w:fldCharType="begin"/>
    </w:r>
    <w:r w:rsidR="00657A15">
      <w:instrText xml:space="preserve"> NUMPAGES  \* MERGEFORMAT </w:instrText>
    </w:r>
    <w:r w:rsidR="00657A15">
      <w:fldChar w:fldCharType="separate"/>
    </w:r>
    <w:r w:rsidRPr="007659C3">
      <w:rPr>
        <w:noProof/>
      </w:rPr>
      <w:t>6</w:t>
    </w:r>
    <w:r w:rsidR="00657A15">
      <w:rPr>
        <w:noProof/>
      </w:rPr>
      <w:fldChar w:fldCharType="end"/>
    </w:r>
    <w:r w:rsidRPr="007659C3">
      <w:tab/>
    </w:r>
    <w:r w:rsidRPr="007659C3">
      <w:rPr>
        <w:rStyle w:val="HideTWBExt"/>
      </w:rPr>
      <w:t>&lt;PathFdR&gt;</w:t>
    </w:r>
    <w:r w:rsidRPr="007659C3">
      <w:t>AL\1330969LV.docx</w:t>
    </w:r>
    <w:r w:rsidRPr="007659C3">
      <w:rPr>
        <w:rStyle w:val="HideTWBExt"/>
      </w:rPr>
      <w:t>&lt;/</w:t>
    </w:r>
    <w:proofErr w:type="spellStart"/>
    <w:r w:rsidRPr="007659C3">
      <w:rPr>
        <w:rStyle w:val="HideTWBExt"/>
      </w:rPr>
      <w:t>PathFdR</w:t>
    </w:r>
    <w:proofErr w:type="spellEnd"/>
    <w:r w:rsidRPr="007659C3">
      <w:rPr>
        <w:rStyle w:val="HideTWBExt"/>
      </w:rPr>
      <w:t>&gt;</w:t>
    </w:r>
  </w:p>
  <w:p w14:paraId="0EE110B0" w14:textId="18EE833B" w:rsidR="00000C7D" w:rsidRPr="007659C3" w:rsidRDefault="00700F6D" w:rsidP="00700F6D">
    <w:pPr>
      <w:pStyle w:val="EPFooter2"/>
    </w:pPr>
    <w:r w:rsidRPr="007659C3">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6AFB3" w14:textId="77777777" w:rsidR="00700F6D" w:rsidRPr="007659C3" w:rsidRDefault="00700F6D" w:rsidP="00700F6D">
    <w:pPr>
      <w:pStyle w:val="EPFooter"/>
    </w:pPr>
    <w:r w:rsidRPr="007659C3">
      <w:rPr>
        <w:rStyle w:val="HideTWBExt"/>
      </w:rPr>
      <w:t>&lt;PathFdR&gt;</w:t>
    </w:r>
    <w:r w:rsidRPr="007659C3">
      <w:t>AL\1330969LV.docx</w:t>
    </w:r>
    <w:r w:rsidRPr="007659C3">
      <w:rPr>
        <w:rStyle w:val="HideTWBExt"/>
      </w:rPr>
      <w:t>&lt;/</w:t>
    </w:r>
    <w:proofErr w:type="spellStart"/>
    <w:r w:rsidRPr="007659C3">
      <w:rPr>
        <w:rStyle w:val="HideTWBExt"/>
      </w:rPr>
      <w:t>PathFdR</w:t>
    </w:r>
    <w:proofErr w:type="spellEnd"/>
    <w:r w:rsidRPr="007659C3">
      <w:rPr>
        <w:rStyle w:val="HideTWBExt"/>
      </w:rPr>
      <w:t>&gt;</w:t>
    </w:r>
    <w:r w:rsidRPr="007659C3">
      <w:tab/>
    </w:r>
    <w:r w:rsidRPr="007659C3">
      <w:fldChar w:fldCharType="begin"/>
    </w:r>
    <w:r w:rsidRPr="007659C3">
      <w:instrText xml:space="preserve"> PAGE  \* MERGEFORMAT </w:instrText>
    </w:r>
    <w:r w:rsidRPr="007659C3">
      <w:fldChar w:fldCharType="separate"/>
    </w:r>
    <w:r w:rsidRPr="007659C3">
      <w:rPr>
        <w:noProof/>
      </w:rPr>
      <w:t>5</w:t>
    </w:r>
    <w:r w:rsidRPr="007659C3">
      <w:fldChar w:fldCharType="end"/>
    </w:r>
    <w:r w:rsidRPr="007659C3">
      <w:t>/</w:t>
    </w:r>
    <w:r w:rsidR="00657A15">
      <w:fldChar w:fldCharType="begin"/>
    </w:r>
    <w:r w:rsidR="00657A15">
      <w:instrText xml:space="preserve"> NUMPAGES  \* MERGEFORMAT </w:instrText>
    </w:r>
    <w:r w:rsidR="00657A15">
      <w:fldChar w:fldCharType="separate"/>
    </w:r>
    <w:r w:rsidRPr="007659C3">
      <w:rPr>
        <w:noProof/>
      </w:rPr>
      <w:t>6</w:t>
    </w:r>
    <w:r w:rsidR="00657A15">
      <w:rPr>
        <w:noProof/>
      </w:rPr>
      <w:fldChar w:fldCharType="end"/>
    </w:r>
    <w:r w:rsidRPr="007659C3">
      <w:tab/>
      <w:t>PE</w:t>
    </w:r>
    <w:r w:rsidRPr="007659C3">
      <w:rPr>
        <w:rStyle w:val="HideTWBExt"/>
      </w:rPr>
      <w:t>&lt;</w:t>
    </w:r>
    <w:proofErr w:type="spellStart"/>
    <w:r w:rsidRPr="007659C3">
      <w:rPr>
        <w:rStyle w:val="HideTWBExt"/>
      </w:rPr>
      <w:t>NoPE</w:t>
    </w:r>
    <w:proofErr w:type="spellEnd"/>
    <w:r w:rsidRPr="007659C3">
      <w:rPr>
        <w:rStyle w:val="HideTWBExt"/>
      </w:rPr>
      <w:t>&gt;</w:t>
    </w:r>
    <w:r w:rsidRPr="007659C3">
      <w:t>778.317</w:t>
    </w:r>
    <w:r w:rsidRPr="007659C3">
      <w:rPr>
        <w:rStyle w:val="HideTWBExt"/>
      </w:rPr>
      <w:t>&lt;/</w:t>
    </w:r>
    <w:proofErr w:type="spellStart"/>
    <w:r w:rsidRPr="007659C3">
      <w:rPr>
        <w:rStyle w:val="HideTWBExt"/>
      </w:rPr>
      <w:t>NoPE</w:t>
    </w:r>
    <w:proofErr w:type="spellEnd"/>
    <w:r w:rsidRPr="007659C3">
      <w:rPr>
        <w:rStyle w:val="HideTWBExt"/>
      </w:rPr>
      <w:t>&gt;&lt;Version&gt;</w:t>
    </w:r>
    <w:r w:rsidRPr="007659C3">
      <w:t>v02-00</w:t>
    </w:r>
    <w:r w:rsidRPr="007659C3">
      <w:rPr>
        <w:rStyle w:val="HideTWBExt"/>
      </w:rPr>
      <w:t>&lt;/</w:t>
    </w:r>
    <w:proofErr w:type="spellStart"/>
    <w:r w:rsidRPr="007659C3">
      <w:rPr>
        <w:rStyle w:val="HideTWBExt"/>
      </w:rPr>
      <w:t>Version</w:t>
    </w:r>
    <w:proofErr w:type="spellEnd"/>
    <w:r w:rsidRPr="007659C3">
      <w:rPr>
        <w:rStyle w:val="HideTWBExt"/>
      </w:rPr>
      <w:t>&gt;</w:t>
    </w:r>
  </w:p>
  <w:p w14:paraId="16AECA74" w14:textId="2E460331" w:rsidR="00000C7D" w:rsidRPr="007659C3" w:rsidRDefault="00700F6D" w:rsidP="00700F6D">
    <w:pPr>
      <w:pStyle w:val="EPFooter2"/>
    </w:pPr>
    <w:r w:rsidRPr="007659C3">
      <w:tab/>
    </w:r>
    <w:r w:rsidRPr="007659C3">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D2B8F" w14:textId="77777777" w:rsidR="00700F6D" w:rsidRPr="007659C3" w:rsidRDefault="00700F6D" w:rsidP="00700F6D">
    <w:pPr>
      <w:pStyle w:val="EPFooter"/>
    </w:pPr>
    <w:r w:rsidRPr="007659C3">
      <w:rPr>
        <w:rStyle w:val="HideTWBExt"/>
      </w:rPr>
      <w:t>&lt;PathFdR&gt;</w:t>
    </w:r>
    <w:r w:rsidRPr="007659C3">
      <w:t>AL\1330969LV.docx</w:t>
    </w:r>
    <w:r w:rsidRPr="007659C3">
      <w:rPr>
        <w:rStyle w:val="HideTWBExt"/>
      </w:rPr>
      <w:t>&lt;/</w:t>
    </w:r>
    <w:proofErr w:type="spellStart"/>
    <w:r w:rsidRPr="007659C3">
      <w:rPr>
        <w:rStyle w:val="HideTWBExt"/>
      </w:rPr>
      <w:t>PathFdR</w:t>
    </w:r>
    <w:proofErr w:type="spellEnd"/>
    <w:r w:rsidRPr="007659C3">
      <w:rPr>
        <w:rStyle w:val="HideTWBExt"/>
      </w:rPr>
      <w:t>&gt;</w:t>
    </w:r>
    <w:r w:rsidRPr="007659C3">
      <w:tab/>
    </w:r>
    <w:r w:rsidRPr="007659C3">
      <w:tab/>
      <w:t>PE</w:t>
    </w:r>
    <w:r w:rsidRPr="007659C3">
      <w:rPr>
        <w:rStyle w:val="HideTWBExt"/>
      </w:rPr>
      <w:t>&lt;</w:t>
    </w:r>
    <w:proofErr w:type="spellStart"/>
    <w:r w:rsidRPr="007659C3">
      <w:rPr>
        <w:rStyle w:val="HideTWBExt"/>
      </w:rPr>
      <w:t>NoPE</w:t>
    </w:r>
    <w:proofErr w:type="spellEnd"/>
    <w:r w:rsidRPr="007659C3">
      <w:rPr>
        <w:rStyle w:val="HideTWBExt"/>
      </w:rPr>
      <w:t>&gt;</w:t>
    </w:r>
    <w:r w:rsidRPr="007659C3">
      <w:t>778.317</w:t>
    </w:r>
    <w:r w:rsidRPr="007659C3">
      <w:rPr>
        <w:rStyle w:val="HideTWBExt"/>
      </w:rPr>
      <w:t>&lt;/</w:t>
    </w:r>
    <w:proofErr w:type="spellStart"/>
    <w:r w:rsidRPr="007659C3">
      <w:rPr>
        <w:rStyle w:val="HideTWBExt"/>
      </w:rPr>
      <w:t>NoPE</w:t>
    </w:r>
    <w:proofErr w:type="spellEnd"/>
    <w:r w:rsidRPr="007659C3">
      <w:rPr>
        <w:rStyle w:val="HideTWBExt"/>
      </w:rPr>
      <w:t>&gt;&lt;Version&gt;</w:t>
    </w:r>
    <w:r w:rsidRPr="007659C3">
      <w:t>v02-00</w:t>
    </w:r>
    <w:r w:rsidRPr="007659C3">
      <w:rPr>
        <w:rStyle w:val="HideTWBExt"/>
      </w:rPr>
      <w:t>&lt;/</w:t>
    </w:r>
    <w:proofErr w:type="spellStart"/>
    <w:r w:rsidRPr="007659C3">
      <w:rPr>
        <w:rStyle w:val="HideTWBExt"/>
      </w:rPr>
      <w:t>Version</w:t>
    </w:r>
    <w:proofErr w:type="spellEnd"/>
    <w:r w:rsidRPr="007659C3">
      <w:rPr>
        <w:rStyle w:val="HideTWBExt"/>
      </w:rPr>
      <w:t>&gt;</w:t>
    </w:r>
  </w:p>
  <w:p w14:paraId="6D620ECB" w14:textId="3C46D004" w:rsidR="00000C7D" w:rsidRPr="007659C3" w:rsidRDefault="00700F6D" w:rsidP="00700F6D">
    <w:pPr>
      <w:pStyle w:val="EPFooter2"/>
    </w:pPr>
    <w:r w:rsidRPr="007659C3">
      <w:t>LV</w:t>
    </w:r>
    <w:r w:rsidRPr="007659C3">
      <w:tab/>
    </w:r>
    <w:r w:rsidRPr="007659C3">
      <w:rPr>
        <w:b w:val="0"/>
        <w:i/>
        <w:color w:val="C0C0C0"/>
        <w:sz w:val="22"/>
      </w:rPr>
      <w:t>Vienoti daudzveidībā</w:t>
    </w:r>
    <w:r w:rsidRPr="007659C3">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72646" w14:textId="77777777" w:rsidR="005C4B56" w:rsidRPr="007659C3" w:rsidRDefault="005C4B56">
      <w:r w:rsidRPr="007659C3">
        <w:separator/>
      </w:r>
    </w:p>
  </w:footnote>
  <w:footnote w:type="continuationSeparator" w:id="0">
    <w:p w14:paraId="46389BCF" w14:textId="77777777" w:rsidR="005C4B56" w:rsidRPr="007659C3" w:rsidRDefault="005C4B56">
      <w:r w:rsidRPr="007659C3">
        <w:continuationSeparator/>
      </w:r>
    </w:p>
  </w:footnote>
  <w:footnote w:id="1">
    <w:p w14:paraId="52A2A602" w14:textId="77777777" w:rsidR="00FC1E12" w:rsidRPr="007659C3" w:rsidRDefault="00FC1E12" w:rsidP="00FC1E12">
      <w:r>
        <w:rPr>
          <w:vertAlign w:val="superscript"/>
        </w:rPr>
        <w:footnoteRef/>
      </w:r>
      <w:r>
        <w:t xml:space="preserve"> Eiropas Parlamenta un Padomes Regula (ES) 2016/794 (2016. gada 11. maijs) par Eiropas Savienības Aģentūru tiesībaizsardzības sadarbībai (Eiropolu) un ar kuru aizstāj un atceļ Padomes Lēmumus 2009/371/TI, 2009/934/TI, 2009/935/TI, 2009/936/TI un 2009/968/TI (OV L 135, 24.5.2016., 53. lpp.).</w:t>
      </w:r>
    </w:p>
  </w:footnote>
  <w:footnote w:id="2">
    <w:p w14:paraId="44C76A13" w14:textId="77777777" w:rsidR="00FC1E12" w:rsidRPr="007659C3" w:rsidRDefault="00FC1E12" w:rsidP="00FC1E12">
      <w:pPr>
        <w:rPr>
          <w:sz w:val="20"/>
        </w:rPr>
      </w:pPr>
      <w:r>
        <w:rPr>
          <w:sz w:val="20"/>
          <w:vertAlign w:val="superscript"/>
        </w:rPr>
        <w:footnoteRef/>
      </w:r>
      <w:r>
        <w:t xml:space="preserve"> </w:t>
      </w:r>
      <w:r>
        <w:t>Atzinums 2/00 (“Kartahenas protokols”), ECLI:EU:C:2001:664, 5. punkts.</w:t>
      </w:r>
    </w:p>
  </w:footnote>
  <w:footnote w:id="3">
    <w:p w14:paraId="313D4274" w14:textId="77777777" w:rsidR="00FC1E12" w:rsidRPr="007659C3" w:rsidRDefault="00FC1E12" w:rsidP="00FC1E12">
      <w:pPr>
        <w:rPr>
          <w:sz w:val="20"/>
        </w:rPr>
      </w:pPr>
      <w:r>
        <w:rPr>
          <w:sz w:val="20"/>
          <w:vertAlign w:val="superscript"/>
        </w:rPr>
        <w:footnoteRef/>
      </w:r>
      <w:r>
        <w:t xml:space="preserve"> </w:t>
      </w:r>
      <w:r>
        <w:t>Lieta C-300/89 Komisija/Padome (“Titāna dioksīds”), ECLI:EU:C:1991:244, 10. punkts.</w:t>
      </w:r>
    </w:p>
  </w:footnote>
  <w:footnote w:id="4">
    <w:p w14:paraId="162B3708" w14:textId="77777777" w:rsidR="00FC1E12" w:rsidRPr="007659C3" w:rsidRDefault="00FC1E12" w:rsidP="00FC1E12">
      <w:pPr>
        <w:rPr>
          <w:sz w:val="20"/>
        </w:rPr>
      </w:pPr>
      <w:r>
        <w:rPr>
          <w:sz w:val="20"/>
          <w:vertAlign w:val="superscript"/>
        </w:rPr>
        <w:footnoteRef/>
      </w:r>
      <w:r>
        <w:t xml:space="preserve"> </w:t>
      </w:r>
      <w:r>
        <w:t>Turpat, 30. punkts, un lieta C-137/12 Komisija/Padome, ECLI:EU:C:2013:675, 53. punkts un tajā minētā judikatūra.</w:t>
      </w:r>
    </w:p>
  </w:footnote>
  <w:footnote w:id="5">
    <w:p w14:paraId="12EAEE0C" w14:textId="77777777" w:rsidR="00FC1E12" w:rsidRPr="007659C3" w:rsidRDefault="00FC1E12" w:rsidP="00FC1E12">
      <w:pPr>
        <w:rPr>
          <w:sz w:val="20"/>
        </w:rPr>
      </w:pPr>
      <w:r>
        <w:rPr>
          <w:sz w:val="20"/>
          <w:vertAlign w:val="superscript"/>
        </w:rPr>
        <w:footnoteRef/>
      </w:r>
      <w:r>
        <w:t xml:space="preserve"> </w:t>
      </w:r>
      <w:r>
        <w:t>Lieta C-300/89, 13. un 17. punkts;</w:t>
      </w:r>
      <w:r>
        <w:rPr>
          <w:sz w:val="20"/>
        </w:rPr>
        <w:t xml:space="preserve"> Lieta C-42/97, Parlaments/Padome, ECLI:EU:C:1999:81, 38. punkts; Atzinums 2/00, 23. punkts; lieta C-94/03 Komisija/Padome (“Roterdamas konvencija”), ECLI:EU:C:2006:2 un lieta C-178/03 Komisija/Parlaments un Padome, ECLI:EU:C:2006:4, 36. un 43. punkts.</w:t>
      </w:r>
    </w:p>
  </w:footnote>
  <w:footnote w:id="6">
    <w:p w14:paraId="59BB086B" w14:textId="77777777" w:rsidR="00FC1E12" w:rsidRPr="007659C3" w:rsidRDefault="00FC1E12" w:rsidP="00FC1E12">
      <w:pPr>
        <w:rPr>
          <w:sz w:val="20"/>
        </w:rPr>
      </w:pPr>
      <w:r>
        <w:rPr>
          <w:sz w:val="20"/>
          <w:vertAlign w:val="superscript"/>
        </w:rPr>
        <w:footnoteRef/>
      </w:r>
      <w:r>
        <w:t xml:space="preserve"> </w:t>
      </w:r>
      <w:r>
        <w:t>lieta C-300/89, 17.–25. punkts;</w:t>
      </w:r>
      <w:r>
        <w:rPr>
          <w:sz w:val="20"/>
        </w:rPr>
        <w:t xml:space="preserve"> lieta C-268/94 Portugāle/Padome, ECLI:EU:C:1996:461.</w:t>
      </w:r>
    </w:p>
  </w:footnote>
  <w:footnote w:id="7">
    <w:p w14:paraId="773EC457" w14:textId="77777777" w:rsidR="00FC1E12" w:rsidRPr="007659C3" w:rsidRDefault="00FC1E12" w:rsidP="006A4CE5">
      <w:pPr>
        <w:rPr>
          <w:sz w:val="20"/>
        </w:rPr>
      </w:pPr>
      <w:r>
        <w:rPr>
          <w:sz w:val="20"/>
          <w:vertAlign w:val="superscript"/>
        </w:rPr>
        <w:footnoteRef/>
      </w:r>
      <w:r>
        <w:t xml:space="preserve"> </w:t>
      </w:r>
      <w:r>
        <w:t>Galīgajā balsošanā piedalījās:</w:t>
      </w:r>
      <w:r>
        <w:rPr>
          <w:sz w:val="20"/>
        </w:rPr>
        <w:t xml:space="preserve"> </w:t>
      </w:r>
      <w:r>
        <w:rPr>
          <w:i/>
          <w:iCs/>
          <w:sz w:val="20"/>
        </w:rPr>
        <w:t xml:space="preserve">Ilham </w:t>
      </w:r>
      <w:proofErr w:type="spellStart"/>
      <w:r>
        <w:rPr>
          <w:i/>
          <w:iCs/>
          <w:sz w:val="20"/>
        </w:rPr>
        <w:t>Kyuchyuk</w:t>
      </w:r>
      <w:proofErr w:type="spellEnd"/>
      <w:r>
        <w:rPr>
          <w:sz w:val="20"/>
        </w:rPr>
        <w:t xml:space="preserve"> (priekšsēdētājs), </w:t>
      </w:r>
      <w:proofErr w:type="spellStart"/>
      <w:r>
        <w:rPr>
          <w:i/>
          <w:iCs/>
          <w:sz w:val="20"/>
        </w:rPr>
        <w:t>Marion</w:t>
      </w:r>
      <w:proofErr w:type="spellEnd"/>
      <w:r>
        <w:rPr>
          <w:i/>
          <w:iCs/>
          <w:sz w:val="20"/>
        </w:rPr>
        <w:t xml:space="preserve"> </w:t>
      </w:r>
      <w:proofErr w:type="spellStart"/>
      <w:r>
        <w:rPr>
          <w:i/>
          <w:iCs/>
          <w:sz w:val="20"/>
        </w:rPr>
        <w:t>Walsmann</w:t>
      </w:r>
      <w:proofErr w:type="spellEnd"/>
      <w:r>
        <w:rPr>
          <w:sz w:val="20"/>
        </w:rPr>
        <w:t xml:space="preserve"> (priekšsēdētāja vietniece), </w:t>
      </w:r>
      <w:r>
        <w:rPr>
          <w:i/>
          <w:iCs/>
          <w:sz w:val="20"/>
        </w:rPr>
        <w:t xml:space="preserve">Mario </w:t>
      </w:r>
      <w:proofErr w:type="spellStart"/>
      <w:r>
        <w:rPr>
          <w:i/>
          <w:iCs/>
          <w:sz w:val="20"/>
        </w:rPr>
        <w:t>Mantovani</w:t>
      </w:r>
      <w:proofErr w:type="spellEnd"/>
      <w:r>
        <w:rPr>
          <w:sz w:val="20"/>
        </w:rPr>
        <w:t xml:space="preserve"> (priekšsēdētāja vietnieks), </w:t>
      </w:r>
      <w:r>
        <w:rPr>
          <w:i/>
          <w:iCs/>
          <w:sz w:val="20"/>
        </w:rPr>
        <w:t xml:space="preserve">Lara </w:t>
      </w:r>
      <w:proofErr w:type="spellStart"/>
      <w:r>
        <w:rPr>
          <w:i/>
          <w:iCs/>
          <w:sz w:val="20"/>
        </w:rPr>
        <w:t>Wolters</w:t>
      </w:r>
      <w:proofErr w:type="spellEnd"/>
      <w:r>
        <w:rPr>
          <w:sz w:val="20"/>
        </w:rPr>
        <w:t xml:space="preserve"> (priekšsēdētāja vietniece), </w:t>
      </w:r>
      <w:proofErr w:type="spellStart"/>
      <w:r>
        <w:rPr>
          <w:i/>
          <w:iCs/>
          <w:sz w:val="20"/>
        </w:rPr>
        <w:t>Maravillas</w:t>
      </w:r>
      <w:proofErr w:type="spellEnd"/>
      <w:r>
        <w:rPr>
          <w:i/>
          <w:iCs/>
          <w:sz w:val="20"/>
        </w:rPr>
        <w:t xml:space="preserve"> </w:t>
      </w:r>
      <w:proofErr w:type="spellStart"/>
      <w:r>
        <w:rPr>
          <w:i/>
          <w:iCs/>
          <w:sz w:val="20"/>
        </w:rPr>
        <w:t>Abadía</w:t>
      </w:r>
      <w:proofErr w:type="spellEnd"/>
      <w:r>
        <w:rPr>
          <w:i/>
          <w:iCs/>
          <w:sz w:val="20"/>
        </w:rPr>
        <w:t xml:space="preserve"> </w:t>
      </w:r>
      <w:proofErr w:type="spellStart"/>
      <w:r>
        <w:rPr>
          <w:i/>
          <w:iCs/>
          <w:sz w:val="20"/>
        </w:rPr>
        <w:t>Jover</w:t>
      </w:r>
      <w:proofErr w:type="spellEnd"/>
      <w:r>
        <w:rPr>
          <w:sz w:val="20"/>
        </w:rPr>
        <w:t xml:space="preserve">, </w:t>
      </w:r>
      <w:proofErr w:type="spellStart"/>
      <w:r>
        <w:rPr>
          <w:i/>
          <w:iCs/>
          <w:sz w:val="20"/>
        </w:rPr>
        <w:t>Tobiasz</w:t>
      </w:r>
      <w:proofErr w:type="spellEnd"/>
      <w:r>
        <w:rPr>
          <w:i/>
          <w:iCs/>
          <w:sz w:val="20"/>
        </w:rPr>
        <w:t xml:space="preserve"> </w:t>
      </w:r>
      <w:proofErr w:type="spellStart"/>
      <w:r>
        <w:rPr>
          <w:i/>
          <w:iCs/>
          <w:sz w:val="20"/>
        </w:rPr>
        <w:t>Bocheński</w:t>
      </w:r>
      <w:proofErr w:type="spellEnd"/>
      <w:r>
        <w:rPr>
          <w:sz w:val="20"/>
        </w:rPr>
        <w:t xml:space="preserve">, </w:t>
      </w:r>
      <w:proofErr w:type="spellStart"/>
      <w:r>
        <w:rPr>
          <w:i/>
          <w:iCs/>
          <w:sz w:val="20"/>
        </w:rPr>
        <w:t>Pascal</w:t>
      </w:r>
      <w:proofErr w:type="spellEnd"/>
      <w:r>
        <w:rPr>
          <w:i/>
          <w:iCs/>
          <w:sz w:val="20"/>
        </w:rPr>
        <w:t xml:space="preserve"> </w:t>
      </w:r>
      <w:proofErr w:type="spellStart"/>
      <w:r>
        <w:rPr>
          <w:i/>
          <w:iCs/>
          <w:sz w:val="20"/>
        </w:rPr>
        <w:t>Canfin</w:t>
      </w:r>
      <w:proofErr w:type="spellEnd"/>
      <w:r>
        <w:rPr>
          <w:sz w:val="20"/>
        </w:rPr>
        <w:t xml:space="preserve">, </w:t>
      </w:r>
      <w:proofErr w:type="spellStart"/>
      <w:r>
        <w:rPr>
          <w:i/>
          <w:iCs/>
          <w:sz w:val="20"/>
        </w:rPr>
        <w:t>José</w:t>
      </w:r>
      <w:proofErr w:type="spellEnd"/>
      <w:r>
        <w:rPr>
          <w:i/>
          <w:iCs/>
          <w:sz w:val="20"/>
        </w:rPr>
        <w:t xml:space="preserve"> </w:t>
      </w:r>
      <w:proofErr w:type="spellStart"/>
      <w:r>
        <w:rPr>
          <w:i/>
          <w:iCs/>
          <w:sz w:val="20"/>
        </w:rPr>
        <w:t>Cepeda</w:t>
      </w:r>
      <w:proofErr w:type="spellEnd"/>
      <w:r>
        <w:rPr>
          <w:sz w:val="20"/>
        </w:rPr>
        <w:t xml:space="preserve">, </w:t>
      </w:r>
      <w:r>
        <w:rPr>
          <w:i/>
          <w:iCs/>
          <w:sz w:val="20"/>
        </w:rPr>
        <w:t xml:space="preserve">Henrik </w:t>
      </w:r>
      <w:proofErr w:type="spellStart"/>
      <w:r>
        <w:rPr>
          <w:i/>
          <w:iCs/>
          <w:sz w:val="20"/>
        </w:rPr>
        <w:t>Dahl</w:t>
      </w:r>
      <w:proofErr w:type="spellEnd"/>
      <w:r>
        <w:rPr>
          <w:sz w:val="20"/>
        </w:rPr>
        <w:t xml:space="preserve">, </w:t>
      </w:r>
      <w:r>
        <w:rPr>
          <w:i/>
          <w:iCs/>
          <w:sz w:val="20"/>
        </w:rPr>
        <w:t xml:space="preserve">Ton </w:t>
      </w:r>
      <w:proofErr w:type="spellStart"/>
      <w:r>
        <w:rPr>
          <w:i/>
          <w:iCs/>
          <w:sz w:val="20"/>
        </w:rPr>
        <w:t>Diepeveen</w:t>
      </w:r>
      <w:proofErr w:type="spellEnd"/>
      <w:r>
        <w:rPr>
          <w:sz w:val="20"/>
        </w:rPr>
        <w:t xml:space="preserve">, </w:t>
      </w:r>
      <w:r>
        <w:rPr>
          <w:i/>
          <w:iCs/>
          <w:sz w:val="20"/>
        </w:rPr>
        <w:t xml:space="preserve">Sebastian </w:t>
      </w:r>
      <w:proofErr w:type="spellStart"/>
      <w:r>
        <w:rPr>
          <w:i/>
          <w:iCs/>
          <w:sz w:val="20"/>
        </w:rPr>
        <w:t>Everding</w:t>
      </w:r>
      <w:proofErr w:type="spellEnd"/>
      <w:r>
        <w:rPr>
          <w:sz w:val="20"/>
        </w:rPr>
        <w:t xml:space="preserve"> (aizstāj </w:t>
      </w:r>
      <w:r>
        <w:rPr>
          <w:i/>
          <w:iCs/>
          <w:sz w:val="20"/>
        </w:rPr>
        <w:t xml:space="preserve">Mario </w:t>
      </w:r>
      <w:proofErr w:type="spellStart"/>
      <w:r>
        <w:rPr>
          <w:i/>
          <w:iCs/>
          <w:sz w:val="20"/>
        </w:rPr>
        <w:t>Furore</w:t>
      </w:r>
      <w:proofErr w:type="spellEnd"/>
      <w:r>
        <w:rPr>
          <w:sz w:val="20"/>
        </w:rPr>
        <w:t xml:space="preserve"> saskaņā ar Reglamenta 216. panta 7. punktu), </w:t>
      </w:r>
      <w:proofErr w:type="spellStart"/>
      <w:r>
        <w:rPr>
          <w:i/>
          <w:iCs/>
          <w:sz w:val="20"/>
        </w:rPr>
        <w:t>Enikő</w:t>
      </w:r>
      <w:proofErr w:type="spellEnd"/>
      <w:r>
        <w:rPr>
          <w:i/>
          <w:iCs/>
          <w:sz w:val="20"/>
        </w:rPr>
        <w:t xml:space="preserve"> </w:t>
      </w:r>
      <w:proofErr w:type="spellStart"/>
      <w:r>
        <w:rPr>
          <w:i/>
          <w:iCs/>
          <w:sz w:val="20"/>
        </w:rPr>
        <w:t>Győri</w:t>
      </w:r>
      <w:proofErr w:type="spellEnd"/>
      <w:r>
        <w:rPr>
          <w:sz w:val="20"/>
        </w:rPr>
        <w:t xml:space="preserve"> (aizstāj </w:t>
      </w:r>
      <w:r>
        <w:rPr>
          <w:i/>
          <w:iCs/>
          <w:sz w:val="20"/>
        </w:rPr>
        <w:t xml:space="preserve">Juan Carlos </w:t>
      </w:r>
      <w:proofErr w:type="spellStart"/>
      <w:r>
        <w:rPr>
          <w:i/>
          <w:iCs/>
          <w:sz w:val="20"/>
        </w:rPr>
        <w:t>Girauta</w:t>
      </w:r>
      <w:proofErr w:type="spellEnd"/>
      <w:r>
        <w:rPr>
          <w:i/>
          <w:iCs/>
          <w:sz w:val="20"/>
        </w:rPr>
        <w:t xml:space="preserve"> </w:t>
      </w:r>
      <w:proofErr w:type="spellStart"/>
      <w:r>
        <w:rPr>
          <w:i/>
          <w:iCs/>
          <w:sz w:val="20"/>
        </w:rPr>
        <w:t>Vidal</w:t>
      </w:r>
      <w:proofErr w:type="spellEnd"/>
      <w:r>
        <w:rPr>
          <w:sz w:val="20"/>
        </w:rPr>
        <w:t xml:space="preserve"> saskaņā ar Reglamenta 216. panta 7. punktu), </w:t>
      </w:r>
      <w:proofErr w:type="spellStart"/>
      <w:r>
        <w:rPr>
          <w:i/>
          <w:iCs/>
          <w:sz w:val="20"/>
        </w:rPr>
        <w:t>Mary</w:t>
      </w:r>
      <w:proofErr w:type="spellEnd"/>
      <w:r>
        <w:rPr>
          <w:i/>
          <w:iCs/>
          <w:sz w:val="20"/>
        </w:rPr>
        <w:t xml:space="preserve"> </w:t>
      </w:r>
      <w:proofErr w:type="spellStart"/>
      <w:r>
        <w:rPr>
          <w:i/>
          <w:iCs/>
          <w:sz w:val="20"/>
        </w:rPr>
        <w:t>Khan</w:t>
      </w:r>
      <w:proofErr w:type="spellEnd"/>
      <w:r>
        <w:rPr>
          <w:sz w:val="20"/>
        </w:rPr>
        <w:t xml:space="preserve">, </w:t>
      </w:r>
      <w:proofErr w:type="spellStart"/>
      <w:r>
        <w:rPr>
          <w:i/>
          <w:iCs/>
          <w:sz w:val="20"/>
        </w:rPr>
        <w:t>Ana</w:t>
      </w:r>
      <w:proofErr w:type="spellEnd"/>
      <w:r>
        <w:rPr>
          <w:i/>
          <w:iCs/>
          <w:sz w:val="20"/>
        </w:rPr>
        <w:t xml:space="preserve"> </w:t>
      </w:r>
      <w:proofErr w:type="spellStart"/>
      <w:r>
        <w:rPr>
          <w:i/>
          <w:iCs/>
          <w:sz w:val="20"/>
        </w:rPr>
        <w:t>Catarina</w:t>
      </w:r>
      <w:proofErr w:type="spellEnd"/>
      <w:r>
        <w:rPr>
          <w:i/>
          <w:iCs/>
          <w:sz w:val="20"/>
        </w:rPr>
        <w:t xml:space="preserve"> </w:t>
      </w:r>
      <w:proofErr w:type="spellStart"/>
      <w:r>
        <w:rPr>
          <w:i/>
          <w:iCs/>
          <w:sz w:val="20"/>
        </w:rPr>
        <w:t>Mendes</w:t>
      </w:r>
      <w:proofErr w:type="spellEnd"/>
      <w:r>
        <w:rPr>
          <w:sz w:val="20"/>
        </w:rPr>
        <w:t xml:space="preserve"> (aizstāj </w:t>
      </w:r>
      <w:proofErr w:type="spellStart"/>
      <w:r>
        <w:rPr>
          <w:i/>
          <w:iCs/>
          <w:sz w:val="20"/>
        </w:rPr>
        <w:t>Victor</w:t>
      </w:r>
      <w:proofErr w:type="spellEnd"/>
      <w:r>
        <w:rPr>
          <w:i/>
          <w:iCs/>
          <w:sz w:val="20"/>
        </w:rPr>
        <w:t xml:space="preserve"> </w:t>
      </w:r>
      <w:proofErr w:type="spellStart"/>
      <w:r>
        <w:rPr>
          <w:i/>
          <w:iCs/>
          <w:sz w:val="20"/>
        </w:rPr>
        <w:t>Negrescu</w:t>
      </w:r>
      <w:proofErr w:type="spellEnd"/>
      <w:r>
        <w:rPr>
          <w:sz w:val="20"/>
        </w:rPr>
        <w:t xml:space="preserve"> saskaņā ar Reglamenta 216. panta 7. punktu), </w:t>
      </w:r>
      <w:proofErr w:type="spellStart"/>
      <w:r>
        <w:rPr>
          <w:i/>
          <w:iCs/>
          <w:sz w:val="20"/>
        </w:rPr>
        <w:t>Javier</w:t>
      </w:r>
      <w:proofErr w:type="spellEnd"/>
      <w:r>
        <w:rPr>
          <w:i/>
          <w:iCs/>
          <w:sz w:val="20"/>
        </w:rPr>
        <w:t xml:space="preserve"> Moreno </w:t>
      </w:r>
      <w:proofErr w:type="spellStart"/>
      <w:r>
        <w:rPr>
          <w:i/>
          <w:iCs/>
          <w:sz w:val="20"/>
        </w:rPr>
        <w:t>Sánchez</w:t>
      </w:r>
      <w:proofErr w:type="spellEnd"/>
      <w:r>
        <w:rPr>
          <w:sz w:val="20"/>
        </w:rPr>
        <w:t xml:space="preserve"> (aizstāj </w:t>
      </w:r>
      <w:proofErr w:type="spellStart"/>
      <w:r>
        <w:rPr>
          <w:i/>
          <w:iCs/>
          <w:sz w:val="20"/>
        </w:rPr>
        <w:t>Krzysztof</w:t>
      </w:r>
      <w:proofErr w:type="spellEnd"/>
      <w:r>
        <w:rPr>
          <w:i/>
          <w:iCs/>
          <w:sz w:val="20"/>
        </w:rPr>
        <w:t xml:space="preserve"> </w:t>
      </w:r>
      <w:proofErr w:type="spellStart"/>
      <w:r>
        <w:rPr>
          <w:i/>
          <w:iCs/>
          <w:sz w:val="20"/>
        </w:rPr>
        <w:t>Śmiszek</w:t>
      </w:r>
      <w:proofErr w:type="spellEnd"/>
      <w:r>
        <w:rPr>
          <w:sz w:val="20"/>
        </w:rPr>
        <w:t xml:space="preserve"> saskaņā ar Reglamenta 216. panta 7. punktu), </w:t>
      </w:r>
      <w:r>
        <w:rPr>
          <w:i/>
          <w:iCs/>
          <w:sz w:val="20"/>
        </w:rPr>
        <w:t xml:space="preserve">Angelika </w:t>
      </w:r>
      <w:proofErr w:type="spellStart"/>
      <w:r>
        <w:rPr>
          <w:i/>
          <w:iCs/>
          <w:sz w:val="20"/>
        </w:rPr>
        <w:t>Niebler</w:t>
      </w:r>
      <w:proofErr w:type="spellEnd"/>
      <w:r>
        <w:rPr>
          <w:sz w:val="20"/>
        </w:rPr>
        <w:t xml:space="preserve">, </w:t>
      </w:r>
      <w:proofErr w:type="spellStart"/>
      <w:r>
        <w:rPr>
          <w:i/>
          <w:iCs/>
          <w:sz w:val="20"/>
        </w:rPr>
        <w:t>Pascale</w:t>
      </w:r>
      <w:proofErr w:type="spellEnd"/>
      <w:r>
        <w:rPr>
          <w:i/>
          <w:iCs/>
          <w:sz w:val="20"/>
        </w:rPr>
        <w:t xml:space="preserve"> </w:t>
      </w:r>
      <w:proofErr w:type="spellStart"/>
      <w:r>
        <w:rPr>
          <w:i/>
          <w:iCs/>
          <w:sz w:val="20"/>
        </w:rPr>
        <w:t>Piera</w:t>
      </w:r>
      <w:proofErr w:type="spellEnd"/>
      <w:r>
        <w:rPr>
          <w:sz w:val="20"/>
        </w:rPr>
        <w:t xml:space="preserve">, </w:t>
      </w:r>
      <w:r>
        <w:rPr>
          <w:i/>
          <w:iCs/>
          <w:sz w:val="20"/>
        </w:rPr>
        <w:t xml:space="preserve">Kira </w:t>
      </w:r>
      <w:proofErr w:type="spellStart"/>
      <w:r>
        <w:rPr>
          <w:i/>
          <w:iCs/>
          <w:sz w:val="20"/>
        </w:rPr>
        <w:t>Marie</w:t>
      </w:r>
      <w:proofErr w:type="spellEnd"/>
      <w:r>
        <w:rPr>
          <w:i/>
          <w:iCs/>
          <w:sz w:val="20"/>
        </w:rPr>
        <w:t xml:space="preserve"> Peter-</w:t>
      </w:r>
      <w:proofErr w:type="spellStart"/>
      <w:r>
        <w:rPr>
          <w:i/>
          <w:iCs/>
          <w:sz w:val="20"/>
        </w:rPr>
        <w:t>Hansen</w:t>
      </w:r>
      <w:proofErr w:type="spellEnd"/>
      <w:r>
        <w:rPr>
          <w:sz w:val="20"/>
        </w:rPr>
        <w:t xml:space="preserve">, </w:t>
      </w:r>
      <w:proofErr w:type="spellStart"/>
      <w:r>
        <w:rPr>
          <w:i/>
          <w:iCs/>
          <w:sz w:val="20"/>
        </w:rPr>
        <w:t>René</w:t>
      </w:r>
      <w:proofErr w:type="spellEnd"/>
      <w:r>
        <w:rPr>
          <w:i/>
          <w:iCs/>
          <w:sz w:val="20"/>
        </w:rPr>
        <w:t xml:space="preserve"> </w:t>
      </w:r>
      <w:proofErr w:type="spellStart"/>
      <w:r>
        <w:rPr>
          <w:i/>
          <w:iCs/>
          <w:sz w:val="20"/>
        </w:rPr>
        <w:t>Repasi</w:t>
      </w:r>
      <w:proofErr w:type="spellEnd"/>
      <w:r>
        <w:rPr>
          <w:sz w:val="20"/>
        </w:rPr>
        <w:t xml:space="preserve">, </w:t>
      </w:r>
      <w:r>
        <w:rPr>
          <w:i/>
          <w:iCs/>
          <w:sz w:val="20"/>
        </w:rPr>
        <w:t xml:space="preserve">Tomas </w:t>
      </w:r>
      <w:proofErr w:type="spellStart"/>
      <w:r>
        <w:rPr>
          <w:i/>
          <w:iCs/>
          <w:sz w:val="20"/>
        </w:rPr>
        <w:t>Tobé</w:t>
      </w:r>
      <w:proofErr w:type="spellEnd"/>
      <w:r>
        <w:rPr>
          <w:sz w:val="20"/>
        </w:rPr>
        <w:t xml:space="preserve">, </w:t>
      </w:r>
      <w:proofErr w:type="spellStart"/>
      <w:r>
        <w:rPr>
          <w:i/>
          <w:iCs/>
          <w:sz w:val="20"/>
        </w:rPr>
        <w:t>Axel</w:t>
      </w:r>
      <w:proofErr w:type="spellEnd"/>
      <w:r>
        <w:rPr>
          <w:i/>
          <w:iCs/>
          <w:sz w:val="20"/>
        </w:rPr>
        <w:t xml:space="preserve"> Voss</w:t>
      </w:r>
      <w:r>
        <w:rPr>
          <w:sz w:val="20"/>
        </w:rPr>
        <w:t xml:space="preserve">, </w:t>
      </w:r>
      <w:proofErr w:type="spellStart"/>
      <w:r>
        <w:rPr>
          <w:i/>
          <w:iCs/>
          <w:sz w:val="20"/>
        </w:rPr>
        <w:t>Adrián</w:t>
      </w:r>
      <w:proofErr w:type="spellEnd"/>
      <w:r>
        <w:rPr>
          <w:i/>
          <w:iCs/>
          <w:sz w:val="20"/>
        </w:rPr>
        <w:t xml:space="preserve"> </w:t>
      </w:r>
      <w:proofErr w:type="spellStart"/>
      <w:r>
        <w:rPr>
          <w:i/>
          <w:iCs/>
          <w:sz w:val="20"/>
        </w:rPr>
        <w:t>Vázquez</w:t>
      </w:r>
      <w:proofErr w:type="spellEnd"/>
      <w:r>
        <w:rPr>
          <w:i/>
          <w:iCs/>
          <w:sz w:val="20"/>
        </w:rPr>
        <w:t xml:space="preserve"> </w:t>
      </w:r>
      <w:proofErr w:type="spellStart"/>
      <w:r>
        <w:rPr>
          <w:i/>
          <w:iCs/>
          <w:sz w:val="20"/>
        </w:rPr>
        <w:t>Lázara</w:t>
      </w:r>
      <w:proofErr w:type="spellEnd"/>
      <w:r>
        <w:rPr>
          <w:sz w:val="20"/>
        </w:rPr>
        <w:t xml:space="preserve">, </w:t>
      </w:r>
      <w:proofErr w:type="spellStart"/>
      <w:r>
        <w:rPr>
          <w:i/>
          <w:iCs/>
          <w:sz w:val="20"/>
        </w:rPr>
        <w:t>Jörgen</w:t>
      </w:r>
      <w:proofErr w:type="spellEnd"/>
      <w:r>
        <w:rPr>
          <w:i/>
          <w:iCs/>
          <w:sz w:val="20"/>
        </w:rPr>
        <w:t xml:space="preserve"> </w:t>
      </w:r>
      <w:proofErr w:type="spellStart"/>
      <w:r>
        <w:rPr>
          <w:i/>
          <w:iCs/>
          <w:sz w:val="20"/>
        </w:rPr>
        <w:t>Warborn</w:t>
      </w:r>
      <w:proofErr w:type="spellEnd"/>
      <w:r>
        <w:rPr>
          <w:sz w:val="20"/>
        </w:rPr>
        <w:t xml:space="preserve">, </w:t>
      </w:r>
      <w:proofErr w:type="spellStart"/>
      <w:r>
        <w:rPr>
          <w:i/>
          <w:iCs/>
          <w:sz w:val="20"/>
        </w:rPr>
        <w:t>Maciej</w:t>
      </w:r>
      <w:proofErr w:type="spellEnd"/>
      <w:r>
        <w:rPr>
          <w:i/>
          <w:iCs/>
          <w:sz w:val="20"/>
        </w:rPr>
        <w:t xml:space="preserve"> </w:t>
      </w:r>
      <w:proofErr w:type="spellStart"/>
      <w:r>
        <w:rPr>
          <w:i/>
          <w:iCs/>
          <w:sz w:val="20"/>
        </w:rPr>
        <w:t>Wąsik</w:t>
      </w:r>
      <w:proofErr w:type="spellEnd"/>
      <w:r>
        <w:rPr>
          <w:sz w:val="20"/>
        </w:rPr>
        <w:t xml:space="preserve"> (aizstāj </w:t>
      </w:r>
      <w:r>
        <w:rPr>
          <w:i/>
          <w:iCs/>
          <w:sz w:val="20"/>
        </w:rPr>
        <w:t xml:space="preserve">Dominik </w:t>
      </w:r>
      <w:proofErr w:type="spellStart"/>
      <w:r>
        <w:rPr>
          <w:i/>
          <w:iCs/>
          <w:sz w:val="20"/>
        </w:rPr>
        <w:t>Tarczyński</w:t>
      </w:r>
      <w:proofErr w:type="spellEnd"/>
      <w:r>
        <w:rPr>
          <w:sz w:val="20"/>
        </w:rPr>
        <w:t xml:space="preserve"> saskaņā ar Reglamenta 216. panta 7. punktu), </w:t>
      </w:r>
      <w:proofErr w:type="spellStart"/>
      <w:r>
        <w:rPr>
          <w:i/>
          <w:iCs/>
          <w:sz w:val="20"/>
        </w:rPr>
        <w:t>Michał</w:t>
      </w:r>
      <w:proofErr w:type="spellEnd"/>
      <w:r>
        <w:rPr>
          <w:i/>
          <w:iCs/>
          <w:sz w:val="20"/>
        </w:rPr>
        <w:t xml:space="preserve"> </w:t>
      </w:r>
      <w:proofErr w:type="spellStart"/>
      <w:r>
        <w:rPr>
          <w:i/>
          <w:iCs/>
          <w:sz w:val="20"/>
        </w:rPr>
        <w:t>Wawrykiewicz</w:t>
      </w:r>
      <w:proofErr w:type="spellEnd"/>
      <w:r>
        <w:rPr>
          <w:sz w:val="20"/>
        </w:rPr>
        <w:t xml:space="preserve">, </w:t>
      </w:r>
      <w:proofErr w:type="spellStart"/>
      <w:r>
        <w:rPr>
          <w:i/>
          <w:iCs/>
          <w:sz w:val="20"/>
        </w:rPr>
        <w:t>Dainius</w:t>
      </w:r>
      <w:proofErr w:type="spellEnd"/>
      <w:r>
        <w:rPr>
          <w:i/>
          <w:iCs/>
          <w:sz w:val="20"/>
        </w:rPr>
        <w:t xml:space="preserve"> </w:t>
      </w:r>
      <w:proofErr w:type="spellStart"/>
      <w:r>
        <w:rPr>
          <w:i/>
          <w:iCs/>
          <w:sz w:val="20"/>
        </w:rPr>
        <w:t>Žalimas</w:t>
      </w:r>
      <w:proofErr w:type="spellEnd"/>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334FF" w14:textId="77777777" w:rsidR="006067CD" w:rsidRDefault="00606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465E1" w14:textId="77777777" w:rsidR="006067CD" w:rsidRDefault="006067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359D" w14:textId="77777777" w:rsidR="006067CD" w:rsidRDefault="00606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215093010">
    <w:abstractNumId w:val="9"/>
  </w:num>
  <w:num w:numId="2" w16cid:durableId="369038939">
    <w:abstractNumId w:val="9"/>
  </w:num>
  <w:num w:numId="3" w16cid:durableId="23218330">
    <w:abstractNumId w:val="7"/>
  </w:num>
  <w:num w:numId="4" w16cid:durableId="1991709342">
    <w:abstractNumId w:val="7"/>
  </w:num>
  <w:num w:numId="5" w16cid:durableId="1429930024">
    <w:abstractNumId w:val="6"/>
  </w:num>
  <w:num w:numId="6" w16cid:durableId="225922325">
    <w:abstractNumId w:val="6"/>
  </w:num>
  <w:num w:numId="7" w16cid:durableId="318652308">
    <w:abstractNumId w:val="5"/>
  </w:num>
  <w:num w:numId="8" w16cid:durableId="529101855">
    <w:abstractNumId w:val="5"/>
  </w:num>
  <w:num w:numId="9" w16cid:durableId="111290905">
    <w:abstractNumId w:val="4"/>
  </w:num>
  <w:num w:numId="10" w16cid:durableId="995064109">
    <w:abstractNumId w:val="4"/>
  </w:num>
  <w:num w:numId="11" w16cid:durableId="152113988">
    <w:abstractNumId w:val="8"/>
  </w:num>
  <w:num w:numId="12" w16cid:durableId="1247763964">
    <w:abstractNumId w:val="8"/>
  </w:num>
  <w:num w:numId="13" w16cid:durableId="117143763">
    <w:abstractNumId w:val="3"/>
  </w:num>
  <w:num w:numId="14" w16cid:durableId="2028015983">
    <w:abstractNumId w:val="3"/>
  </w:num>
  <w:num w:numId="15" w16cid:durableId="1609048701">
    <w:abstractNumId w:val="2"/>
  </w:num>
  <w:num w:numId="16" w16cid:durableId="497891218">
    <w:abstractNumId w:val="2"/>
  </w:num>
  <w:num w:numId="17" w16cid:durableId="1473592327">
    <w:abstractNumId w:val="1"/>
  </w:num>
  <w:num w:numId="18" w16cid:durableId="744305619">
    <w:abstractNumId w:val="1"/>
  </w:num>
  <w:num w:numId="19" w16cid:durableId="1664889067">
    <w:abstractNumId w:val="0"/>
  </w:num>
  <w:num w:numId="20" w16cid:durableId="820074285">
    <w:abstractNumId w:val="0"/>
  </w:num>
  <w:num w:numId="21" w16cid:durableId="1107433992">
    <w:abstractNumId w:val="9"/>
  </w:num>
  <w:num w:numId="22" w16cid:durableId="1444611969">
    <w:abstractNumId w:val="7"/>
  </w:num>
  <w:num w:numId="23" w16cid:durableId="1316570978">
    <w:abstractNumId w:val="6"/>
  </w:num>
  <w:num w:numId="24" w16cid:durableId="880751921">
    <w:abstractNumId w:val="5"/>
  </w:num>
  <w:num w:numId="25" w16cid:durableId="267739670">
    <w:abstractNumId w:val="4"/>
  </w:num>
  <w:num w:numId="26" w16cid:durableId="58672027">
    <w:abstractNumId w:val="8"/>
  </w:num>
  <w:num w:numId="27" w16cid:durableId="2015909806">
    <w:abstractNumId w:val="3"/>
  </w:num>
  <w:num w:numId="28" w16cid:durableId="1704093187">
    <w:abstractNumId w:val="2"/>
  </w:num>
  <w:num w:numId="29" w16cid:durableId="862667538">
    <w:abstractNumId w:val="1"/>
  </w:num>
  <w:num w:numId="30" w16cid:durableId="718630320">
    <w:abstractNumId w:val="0"/>
  </w:num>
  <w:num w:numId="31" w16cid:durableId="285547784">
    <w:abstractNumId w:val="9"/>
  </w:num>
  <w:num w:numId="32" w16cid:durableId="1648048477">
    <w:abstractNumId w:val="7"/>
  </w:num>
  <w:num w:numId="33" w16cid:durableId="1138837718">
    <w:abstractNumId w:val="6"/>
  </w:num>
  <w:num w:numId="34" w16cid:durableId="852760925">
    <w:abstractNumId w:val="5"/>
  </w:num>
  <w:num w:numId="35" w16cid:durableId="1149591438">
    <w:abstractNumId w:val="4"/>
  </w:num>
  <w:num w:numId="36" w16cid:durableId="1080521471">
    <w:abstractNumId w:val="8"/>
  </w:num>
  <w:num w:numId="37" w16cid:durableId="1626080442">
    <w:abstractNumId w:val="3"/>
  </w:num>
  <w:num w:numId="38" w16cid:durableId="234361487">
    <w:abstractNumId w:val="2"/>
  </w:num>
  <w:num w:numId="39" w16cid:durableId="1243367802">
    <w:abstractNumId w:val="1"/>
  </w:num>
  <w:num w:numId="40" w16cid:durableId="1501971820">
    <w:abstractNumId w:val="0"/>
  </w:num>
  <w:num w:numId="41" w16cid:durableId="1455565485">
    <w:abstractNumId w:val="10"/>
  </w:num>
  <w:num w:numId="42" w16cid:durableId="938634997">
    <w:abstractNumId w:val="14"/>
  </w:num>
  <w:num w:numId="43" w16cid:durableId="1768112183">
    <w:abstractNumId w:val="13"/>
  </w:num>
  <w:num w:numId="44" w16cid:durableId="8796316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182608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LV"/>
    <w:docVar w:name="TXTLANGUEMIN" w:val="lv"/>
    <w:docVar w:name="TXTNRC" w:val="0754"/>
    <w:docVar w:name="TXTNRCOM" w:val="2023"/>
    <w:docVar w:name="TXTNRPE" w:val="778.317"/>
    <w:docVar w:name="TXTNRPROC" w:val="2023/0438"/>
    <w:docVar w:name="TXTPEorAP" w:val="PE"/>
    <w:docVar w:name="TXTROUTE" w:val="AL\1330969LV.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B6CA1"/>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71C42"/>
    <w:rsid w:val="00595C9D"/>
    <w:rsid w:val="005B6079"/>
    <w:rsid w:val="005C4B56"/>
    <w:rsid w:val="005F56BD"/>
    <w:rsid w:val="006067CD"/>
    <w:rsid w:val="00657A15"/>
    <w:rsid w:val="006A4CE5"/>
    <w:rsid w:val="006F51B0"/>
    <w:rsid w:val="00700F6D"/>
    <w:rsid w:val="007179A7"/>
    <w:rsid w:val="0074577C"/>
    <w:rsid w:val="007659C3"/>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37F67"/>
    <w:rsid w:val="00A441B1"/>
    <w:rsid w:val="00A93DB1"/>
    <w:rsid w:val="00AC0580"/>
    <w:rsid w:val="00AE6929"/>
    <w:rsid w:val="00C127ED"/>
    <w:rsid w:val="00C82F7E"/>
    <w:rsid w:val="00CE1655"/>
    <w:rsid w:val="00D478EA"/>
    <w:rsid w:val="00D77B8C"/>
    <w:rsid w:val="00D92A83"/>
    <w:rsid w:val="00E71F4C"/>
    <w:rsid w:val="00E743B3"/>
    <w:rsid w:val="00F12926"/>
    <w:rsid w:val="00F30938"/>
    <w:rsid w:val="00F501D2"/>
    <w:rsid w:val="00F70D50"/>
    <w:rsid w:val="00F8589D"/>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39FCA"/>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 w:type="paragraph" w:styleId="Revision">
    <w:name w:val="Revision"/>
    <w:hidden/>
    <w:uiPriority w:val="99"/>
    <w:semiHidden/>
    <w:rsid w:val="00657A1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1418</Words>
  <Characters>9390</Characters>
  <Application>Microsoft Office Word</Application>
  <DocSecurity>0</DocSecurity>
  <Lines>201</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AKERS Andris</cp:lastModifiedBy>
  <cp:revision>2</cp:revision>
  <cp:lastPrinted>2004-06-24T10:04:00Z</cp:lastPrinted>
  <dcterms:created xsi:type="dcterms:W3CDTF">2025-10-31T11:54:00Z</dcterms:created>
  <dcterms:modified xsi:type="dcterms:W3CDTF">2025-10-31T11:54:00Z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AL\1330969LV.docx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OriLang">
    <vt:lpwstr>EN</vt:lpwstr>
  </property>
  <property fmtid="{D5CDD505-2E9C-101B-9397-08002B2CF9AE}" pid="14" name="SDLStudio">
    <vt:lpwstr/>
  </property>
  <property fmtid="{D5CDD505-2E9C-101B-9397-08002B2CF9AE}" pid="15" name="Bookout">
    <vt:lpwstr>OK - 2025/10/31 12:54</vt:lpwstr>
  </property>
</Properties>
</file>