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F46B6" w:rsidRPr="004C6FBB" w14:paraId="129C84AD" w14:textId="77777777" w:rsidTr="00C85D0F">
        <w:trPr>
          <w:trHeight w:hRule="exact" w:val="1418"/>
        </w:trPr>
        <w:tc>
          <w:tcPr>
            <w:tcW w:w="6804" w:type="dxa"/>
            <w:shd w:val="clear" w:color="auto" w:fill="auto"/>
            <w:vAlign w:val="center"/>
          </w:tcPr>
          <w:p w14:paraId="687C993C" w14:textId="77777777" w:rsidR="003666DE" w:rsidRPr="004C6FBB" w:rsidRDefault="000A0476" w:rsidP="00C85D0F">
            <w:pPr>
              <w:pStyle w:val="EPName"/>
            </w:pPr>
            <w:r w:rsidRPr="004C6FBB">
              <w:t>Parlamento Europeu</w:t>
            </w:r>
          </w:p>
          <w:p w14:paraId="0F0F93D4" w14:textId="66875C77" w:rsidR="003666DE" w:rsidRPr="004C6FBB" w:rsidRDefault="000A0476" w:rsidP="00324EAF">
            <w:pPr>
              <w:pStyle w:val="EPTerm"/>
            </w:pPr>
            <w:r w:rsidRPr="004C6FBB">
              <w:t>2024</w:t>
            </w:r>
            <w:r w:rsidR="007B7ADC">
              <w:noBreakHyphen/>
            </w:r>
            <w:r w:rsidRPr="004C6FBB">
              <w:t>2029</w:t>
            </w:r>
          </w:p>
        </w:tc>
        <w:tc>
          <w:tcPr>
            <w:tcW w:w="2268" w:type="dxa"/>
            <w:shd w:val="clear" w:color="auto" w:fill="auto"/>
          </w:tcPr>
          <w:p w14:paraId="63A6D73F" w14:textId="77777777" w:rsidR="003666DE" w:rsidRPr="004C6FBB" w:rsidRDefault="000A0476" w:rsidP="00C85D0F">
            <w:pPr>
              <w:pStyle w:val="EPLogo"/>
            </w:pPr>
            <w:r w:rsidRPr="004C6FBB">
              <w:rPr>
                <w:noProof/>
              </w:rPr>
              <w:drawing>
                <wp:inline distT="0" distB="0" distL="0" distR="0" wp14:anchorId="0EB507B7" wp14:editId="51F5B7E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99A8CD5" w14:textId="77777777" w:rsidR="00000C7D" w:rsidRPr="004C6FBB" w:rsidRDefault="00000C7D" w:rsidP="00000C7D">
      <w:pPr>
        <w:pStyle w:val="LineTop"/>
      </w:pPr>
    </w:p>
    <w:p w14:paraId="591992C1" w14:textId="77777777" w:rsidR="00000C7D" w:rsidRPr="004C6FBB" w:rsidRDefault="000A0476" w:rsidP="00000C7D">
      <w:pPr>
        <w:pStyle w:val="EPBody"/>
      </w:pPr>
      <w:r w:rsidRPr="004C6FBB">
        <w:rPr>
          <w:rStyle w:val="HideTWBExt"/>
        </w:rPr>
        <w:t>&lt;</w:t>
      </w:r>
      <w:r w:rsidRPr="004C6FBB">
        <w:rPr>
          <w:rStyle w:val="HideTWBExt"/>
          <w:i w:val="0"/>
        </w:rPr>
        <w:t>Commission</w:t>
      </w:r>
      <w:r w:rsidRPr="004C6FBB">
        <w:rPr>
          <w:rStyle w:val="HideTWBExt"/>
        </w:rPr>
        <w:t>&gt;</w:t>
      </w:r>
      <w:r w:rsidRPr="004C6FBB">
        <w:rPr>
          <w:rStyle w:val="HideTWBInt"/>
          <w:color w:val="auto"/>
        </w:rPr>
        <w:t>{JURI}</w:t>
      </w:r>
      <w:r w:rsidRPr="004C6FBB">
        <w:t>Comissão dos Assuntos Jurídicos</w:t>
      </w:r>
      <w:r w:rsidRPr="004C6FBB">
        <w:rPr>
          <w:rStyle w:val="HideTWBExt"/>
        </w:rPr>
        <w:t>&lt;/</w:t>
      </w:r>
      <w:r w:rsidRPr="004C6FBB">
        <w:rPr>
          <w:rStyle w:val="HideTWBExt"/>
          <w:i w:val="0"/>
        </w:rPr>
        <w:t>Commission</w:t>
      </w:r>
      <w:r w:rsidRPr="004C6FBB">
        <w:rPr>
          <w:rStyle w:val="HideTWBExt"/>
        </w:rPr>
        <w:t>&gt;</w:t>
      </w:r>
    </w:p>
    <w:p w14:paraId="451FEBFA" w14:textId="77777777" w:rsidR="00000C7D" w:rsidRPr="004C6FBB" w:rsidRDefault="000A0476" w:rsidP="00000C7D">
      <w:pPr>
        <w:pStyle w:val="EPBody"/>
      </w:pPr>
      <w:r w:rsidRPr="004C6FBB">
        <w:t>O Presidente</w:t>
      </w:r>
    </w:p>
    <w:p w14:paraId="74ACA4F1" w14:textId="77777777" w:rsidR="00000C7D" w:rsidRPr="004C6FBB" w:rsidRDefault="00000C7D" w:rsidP="00000C7D">
      <w:pPr>
        <w:pStyle w:val="LineBottom"/>
      </w:pPr>
    </w:p>
    <w:p w14:paraId="1E40AA90" w14:textId="77777777" w:rsidR="00E71F4C" w:rsidRPr="004C6FBB" w:rsidRDefault="000A0476" w:rsidP="00A04228">
      <w:pPr>
        <w:pStyle w:val="LetterDate"/>
      </w:pPr>
      <w:r w:rsidRPr="004C6FBB">
        <w:rPr>
          <w:rStyle w:val="HideTWBExt"/>
        </w:rPr>
        <w:t>&lt;Date&gt;</w:t>
      </w:r>
      <w:r w:rsidRPr="004C6FBB">
        <w:rPr>
          <w:rStyle w:val="HideTWBInt"/>
          <w:color w:val="auto"/>
        </w:rPr>
        <w:t>{17/10/2025}</w:t>
      </w:r>
      <w:r w:rsidRPr="004C6FBB">
        <w:t>17.10.2025</w:t>
      </w:r>
      <w:r w:rsidRPr="004C6FBB">
        <w:rPr>
          <w:rStyle w:val="HideTWBExt"/>
        </w:rPr>
        <w:t>&lt;/Date&gt;</w:t>
      </w:r>
    </w:p>
    <w:p w14:paraId="31DC1747" w14:textId="77777777" w:rsidR="007179A7" w:rsidRPr="004C6FBB" w:rsidRDefault="000A0476">
      <w:r w:rsidRPr="004C6FBB">
        <w:t>Javier Zarzalejos</w:t>
      </w:r>
    </w:p>
    <w:p w14:paraId="6375C4C6" w14:textId="77777777" w:rsidR="007179A7" w:rsidRPr="004C6FBB" w:rsidRDefault="000A0476">
      <w:r w:rsidRPr="004C6FBB">
        <w:t>Presidente</w:t>
      </w:r>
    </w:p>
    <w:p w14:paraId="380AD2CC" w14:textId="77777777" w:rsidR="007179A7" w:rsidRPr="004C6FBB" w:rsidRDefault="000A0476">
      <w:r w:rsidRPr="004C6FBB">
        <w:t>Comissão das Liberdades Cívicas, da Justiça e dos Assuntos Internos</w:t>
      </w:r>
    </w:p>
    <w:p w14:paraId="1245A10C" w14:textId="77777777" w:rsidR="007179A7" w:rsidRPr="004C6FBB" w:rsidRDefault="000A0476">
      <w:r w:rsidRPr="004C6FBB">
        <w:t>BRUXELAS</w:t>
      </w:r>
    </w:p>
    <w:p w14:paraId="14400109" w14:textId="13BB4B1F" w:rsidR="009F796C" w:rsidRPr="004C6FBB" w:rsidRDefault="000A0476" w:rsidP="009F796C">
      <w:pPr>
        <w:pStyle w:val="LetterSubject"/>
      </w:pPr>
      <w:r w:rsidRPr="004C6FBB">
        <w:t>Assunto:</w:t>
      </w:r>
      <w:r w:rsidRPr="004C6FBB">
        <w:tab/>
      </w:r>
      <w:r w:rsidRPr="004C6FBB">
        <w:rPr>
          <w:rStyle w:val="HideTWBExt"/>
        </w:rPr>
        <w:t>&lt;Titre&gt;</w:t>
      </w:r>
      <w:r w:rsidRPr="004C6FBB">
        <w:t>Parecer sobre a base jurídica da proposta de regulamento do Parlamento Europeu e do Conselho relativo ao reforço da cooperação policial em matéria de prevenção, deteção e investigação da introdução clandestina de migrantes e do tráfico de seres humanos, bem como ao reforço do apoio da Europol na prevenção e combate a esses crimes, e que altera o Regulamento (UE) 2016/794.</w:t>
      </w:r>
      <w:r w:rsidRPr="004C6FBB">
        <w:rPr>
          <w:rStyle w:val="HideTWBExt"/>
        </w:rPr>
        <w:t>&lt;/Titre&gt;</w:t>
      </w:r>
      <w:r w:rsidRPr="004C6FBB">
        <w:t xml:space="preserve"> </w:t>
      </w:r>
      <w:r w:rsidRPr="004C6FBB">
        <w:rPr>
          <w:rStyle w:val="HideTWBExt"/>
        </w:rPr>
        <w:t>&lt;DocRef&gt;</w:t>
      </w:r>
      <w:r w:rsidRPr="004C6FBB">
        <w:t>(COM(2023)0754 – C9</w:t>
      </w:r>
      <w:r w:rsidR="007B7ADC">
        <w:noBreakHyphen/>
      </w:r>
      <w:r w:rsidRPr="004C6FBB">
        <w:t>0431/2023 – 2023/0438(COD))</w:t>
      </w:r>
      <w:r w:rsidRPr="004C6FBB">
        <w:rPr>
          <w:rStyle w:val="HideTWBExt"/>
        </w:rPr>
        <w:t>&lt;/DocRef&gt;</w:t>
      </w:r>
    </w:p>
    <w:p w14:paraId="7674682B" w14:textId="77777777" w:rsidR="00FC1E12" w:rsidRPr="004C6FBB" w:rsidRDefault="000A0476" w:rsidP="00FC1E12">
      <w:pPr>
        <w:pStyle w:val="LetterSalutation"/>
      </w:pPr>
      <w:r w:rsidRPr="004C6FBB">
        <w:t>Ex.</w:t>
      </w:r>
      <w:r w:rsidRPr="004C6FBB">
        <w:rPr>
          <w:vertAlign w:val="superscript"/>
        </w:rPr>
        <w:t>mo</w:t>
      </w:r>
      <w:r w:rsidRPr="004C6FBB">
        <w:t xml:space="preserve"> Senhor Presidente,</w:t>
      </w:r>
    </w:p>
    <w:p w14:paraId="6ACD38C6" w14:textId="77777777" w:rsidR="00FC1E12" w:rsidRPr="004C6FBB" w:rsidRDefault="000A0476" w:rsidP="006A4CE5">
      <w:pPr>
        <w:pStyle w:val="Normal12a"/>
      </w:pPr>
      <w:r w:rsidRPr="004C6FBB">
        <w:t>Por carta de 12 de setembro de 2025, na sua qualidade de presidente da Comissão das Liberdades Cívicas, da Justiça e dos Assuntos Internos (LIBE), solicitou V. Ex.</w:t>
      </w:r>
      <w:r w:rsidRPr="004C6FBB">
        <w:rPr>
          <w:vertAlign w:val="superscript"/>
        </w:rPr>
        <w:t>a</w:t>
      </w:r>
      <w:r w:rsidRPr="004C6FBB">
        <w:t xml:space="preserve"> à Comissão dos Assuntos Jurídicos (JURI), ao abrigo do disposto no artigo 41.º, n.º 2, do Regimento, que esta emitisse um parecer sobre a adequação da base jurídica da proposta de regulamento do Parlamento Europeu e do Conselho relativo ao reforço da cooperação policial em matéria de prevenção, deteção e investigação da introdução clandestina de migrantes e do tráfico de seres humanos, bem como ao reforço do apoio da Europol na prevenção e combate a esses crimes, e que altera o Regulamento (UE) 2016/794 (</w:t>
      </w:r>
      <w:r w:rsidRPr="004C6FBB">
        <w:t>2023/0438(COD)) (a seguir designado «proposta de regulamento»).</w:t>
      </w:r>
    </w:p>
    <w:p w14:paraId="5E07E735" w14:textId="77777777" w:rsidR="00FC1E12" w:rsidRPr="004C6FBB" w:rsidRDefault="000A0476" w:rsidP="00FC1E12">
      <w:pPr>
        <w:pStyle w:val="Normal12a"/>
      </w:pPr>
      <w:r w:rsidRPr="004C6FBB">
        <w:t>A comissão JURI procedeu à análise da supracitada questão na sua reunião de 13 de outubro de 2025.</w:t>
      </w:r>
    </w:p>
    <w:p w14:paraId="703DD004" w14:textId="401ABAFE" w:rsidR="00FC1E12" w:rsidRPr="004C6FBB" w:rsidRDefault="000A0476" w:rsidP="00FC1E12">
      <w:pPr>
        <w:spacing w:after="240"/>
        <w:jc w:val="both"/>
        <w:rPr>
          <w:b/>
          <w:u w:val="single"/>
        </w:rPr>
      </w:pPr>
      <w:r w:rsidRPr="004C6FBB">
        <w:rPr>
          <w:b/>
          <w:u w:val="single"/>
        </w:rPr>
        <w:t xml:space="preserve">I </w:t>
      </w:r>
      <w:r w:rsidR="007B7ADC">
        <w:rPr>
          <w:b/>
          <w:u w:val="single"/>
        </w:rPr>
        <w:noBreakHyphen/>
      </w:r>
      <w:r w:rsidRPr="004C6FBB">
        <w:rPr>
          <w:b/>
          <w:u w:val="single"/>
        </w:rPr>
        <w:t xml:space="preserve"> Contexto</w:t>
      </w:r>
    </w:p>
    <w:p w14:paraId="0E621BA6" w14:textId="77777777" w:rsidR="00FC1E12" w:rsidRPr="004C6FBB" w:rsidRDefault="000A0476" w:rsidP="006A4CE5">
      <w:r w:rsidRPr="004C6FBB">
        <w:rPr>
          <w:color w:val="000000" w:themeColor="text1"/>
        </w:rPr>
        <w:t>A Comissão LIBE participou nas negociações interinstitucionais sobre a proposta de regulamento.</w:t>
      </w:r>
      <w:r w:rsidRPr="004C6FBB">
        <w:t xml:space="preserve"> </w:t>
      </w:r>
    </w:p>
    <w:p w14:paraId="64CB5BE3" w14:textId="77777777" w:rsidR="00FC1E12" w:rsidRPr="004C6FBB" w:rsidRDefault="00FC1E12" w:rsidP="00FC1E12">
      <w:pPr>
        <w:jc w:val="both"/>
      </w:pPr>
    </w:p>
    <w:p w14:paraId="6890F039" w14:textId="77777777" w:rsidR="00FC1E12" w:rsidRPr="004C6FBB" w:rsidRDefault="000A0476" w:rsidP="006A4CE5">
      <w:pPr>
        <w:spacing w:after="240"/>
        <w:rPr>
          <w:color w:val="000000" w:themeColor="text1"/>
        </w:rPr>
      </w:pPr>
      <w:r w:rsidRPr="004C6FBB">
        <w:rPr>
          <w:color w:val="000000" w:themeColor="text1"/>
        </w:rPr>
        <w:t xml:space="preserve">A proposta de regulamento incluía </w:t>
      </w:r>
      <w:r w:rsidRPr="004C6FBB">
        <w:rPr>
          <w:color w:val="000000" w:themeColor="text1"/>
        </w:rPr>
        <w:t xml:space="preserve">inicialmente, em primeiro lugar, um novo «regulamento </w:t>
      </w:r>
      <w:r w:rsidRPr="004C6FBB">
        <w:rPr>
          <w:color w:val="000000" w:themeColor="text1"/>
        </w:rPr>
        <w:lastRenderedPageBreak/>
        <w:t>autónomo» que, entre outras coisas, criava um Centro Europeu contra a Introdução Clandestina de Migrantes e, em segundo lugar, alterações específicas ao atual mandato da Europol (Regulamento (UE) 2016/794</w:t>
      </w:r>
      <w:r w:rsidRPr="004C6FBB">
        <w:rPr>
          <w:color w:val="000000" w:themeColor="text1"/>
          <w:vertAlign w:val="superscript"/>
        </w:rPr>
        <w:footnoteReference w:id="1"/>
      </w:r>
      <w:r w:rsidRPr="004C6FBB">
        <w:rPr>
          <w:color w:val="000000" w:themeColor="text1"/>
        </w:rPr>
        <w:t xml:space="preserve">, a seguir designado «Regulamento Europol»). </w:t>
      </w:r>
      <w:r w:rsidRPr="004C6FBB">
        <w:t>A base jurídica da proposta de regulamento é composta pelo artigo 85.º, n.º 1, pelo artigo 87.º, n.º 2, e pelo artigo 88.º, n.º 2, do Tratado sobre o Funcionamento da União Europeia (TFUE).</w:t>
      </w:r>
      <w:r w:rsidRPr="004C6FBB">
        <w:rPr>
          <w:color w:val="000000" w:themeColor="text1"/>
        </w:rPr>
        <w:t xml:space="preserve"> A Comissão LIBE não alterou a base jurídica proposta pela Comissão.</w:t>
      </w:r>
    </w:p>
    <w:p w14:paraId="1B5CB5F7" w14:textId="6077E344" w:rsidR="00FC1E12" w:rsidRPr="004C6FBB" w:rsidRDefault="000A0476" w:rsidP="006A4CE5">
      <w:pPr>
        <w:rPr>
          <w:color w:val="000000" w:themeColor="text1"/>
        </w:rPr>
      </w:pPr>
      <w:r w:rsidRPr="004C6FBB">
        <w:rPr>
          <w:color w:val="000000" w:themeColor="text1"/>
        </w:rPr>
        <w:t>Tanto o Parlamento como o Conselho decidiram, nos seus mandatos para negociações interinstitucionais, limitar o âmbito de aplicação da proposta de regulamento às alterações ao atual mandato da Europol, sem modificar a base jurídica. A limitação do objetivo e do conteúdo da proposta de regulamento foi posteriormente acordada a título provisório durante as negociações interinstitucionais. Por conseguinte, afigurou</w:t>
      </w:r>
      <w:r w:rsidR="007B7ADC">
        <w:rPr>
          <w:color w:val="000000" w:themeColor="text1"/>
        </w:rPr>
        <w:noBreakHyphen/>
      </w:r>
      <w:r w:rsidRPr="004C6FBB">
        <w:rPr>
          <w:color w:val="000000" w:themeColor="text1"/>
        </w:rPr>
        <w:t>se necessário adaptar a base jurídica e basear o ato unicamente no artigo 88.º, n.º 2, do TFUE, ou seja, suprimir o artigo 85.º, n.º 1, e o artigo 87.º, n.º 2, do TFUE.</w:t>
      </w:r>
    </w:p>
    <w:p w14:paraId="4EBD96DA" w14:textId="77777777" w:rsidR="00FC1E12" w:rsidRPr="004C6FBB" w:rsidRDefault="00FC1E12" w:rsidP="00FC1E12">
      <w:pPr>
        <w:jc w:val="both"/>
        <w:rPr>
          <w:color w:val="000000" w:themeColor="text1"/>
        </w:rPr>
      </w:pPr>
    </w:p>
    <w:p w14:paraId="5A510608" w14:textId="77777777" w:rsidR="00FC1E12" w:rsidRPr="004C6FBB" w:rsidRDefault="000A0476" w:rsidP="006A4CE5">
      <w:pPr>
        <w:spacing w:after="240"/>
      </w:pPr>
      <w:r w:rsidRPr="004C6FBB">
        <w:rPr>
          <w:color w:val="000000" w:themeColor="text1"/>
        </w:rPr>
        <w:t>Nos termos do artigo 41.º, n.º 2, a Comissão LIBE solicita, por conseguinte, à Comissão JURI que emita o seu parecer sobre a adequação da base jurídica assim alterada.</w:t>
      </w:r>
    </w:p>
    <w:p w14:paraId="71613CC4" w14:textId="0085ABB1" w:rsidR="00FC1E12" w:rsidRPr="004C6FBB" w:rsidRDefault="000A0476" w:rsidP="00FC1E12">
      <w:pPr>
        <w:tabs>
          <w:tab w:val="left" w:pos="567"/>
          <w:tab w:val="left" w:pos="7014"/>
        </w:tabs>
        <w:spacing w:after="240"/>
        <w:ind w:left="567" w:hanging="567"/>
        <w:rPr>
          <w:rStyle w:val="Nessuno"/>
          <w:b/>
          <w:bCs/>
        </w:rPr>
      </w:pPr>
      <w:r w:rsidRPr="004C6FBB">
        <w:rPr>
          <w:b/>
          <w:u w:val="single"/>
        </w:rPr>
        <w:t xml:space="preserve">II </w:t>
      </w:r>
      <w:r w:rsidR="007B7ADC">
        <w:rPr>
          <w:b/>
          <w:u w:val="single"/>
        </w:rPr>
        <w:noBreakHyphen/>
      </w:r>
      <w:r w:rsidRPr="004C6FBB">
        <w:rPr>
          <w:b/>
          <w:u w:val="single"/>
        </w:rPr>
        <w:t xml:space="preserve"> Artigos pertinentes do Tratado</w:t>
      </w:r>
    </w:p>
    <w:p w14:paraId="3A651F91" w14:textId="77777777" w:rsidR="00FC1E12" w:rsidRPr="004C6FBB" w:rsidRDefault="000A0476" w:rsidP="006A4CE5">
      <w:pPr>
        <w:tabs>
          <w:tab w:val="left" w:pos="7014"/>
        </w:tabs>
        <w:rPr>
          <w:rStyle w:val="Nessuno"/>
          <w:bCs/>
        </w:rPr>
      </w:pPr>
      <w:r w:rsidRPr="004C6FBB">
        <w:rPr>
          <w:rStyle w:val="Nessuno"/>
        </w:rPr>
        <w:t>O capítulo 4 («Cooperação judiciária em matéria penal») da parte III, título V, do TFUE estabelece, entre outras coisas (negrito nosso):</w:t>
      </w:r>
    </w:p>
    <w:p w14:paraId="5478DAF6" w14:textId="77777777" w:rsidR="00FC1E12" w:rsidRPr="004C6FBB" w:rsidRDefault="00FC1E12" w:rsidP="00FC1E12">
      <w:pPr>
        <w:tabs>
          <w:tab w:val="left" w:pos="7014"/>
        </w:tabs>
        <w:rPr>
          <w:rStyle w:val="Nessuno"/>
          <w:bCs/>
          <w:i/>
        </w:rPr>
      </w:pPr>
    </w:p>
    <w:p w14:paraId="3B74EEAD" w14:textId="77777777" w:rsidR="00FC1E12" w:rsidRPr="004C6FBB" w:rsidRDefault="000A0476" w:rsidP="00FC1E12">
      <w:pPr>
        <w:tabs>
          <w:tab w:val="left" w:pos="7014"/>
        </w:tabs>
        <w:jc w:val="center"/>
        <w:rPr>
          <w:rStyle w:val="Nessuno"/>
          <w:bCs/>
          <w:i/>
        </w:rPr>
      </w:pPr>
      <w:r w:rsidRPr="004C6FBB">
        <w:rPr>
          <w:rStyle w:val="Nessuno"/>
          <w:i/>
        </w:rPr>
        <w:t>Artigo 85.º</w:t>
      </w:r>
    </w:p>
    <w:p w14:paraId="0FF53E7D" w14:textId="7788A22C" w:rsidR="00FC1E12" w:rsidRPr="004C6FBB" w:rsidRDefault="000A0476" w:rsidP="00FC1E12">
      <w:pPr>
        <w:tabs>
          <w:tab w:val="left" w:pos="7014"/>
        </w:tabs>
        <w:jc w:val="center"/>
        <w:rPr>
          <w:rStyle w:val="Nessuno"/>
          <w:bCs/>
          <w:i/>
        </w:rPr>
      </w:pPr>
      <w:r w:rsidRPr="004C6FBB">
        <w:rPr>
          <w:i/>
        </w:rPr>
        <w:t>(ex</w:t>
      </w:r>
      <w:r w:rsidR="007B7ADC">
        <w:rPr>
          <w:i/>
        </w:rPr>
        <w:noBreakHyphen/>
      </w:r>
      <w:r w:rsidRPr="004C6FBB">
        <w:rPr>
          <w:i/>
        </w:rPr>
        <w:t>artigo 31.º TUE)</w:t>
      </w:r>
    </w:p>
    <w:p w14:paraId="4E6AFA81" w14:textId="77777777" w:rsidR="00FC1E12" w:rsidRPr="004C6FBB" w:rsidRDefault="00FC1E12" w:rsidP="00FC1E12">
      <w:pPr>
        <w:tabs>
          <w:tab w:val="left" w:pos="7014"/>
        </w:tabs>
        <w:jc w:val="both"/>
        <w:rPr>
          <w:rStyle w:val="Nessuno"/>
          <w:bCs/>
          <w:i/>
        </w:rPr>
      </w:pPr>
    </w:p>
    <w:p w14:paraId="7919106F" w14:textId="77777777" w:rsidR="00FC1E12" w:rsidRPr="004C6FBB" w:rsidRDefault="00FC1E12" w:rsidP="00C82F7E">
      <w:pPr>
        <w:tabs>
          <w:tab w:val="left" w:pos="7014"/>
        </w:tabs>
        <w:ind w:left="426" w:hanging="426"/>
        <w:jc w:val="both"/>
        <w:rPr>
          <w:rStyle w:val="Nessuno"/>
          <w:b/>
          <w:bCs/>
          <w:i/>
        </w:rPr>
      </w:pPr>
    </w:p>
    <w:p w14:paraId="51986FE7" w14:textId="77777777" w:rsidR="00571C42" w:rsidRPr="004C6FBB" w:rsidRDefault="00571C42" w:rsidP="00C82F7E">
      <w:pPr>
        <w:tabs>
          <w:tab w:val="left" w:pos="7014"/>
        </w:tabs>
        <w:ind w:left="426" w:hanging="426"/>
        <w:jc w:val="both"/>
        <w:rPr>
          <w:rStyle w:val="Nessuno"/>
          <w:b/>
          <w:bCs/>
          <w:i/>
        </w:rPr>
      </w:pPr>
    </w:p>
    <w:p w14:paraId="6009DB3D" w14:textId="66D973AF" w:rsidR="00571C42" w:rsidRPr="004C6FBB" w:rsidRDefault="000A0476" w:rsidP="00C82F7E">
      <w:pPr>
        <w:tabs>
          <w:tab w:val="left" w:pos="7014"/>
        </w:tabs>
        <w:ind w:left="360" w:hanging="360"/>
        <w:jc w:val="both"/>
        <w:rPr>
          <w:rStyle w:val="Nessuno"/>
          <w:b/>
          <w:i/>
        </w:rPr>
      </w:pPr>
      <w:r w:rsidRPr="004C6FBB">
        <w:rPr>
          <w:rStyle w:val="Nessuno"/>
          <w:b/>
          <w:i/>
        </w:rPr>
        <w:t>1.</w:t>
      </w:r>
      <w:r w:rsidRPr="004C6FBB">
        <w:rPr>
          <w:rStyle w:val="Nessuno"/>
          <w:b/>
          <w:i/>
        </w:rPr>
        <w:tab/>
        <w:t xml:space="preserve">A </w:t>
      </w:r>
      <w:r w:rsidRPr="004C6FBB">
        <w:rPr>
          <w:rStyle w:val="Nessuno"/>
          <w:b/>
          <w:i/>
        </w:rPr>
        <w:t>Eurojust tem por missão apoiar e reforçar a coordenação e a cooperação entre as autoridades nacionais competentes para a investigação e o exercício da ação penal em matéria de criminalidade grave que afete dois ou mais Estados</w:t>
      </w:r>
      <w:r w:rsidR="007B7ADC">
        <w:rPr>
          <w:rStyle w:val="Nessuno"/>
          <w:b/>
          <w:i/>
        </w:rPr>
        <w:noBreakHyphen/>
      </w:r>
      <w:r w:rsidRPr="004C6FBB">
        <w:rPr>
          <w:rStyle w:val="Nessuno"/>
          <w:b/>
          <w:i/>
        </w:rPr>
        <w:t>Membros ou que exija o exercício de uma ação penal assente em bases comuns, com base nas operações conduzidas e nas informações transmitidas pelas autoridades dos Estados</w:t>
      </w:r>
      <w:r w:rsidR="007B7ADC">
        <w:rPr>
          <w:rStyle w:val="Nessuno"/>
          <w:b/>
          <w:i/>
        </w:rPr>
        <w:noBreakHyphen/>
      </w:r>
      <w:r w:rsidRPr="004C6FBB">
        <w:rPr>
          <w:rStyle w:val="Nessuno"/>
          <w:b/>
          <w:i/>
        </w:rPr>
        <w:t>Membros e pela Europol.</w:t>
      </w:r>
    </w:p>
    <w:p w14:paraId="752CA9B2" w14:textId="77777777" w:rsidR="00571C42" w:rsidRPr="004C6FBB" w:rsidRDefault="000A0476" w:rsidP="00571C42">
      <w:pPr>
        <w:tabs>
          <w:tab w:val="left" w:pos="7014"/>
        </w:tabs>
        <w:ind w:left="426" w:hanging="426"/>
        <w:jc w:val="both"/>
        <w:rPr>
          <w:rStyle w:val="Nessuno"/>
          <w:b/>
          <w:i/>
        </w:rPr>
      </w:pPr>
      <w:r w:rsidRPr="004C6FBB">
        <w:rPr>
          <w:rStyle w:val="Nessuno"/>
          <w:b/>
          <w:i/>
        </w:rPr>
        <w:tab/>
        <w:t>Neste contexto, o Parlamento Europeu e o Conselho, por meio de regulamentos adotados de acordo com o processo legislativo ordinário, determinam a estrutura, o funcionamento, o domínio de ação e as funções da Eurojust. As funções da Europol podem incluir:</w:t>
      </w:r>
    </w:p>
    <w:p w14:paraId="4D76F924" w14:textId="77777777" w:rsidR="00571C42" w:rsidRPr="004C6FBB" w:rsidRDefault="00571C42" w:rsidP="00571C42">
      <w:pPr>
        <w:tabs>
          <w:tab w:val="left" w:pos="7014"/>
        </w:tabs>
        <w:ind w:left="426" w:hanging="426"/>
        <w:jc w:val="both"/>
        <w:rPr>
          <w:rStyle w:val="Nessuno"/>
          <w:b/>
          <w:i/>
        </w:rPr>
      </w:pPr>
    </w:p>
    <w:p w14:paraId="6840AE12" w14:textId="77777777" w:rsidR="00571C42" w:rsidRPr="004C6FBB" w:rsidRDefault="000A0476" w:rsidP="00571C42">
      <w:pPr>
        <w:tabs>
          <w:tab w:val="left" w:pos="7014"/>
        </w:tabs>
        <w:ind w:left="851" w:hanging="426"/>
        <w:jc w:val="both"/>
        <w:rPr>
          <w:rStyle w:val="Nessuno"/>
          <w:b/>
          <w:i/>
        </w:rPr>
      </w:pPr>
      <w:r w:rsidRPr="004C6FBB">
        <w:rPr>
          <w:rStyle w:val="Nessuno"/>
          <w:b/>
          <w:i/>
        </w:rPr>
        <w:t xml:space="preserve">a) </w:t>
      </w:r>
      <w:r w:rsidRPr="004C6FBB">
        <w:rPr>
          <w:rStyle w:val="Nessuno"/>
          <w:b/>
          <w:i/>
        </w:rPr>
        <w:tab/>
        <w:t>A abertura de investigações criminais e a proposta de instauração de ações penais conduzidas pelas autoridades nacionais competentes, em especial as relativas a infrações lesivas dos interesses financeiros da União;</w:t>
      </w:r>
    </w:p>
    <w:p w14:paraId="1462DA22" w14:textId="77777777" w:rsidR="00571C42" w:rsidRPr="004C6FBB" w:rsidRDefault="00571C42" w:rsidP="00571C42">
      <w:pPr>
        <w:tabs>
          <w:tab w:val="left" w:pos="7014"/>
        </w:tabs>
        <w:ind w:left="851" w:hanging="426"/>
        <w:jc w:val="both"/>
        <w:rPr>
          <w:rStyle w:val="Nessuno"/>
          <w:b/>
          <w:i/>
        </w:rPr>
      </w:pPr>
    </w:p>
    <w:p w14:paraId="2F570BEA" w14:textId="77777777" w:rsidR="00571C42" w:rsidRPr="004C6FBB" w:rsidRDefault="000A0476" w:rsidP="00571C42">
      <w:pPr>
        <w:tabs>
          <w:tab w:val="left" w:pos="7014"/>
        </w:tabs>
        <w:ind w:left="851" w:hanging="426"/>
        <w:jc w:val="both"/>
        <w:rPr>
          <w:rStyle w:val="Nessuno"/>
          <w:b/>
          <w:i/>
        </w:rPr>
      </w:pPr>
      <w:r w:rsidRPr="004C6FBB">
        <w:rPr>
          <w:rStyle w:val="Nessuno"/>
          <w:b/>
          <w:i/>
        </w:rPr>
        <w:t xml:space="preserve">b) </w:t>
      </w:r>
      <w:r w:rsidRPr="004C6FBB">
        <w:rPr>
          <w:rStyle w:val="Nessuno"/>
          <w:b/>
          <w:i/>
        </w:rPr>
        <w:tab/>
        <w:t>A coordenação das investigações e ações penais referidas na alínea a);</w:t>
      </w:r>
    </w:p>
    <w:p w14:paraId="3970E760" w14:textId="77777777" w:rsidR="00571C42" w:rsidRPr="004C6FBB" w:rsidRDefault="00571C42" w:rsidP="00571C42">
      <w:pPr>
        <w:tabs>
          <w:tab w:val="left" w:pos="7014"/>
        </w:tabs>
        <w:ind w:left="851" w:hanging="426"/>
        <w:jc w:val="both"/>
        <w:rPr>
          <w:rStyle w:val="Nessuno"/>
          <w:b/>
          <w:i/>
        </w:rPr>
      </w:pPr>
    </w:p>
    <w:p w14:paraId="3B691FC6" w14:textId="77777777" w:rsidR="00571C42" w:rsidRPr="004C6FBB" w:rsidRDefault="000A0476" w:rsidP="00571C42">
      <w:pPr>
        <w:tabs>
          <w:tab w:val="left" w:pos="7014"/>
        </w:tabs>
        <w:ind w:left="851" w:hanging="426"/>
        <w:jc w:val="both"/>
        <w:rPr>
          <w:rStyle w:val="Nessuno"/>
          <w:b/>
          <w:i/>
        </w:rPr>
      </w:pPr>
      <w:r w:rsidRPr="004C6FBB">
        <w:rPr>
          <w:rStyle w:val="Nessuno"/>
          <w:b/>
          <w:i/>
        </w:rPr>
        <w:t xml:space="preserve">c) </w:t>
      </w:r>
      <w:r w:rsidRPr="004C6FBB">
        <w:rPr>
          <w:rStyle w:val="Nessuno"/>
          <w:b/>
          <w:i/>
        </w:rPr>
        <w:tab/>
        <w:t>O reforço da cooperação judiciária, inclusive mediante a resolução de conflitos de jurisdição e uma estreita cooperação com a Rede Judiciária Europeia.</w:t>
      </w:r>
    </w:p>
    <w:p w14:paraId="4AF4B6DC" w14:textId="77777777" w:rsidR="00571C42" w:rsidRPr="004C6FBB" w:rsidRDefault="00571C42" w:rsidP="00571C42">
      <w:pPr>
        <w:tabs>
          <w:tab w:val="left" w:pos="7014"/>
        </w:tabs>
        <w:ind w:left="851" w:hanging="426"/>
        <w:jc w:val="both"/>
        <w:rPr>
          <w:rStyle w:val="Nessuno"/>
          <w:b/>
          <w:i/>
        </w:rPr>
      </w:pPr>
    </w:p>
    <w:p w14:paraId="2917FE26" w14:textId="77777777" w:rsidR="00571C42" w:rsidRPr="004C6FBB" w:rsidRDefault="000A0476" w:rsidP="00C82F7E">
      <w:pPr>
        <w:tabs>
          <w:tab w:val="left" w:pos="7014"/>
        </w:tabs>
        <w:ind w:left="426" w:hanging="426"/>
        <w:jc w:val="both"/>
        <w:rPr>
          <w:rStyle w:val="Nessuno"/>
          <w:b/>
          <w:bCs/>
          <w:i/>
        </w:rPr>
      </w:pPr>
      <w:r w:rsidRPr="004C6FBB">
        <w:rPr>
          <w:rStyle w:val="Nessuno"/>
          <w:b/>
          <w:i/>
        </w:rPr>
        <w:t>Esses regulamentos definem igualmente as modalidades de associação do Parlamento Europeu e dos Parlamentos nacionais à avaliação das atividades da Eurojust.</w:t>
      </w:r>
    </w:p>
    <w:p w14:paraId="187DC4AF" w14:textId="77777777" w:rsidR="00FC1E12" w:rsidRPr="004C6FBB" w:rsidRDefault="00FC1E12" w:rsidP="00FC1E12">
      <w:pPr>
        <w:tabs>
          <w:tab w:val="left" w:pos="7014"/>
        </w:tabs>
        <w:jc w:val="both"/>
        <w:rPr>
          <w:rStyle w:val="Nessuno"/>
          <w:bCs/>
          <w:i/>
        </w:rPr>
      </w:pPr>
    </w:p>
    <w:p w14:paraId="2BEF2EFD" w14:textId="77777777" w:rsidR="00FC1E12" w:rsidRPr="004C6FBB" w:rsidRDefault="000A0476" w:rsidP="00FC1E12">
      <w:pPr>
        <w:tabs>
          <w:tab w:val="left" w:pos="7014"/>
        </w:tabs>
        <w:ind w:left="426" w:hanging="426"/>
        <w:jc w:val="both"/>
        <w:rPr>
          <w:rStyle w:val="Nessuno"/>
          <w:bCs/>
          <w:i/>
        </w:rPr>
      </w:pPr>
      <w:r w:rsidRPr="004C6FBB">
        <w:rPr>
          <w:rStyle w:val="Nessuno"/>
          <w:i/>
        </w:rPr>
        <w:t>[...]</w:t>
      </w:r>
    </w:p>
    <w:p w14:paraId="11EA6958" w14:textId="77777777" w:rsidR="00FC1E12" w:rsidRPr="004C6FBB" w:rsidRDefault="00FC1E12" w:rsidP="00FC1E12">
      <w:pPr>
        <w:tabs>
          <w:tab w:val="left" w:pos="7014"/>
        </w:tabs>
        <w:ind w:left="426" w:hanging="426"/>
        <w:jc w:val="both"/>
        <w:rPr>
          <w:rStyle w:val="Nessuno"/>
          <w:bCs/>
          <w:i/>
        </w:rPr>
      </w:pPr>
    </w:p>
    <w:p w14:paraId="68D808BE" w14:textId="77777777" w:rsidR="00FC1E12" w:rsidRPr="004C6FBB" w:rsidRDefault="000A0476" w:rsidP="006A4CE5">
      <w:pPr>
        <w:tabs>
          <w:tab w:val="left" w:pos="7014"/>
        </w:tabs>
        <w:rPr>
          <w:rStyle w:val="Nessuno"/>
          <w:bCs/>
        </w:rPr>
      </w:pPr>
      <w:r w:rsidRPr="004C6FBB">
        <w:rPr>
          <w:rStyle w:val="Nessuno"/>
        </w:rPr>
        <w:t>O capítulo 5 («Cooperação policial») da parte III, título V, do TFUE estabelece, entre outras coisas (negrito nosso):</w:t>
      </w:r>
    </w:p>
    <w:p w14:paraId="42D44E92" w14:textId="77777777" w:rsidR="00FC1E12" w:rsidRPr="004C6FBB" w:rsidRDefault="00FC1E12" w:rsidP="00FC1E12">
      <w:pPr>
        <w:tabs>
          <w:tab w:val="left" w:pos="7014"/>
        </w:tabs>
        <w:jc w:val="both"/>
        <w:rPr>
          <w:rStyle w:val="Nessuno"/>
          <w:bCs/>
        </w:rPr>
      </w:pPr>
    </w:p>
    <w:p w14:paraId="65D6FFF1" w14:textId="77777777" w:rsidR="00FC1E12" w:rsidRPr="004C6FBB" w:rsidRDefault="000A0476" w:rsidP="00FC1E12">
      <w:pPr>
        <w:tabs>
          <w:tab w:val="left" w:pos="7014"/>
        </w:tabs>
        <w:jc w:val="center"/>
        <w:rPr>
          <w:rStyle w:val="Nessuno"/>
          <w:bCs/>
          <w:i/>
        </w:rPr>
      </w:pPr>
      <w:r w:rsidRPr="004C6FBB">
        <w:rPr>
          <w:rStyle w:val="Nessuno"/>
          <w:i/>
        </w:rPr>
        <w:t>Artigo 87.º</w:t>
      </w:r>
    </w:p>
    <w:p w14:paraId="0425B6A4" w14:textId="6126D39D" w:rsidR="00FC1E12" w:rsidRPr="004C6FBB" w:rsidRDefault="000A0476" w:rsidP="00FC1E12">
      <w:pPr>
        <w:tabs>
          <w:tab w:val="left" w:pos="7014"/>
        </w:tabs>
        <w:jc w:val="center"/>
        <w:rPr>
          <w:rStyle w:val="Nessuno"/>
          <w:bCs/>
          <w:i/>
        </w:rPr>
      </w:pPr>
      <w:r w:rsidRPr="004C6FBB">
        <w:rPr>
          <w:rStyle w:val="Nessuno"/>
          <w:i/>
        </w:rPr>
        <w:t>(ex</w:t>
      </w:r>
      <w:r w:rsidR="007B7ADC">
        <w:rPr>
          <w:rStyle w:val="Nessuno"/>
          <w:i/>
        </w:rPr>
        <w:noBreakHyphen/>
      </w:r>
      <w:r w:rsidRPr="004C6FBB">
        <w:rPr>
          <w:rStyle w:val="Nessuno"/>
          <w:i/>
        </w:rPr>
        <w:t>artigo 30.º TUE)</w:t>
      </w:r>
    </w:p>
    <w:p w14:paraId="35DC6F3F" w14:textId="77777777" w:rsidR="00FC1E12" w:rsidRPr="004C6FBB" w:rsidRDefault="00FC1E12" w:rsidP="00FC1E12">
      <w:pPr>
        <w:tabs>
          <w:tab w:val="left" w:pos="7014"/>
        </w:tabs>
        <w:jc w:val="center"/>
        <w:rPr>
          <w:rStyle w:val="Nessuno"/>
          <w:bCs/>
          <w:i/>
        </w:rPr>
      </w:pPr>
    </w:p>
    <w:p w14:paraId="64A48A2B" w14:textId="3BD3CEF4" w:rsidR="00FC1E12" w:rsidRPr="004C6FBB" w:rsidRDefault="000A0476" w:rsidP="00FC1E12">
      <w:pPr>
        <w:tabs>
          <w:tab w:val="left" w:pos="7014"/>
        </w:tabs>
        <w:ind w:left="426" w:hanging="426"/>
        <w:jc w:val="both"/>
        <w:rPr>
          <w:rStyle w:val="Nessuno"/>
          <w:bCs/>
          <w:i/>
        </w:rPr>
      </w:pPr>
      <w:r w:rsidRPr="004C6FBB">
        <w:rPr>
          <w:rStyle w:val="Nessuno"/>
          <w:i/>
        </w:rPr>
        <w:t>1.</w:t>
      </w:r>
      <w:r w:rsidRPr="004C6FBB">
        <w:rPr>
          <w:rStyle w:val="Nessuno"/>
          <w:i/>
        </w:rPr>
        <w:tab/>
        <w:t xml:space="preserve">A União desenvolve uma cooperação policial que associa todas as </w:t>
      </w:r>
      <w:r w:rsidRPr="004C6FBB">
        <w:rPr>
          <w:rStyle w:val="Nessuno"/>
          <w:i/>
        </w:rPr>
        <w:t>autoridades competentes dos Estados</w:t>
      </w:r>
      <w:r w:rsidR="007B7ADC">
        <w:rPr>
          <w:rStyle w:val="Nessuno"/>
          <w:i/>
        </w:rPr>
        <w:noBreakHyphen/>
      </w:r>
      <w:r w:rsidRPr="004C6FBB">
        <w:rPr>
          <w:rStyle w:val="Nessuno"/>
          <w:i/>
        </w:rPr>
        <w:t>Membros, incluindo os serviços de polícia, das alfândegas e outros serviços responsáveis pela aplicação da lei especializados nos domínios da prevenção ou deteção de infrações penais e das investigações nessa matéria.</w:t>
      </w:r>
    </w:p>
    <w:p w14:paraId="17557C00" w14:textId="77777777" w:rsidR="00FC1E12" w:rsidRPr="004C6FBB" w:rsidRDefault="00FC1E12" w:rsidP="00FC1E12">
      <w:pPr>
        <w:tabs>
          <w:tab w:val="left" w:pos="7014"/>
        </w:tabs>
        <w:jc w:val="both"/>
        <w:rPr>
          <w:rStyle w:val="Nessuno"/>
          <w:bCs/>
          <w:i/>
        </w:rPr>
      </w:pPr>
    </w:p>
    <w:p w14:paraId="4582C073" w14:textId="77777777" w:rsidR="00FC1E12" w:rsidRPr="004C6FBB" w:rsidRDefault="000A0476" w:rsidP="00FC1E12">
      <w:pPr>
        <w:tabs>
          <w:tab w:val="left" w:pos="7014"/>
        </w:tabs>
        <w:ind w:left="426" w:hanging="426"/>
        <w:jc w:val="both"/>
        <w:rPr>
          <w:rStyle w:val="Nessuno"/>
          <w:b/>
          <w:i/>
        </w:rPr>
      </w:pPr>
      <w:r w:rsidRPr="004C6FBB">
        <w:rPr>
          <w:rStyle w:val="Nessuno"/>
          <w:b/>
          <w:i/>
        </w:rPr>
        <w:t xml:space="preserve">2. </w:t>
      </w:r>
      <w:r w:rsidRPr="004C6FBB">
        <w:rPr>
          <w:rStyle w:val="Nessuno"/>
          <w:b/>
          <w:i/>
        </w:rPr>
        <w:tab/>
        <w:t>Para efeitos do n.º 1, o Parlamento Europeu e o Conselho, deliberando de acordo com o processo legislativo ordinário, podem estabelecer medidas sobre:</w:t>
      </w:r>
    </w:p>
    <w:p w14:paraId="441DDB50" w14:textId="77777777" w:rsidR="00FC1E12" w:rsidRPr="004C6FBB" w:rsidRDefault="00FC1E12" w:rsidP="00FC1E12">
      <w:pPr>
        <w:tabs>
          <w:tab w:val="left" w:pos="7014"/>
        </w:tabs>
        <w:jc w:val="both"/>
        <w:rPr>
          <w:rStyle w:val="Nessuno"/>
          <w:b/>
          <w:i/>
        </w:rPr>
      </w:pPr>
    </w:p>
    <w:p w14:paraId="4873563E" w14:textId="77777777" w:rsidR="00FC1E12" w:rsidRPr="004C6FBB" w:rsidRDefault="000A0476" w:rsidP="00FC1E12">
      <w:pPr>
        <w:tabs>
          <w:tab w:val="left" w:pos="7014"/>
        </w:tabs>
        <w:ind w:left="851" w:hanging="425"/>
        <w:jc w:val="both"/>
        <w:rPr>
          <w:rStyle w:val="Nessuno"/>
          <w:b/>
          <w:i/>
        </w:rPr>
      </w:pPr>
      <w:r w:rsidRPr="004C6FBB">
        <w:rPr>
          <w:rStyle w:val="Nessuno"/>
          <w:b/>
          <w:i/>
        </w:rPr>
        <w:t>a)</w:t>
      </w:r>
      <w:r w:rsidRPr="004C6FBB">
        <w:rPr>
          <w:rStyle w:val="Nessuno"/>
          <w:b/>
          <w:i/>
        </w:rPr>
        <w:tab/>
        <w:t>Recolha, armazenamento, tratamento, análise e intercâmbio de informações pertinentes;</w:t>
      </w:r>
    </w:p>
    <w:p w14:paraId="0BC05B9F" w14:textId="77777777" w:rsidR="00FC1E12" w:rsidRPr="004C6FBB" w:rsidRDefault="00FC1E12" w:rsidP="00FC1E12">
      <w:pPr>
        <w:tabs>
          <w:tab w:val="left" w:pos="7014"/>
        </w:tabs>
        <w:ind w:left="851" w:hanging="425"/>
        <w:jc w:val="both"/>
        <w:rPr>
          <w:rStyle w:val="Nessuno"/>
          <w:b/>
          <w:i/>
        </w:rPr>
      </w:pPr>
    </w:p>
    <w:p w14:paraId="6D87A718" w14:textId="77777777" w:rsidR="00FC1E12" w:rsidRPr="004C6FBB" w:rsidRDefault="000A0476" w:rsidP="00FC1E12">
      <w:pPr>
        <w:tabs>
          <w:tab w:val="left" w:pos="7014"/>
        </w:tabs>
        <w:ind w:left="851" w:hanging="425"/>
        <w:jc w:val="both"/>
        <w:rPr>
          <w:rStyle w:val="Nessuno"/>
          <w:b/>
          <w:i/>
        </w:rPr>
      </w:pPr>
      <w:r w:rsidRPr="004C6FBB">
        <w:rPr>
          <w:rStyle w:val="Nessuno"/>
          <w:b/>
          <w:i/>
        </w:rPr>
        <w:t>b)</w:t>
      </w:r>
      <w:r w:rsidRPr="004C6FBB">
        <w:rPr>
          <w:rStyle w:val="Nessuno"/>
          <w:b/>
          <w:i/>
        </w:rPr>
        <w:tab/>
        <w:t>Apoio à formação de pessoal, bem como em matéria de cooperação relativa ao intercâmbio de pessoal, ao equipamento e à investigação em criminalística;</w:t>
      </w:r>
    </w:p>
    <w:p w14:paraId="082236BD" w14:textId="77777777" w:rsidR="00FC1E12" w:rsidRPr="004C6FBB" w:rsidRDefault="00FC1E12" w:rsidP="00FC1E12">
      <w:pPr>
        <w:tabs>
          <w:tab w:val="left" w:pos="7014"/>
        </w:tabs>
        <w:ind w:left="851" w:hanging="425"/>
        <w:jc w:val="both"/>
        <w:rPr>
          <w:rStyle w:val="Nessuno"/>
          <w:b/>
          <w:i/>
        </w:rPr>
      </w:pPr>
    </w:p>
    <w:p w14:paraId="239A9D3F" w14:textId="77777777" w:rsidR="00FC1E12" w:rsidRPr="004C6FBB" w:rsidRDefault="000A0476" w:rsidP="00FC1E12">
      <w:pPr>
        <w:tabs>
          <w:tab w:val="left" w:pos="7014"/>
        </w:tabs>
        <w:ind w:left="851" w:hanging="425"/>
        <w:jc w:val="both"/>
        <w:rPr>
          <w:rStyle w:val="Nessuno"/>
          <w:b/>
          <w:i/>
        </w:rPr>
      </w:pPr>
      <w:r w:rsidRPr="004C6FBB">
        <w:rPr>
          <w:rStyle w:val="Nessuno"/>
          <w:b/>
          <w:i/>
        </w:rPr>
        <w:t>c)</w:t>
      </w:r>
      <w:r w:rsidRPr="004C6FBB">
        <w:rPr>
          <w:rStyle w:val="Nessuno"/>
          <w:b/>
          <w:i/>
        </w:rPr>
        <w:tab/>
        <w:t>Técnicas comuns de investigação relativas à deteção de formas graves de criminalidade organizada.</w:t>
      </w:r>
    </w:p>
    <w:p w14:paraId="7D8F3048" w14:textId="77777777" w:rsidR="00FC1E12" w:rsidRPr="004C6FBB" w:rsidRDefault="00FC1E12" w:rsidP="00FC1E12">
      <w:pPr>
        <w:tabs>
          <w:tab w:val="left" w:pos="7014"/>
        </w:tabs>
        <w:jc w:val="both"/>
        <w:rPr>
          <w:rStyle w:val="Nessuno"/>
          <w:bCs/>
          <w:i/>
        </w:rPr>
      </w:pPr>
    </w:p>
    <w:p w14:paraId="793C3569" w14:textId="77777777" w:rsidR="00FC1E12" w:rsidRPr="004C6FBB" w:rsidRDefault="000A0476" w:rsidP="00FC1E12">
      <w:pPr>
        <w:tabs>
          <w:tab w:val="left" w:pos="7014"/>
        </w:tabs>
        <w:jc w:val="both"/>
        <w:rPr>
          <w:rStyle w:val="Nessuno"/>
          <w:bCs/>
          <w:i/>
        </w:rPr>
      </w:pPr>
      <w:r w:rsidRPr="004C6FBB">
        <w:rPr>
          <w:rStyle w:val="Nessuno"/>
          <w:i/>
        </w:rPr>
        <w:t>[...]</w:t>
      </w:r>
    </w:p>
    <w:p w14:paraId="15D9F5B5" w14:textId="77777777" w:rsidR="00FC1E12" w:rsidRPr="004C6FBB" w:rsidRDefault="00FC1E12" w:rsidP="00FC1E12">
      <w:pPr>
        <w:tabs>
          <w:tab w:val="left" w:pos="7014"/>
        </w:tabs>
        <w:jc w:val="both"/>
        <w:rPr>
          <w:rStyle w:val="Nessuno"/>
          <w:bCs/>
          <w:i/>
        </w:rPr>
      </w:pPr>
    </w:p>
    <w:p w14:paraId="65B3DE45" w14:textId="77777777" w:rsidR="00FC1E12" w:rsidRPr="004C6FBB" w:rsidRDefault="000A0476" w:rsidP="00FC1E12">
      <w:pPr>
        <w:tabs>
          <w:tab w:val="left" w:pos="7014"/>
        </w:tabs>
        <w:jc w:val="center"/>
        <w:rPr>
          <w:rStyle w:val="Nessuno"/>
          <w:bCs/>
          <w:i/>
        </w:rPr>
      </w:pPr>
      <w:r w:rsidRPr="004C6FBB">
        <w:rPr>
          <w:rStyle w:val="Nessuno"/>
          <w:i/>
        </w:rPr>
        <w:t>Artigo 88.º</w:t>
      </w:r>
    </w:p>
    <w:p w14:paraId="4062DBC7" w14:textId="5AB3318E" w:rsidR="00FC1E12" w:rsidRPr="004C6FBB" w:rsidRDefault="000A0476" w:rsidP="00FC1E12">
      <w:pPr>
        <w:tabs>
          <w:tab w:val="left" w:pos="7014"/>
        </w:tabs>
        <w:jc w:val="center"/>
        <w:rPr>
          <w:rStyle w:val="Nessuno"/>
          <w:bCs/>
          <w:i/>
        </w:rPr>
      </w:pPr>
      <w:r w:rsidRPr="004C6FBB">
        <w:rPr>
          <w:rStyle w:val="Nessuno"/>
          <w:i/>
        </w:rPr>
        <w:t>(ex</w:t>
      </w:r>
      <w:r w:rsidR="007B7ADC">
        <w:rPr>
          <w:rStyle w:val="Nessuno"/>
          <w:i/>
        </w:rPr>
        <w:noBreakHyphen/>
      </w:r>
      <w:r w:rsidRPr="004C6FBB">
        <w:rPr>
          <w:rStyle w:val="Nessuno"/>
          <w:i/>
        </w:rPr>
        <w:t>artigo 30.º TUE)</w:t>
      </w:r>
    </w:p>
    <w:p w14:paraId="2B962B8C" w14:textId="77777777" w:rsidR="00FC1E12" w:rsidRPr="004C6FBB" w:rsidRDefault="00FC1E12" w:rsidP="00FC1E12">
      <w:pPr>
        <w:tabs>
          <w:tab w:val="left" w:pos="7014"/>
        </w:tabs>
        <w:jc w:val="center"/>
        <w:rPr>
          <w:rStyle w:val="Nessuno"/>
          <w:bCs/>
          <w:i/>
        </w:rPr>
      </w:pPr>
    </w:p>
    <w:p w14:paraId="3B1173EC" w14:textId="46D63852" w:rsidR="00FC1E12" w:rsidRPr="004C6FBB" w:rsidRDefault="000A0476" w:rsidP="00FC1E12">
      <w:pPr>
        <w:tabs>
          <w:tab w:val="left" w:pos="7014"/>
        </w:tabs>
        <w:ind w:left="426" w:hanging="426"/>
        <w:jc w:val="both"/>
        <w:rPr>
          <w:rStyle w:val="Nessuno"/>
          <w:bCs/>
          <w:i/>
        </w:rPr>
      </w:pPr>
      <w:r w:rsidRPr="004C6FBB">
        <w:rPr>
          <w:rStyle w:val="Nessuno"/>
          <w:i/>
        </w:rPr>
        <w:t xml:space="preserve">1. </w:t>
      </w:r>
      <w:r w:rsidRPr="004C6FBB">
        <w:rPr>
          <w:rStyle w:val="Nessuno"/>
          <w:i/>
        </w:rPr>
        <w:tab/>
        <w:t>A Europol tem por missão apoiar e reforçar a ação das autoridades policiais e dos outros serviços responsáveis pela aplicação da lei dos Estados</w:t>
      </w:r>
      <w:r w:rsidR="007B7ADC">
        <w:rPr>
          <w:rStyle w:val="Nessuno"/>
          <w:i/>
        </w:rPr>
        <w:noBreakHyphen/>
      </w:r>
      <w:r w:rsidRPr="004C6FBB">
        <w:rPr>
          <w:rStyle w:val="Nessuno"/>
          <w:i/>
        </w:rPr>
        <w:t>Membros, bem como a cooperação entre essas autoridades na prevenção das formas graves de criminalidade que afetem dois ou mais Estados</w:t>
      </w:r>
      <w:r w:rsidR="007B7ADC">
        <w:rPr>
          <w:rStyle w:val="Nessuno"/>
          <w:i/>
        </w:rPr>
        <w:noBreakHyphen/>
      </w:r>
      <w:r w:rsidRPr="004C6FBB">
        <w:rPr>
          <w:rStyle w:val="Nessuno"/>
          <w:i/>
        </w:rPr>
        <w:t>Membros, do terrorismo e das formas de criminalidade lesivas de um interesse comum que seja objeto de uma política da União, bem como no combate contra esses fenómenos.</w:t>
      </w:r>
    </w:p>
    <w:p w14:paraId="27990B50" w14:textId="77777777" w:rsidR="00FC1E12" w:rsidRPr="004C6FBB" w:rsidRDefault="00FC1E12" w:rsidP="00FC1E12">
      <w:pPr>
        <w:tabs>
          <w:tab w:val="left" w:pos="7014"/>
        </w:tabs>
        <w:ind w:left="426" w:hanging="426"/>
        <w:jc w:val="both"/>
        <w:rPr>
          <w:rStyle w:val="Nessuno"/>
          <w:bCs/>
          <w:i/>
        </w:rPr>
      </w:pPr>
    </w:p>
    <w:p w14:paraId="3553C917" w14:textId="77777777" w:rsidR="00FC1E12" w:rsidRPr="004C6FBB" w:rsidRDefault="000A0476" w:rsidP="00FC1E12">
      <w:pPr>
        <w:tabs>
          <w:tab w:val="left" w:pos="7014"/>
        </w:tabs>
        <w:ind w:left="426" w:hanging="426"/>
        <w:jc w:val="both"/>
        <w:rPr>
          <w:rStyle w:val="Nessuno"/>
          <w:b/>
          <w:i/>
        </w:rPr>
      </w:pPr>
      <w:r w:rsidRPr="004C6FBB">
        <w:rPr>
          <w:rStyle w:val="Nessuno"/>
          <w:b/>
          <w:i/>
        </w:rPr>
        <w:t xml:space="preserve">2. </w:t>
      </w:r>
      <w:r w:rsidRPr="004C6FBB">
        <w:rPr>
          <w:rStyle w:val="Nessuno"/>
          <w:b/>
          <w:i/>
        </w:rPr>
        <w:tab/>
        <w:t xml:space="preserve">O Parlamento </w:t>
      </w:r>
      <w:r w:rsidRPr="004C6FBB">
        <w:rPr>
          <w:rStyle w:val="Nessuno"/>
          <w:b/>
          <w:i/>
        </w:rPr>
        <w:t>Europeu e o Conselho, por meio de regulamentos adotados de acordo com o processo legislativo ordinário, determinam a estrutura, o funcionamento, o domínio de ação e as funções da Europol. As funções da Europol podem incluir:</w:t>
      </w:r>
    </w:p>
    <w:p w14:paraId="6A5646B4" w14:textId="77777777" w:rsidR="00FC1E12" w:rsidRPr="004C6FBB" w:rsidRDefault="00FC1E12" w:rsidP="00FC1E12">
      <w:pPr>
        <w:tabs>
          <w:tab w:val="left" w:pos="7014"/>
        </w:tabs>
        <w:jc w:val="both"/>
        <w:rPr>
          <w:rStyle w:val="Nessuno"/>
          <w:b/>
          <w:i/>
        </w:rPr>
      </w:pPr>
    </w:p>
    <w:p w14:paraId="0AE34EF2" w14:textId="3A3995B9" w:rsidR="00FC1E12" w:rsidRPr="004C6FBB" w:rsidRDefault="000A0476" w:rsidP="00FC1E12">
      <w:pPr>
        <w:tabs>
          <w:tab w:val="left" w:pos="7014"/>
        </w:tabs>
        <w:ind w:left="851" w:hanging="425"/>
        <w:jc w:val="both"/>
        <w:rPr>
          <w:rStyle w:val="Nessuno"/>
          <w:b/>
          <w:i/>
        </w:rPr>
      </w:pPr>
      <w:r w:rsidRPr="004C6FBB">
        <w:rPr>
          <w:rStyle w:val="Nessuno"/>
          <w:b/>
          <w:i/>
        </w:rPr>
        <w:lastRenderedPageBreak/>
        <w:t>(a)</w:t>
      </w:r>
      <w:r w:rsidRPr="004C6FBB">
        <w:rPr>
          <w:rStyle w:val="Nessuno"/>
          <w:b/>
          <w:i/>
        </w:rPr>
        <w:tab/>
        <w:t>A recolha, armazenamento, tratamento, análise e intercâmbio das informações transmitidas, nomeadamente, pelas autoridades dos Estados</w:t>
      </w:r>
      <w:r w:rsidR="007B7ADC">
        <w:rPr>
          <w:rStyle w:val="Nessuno"/>
          <w:b/>
          <w:i/>
        </w:rPr>
        <w:noBreakHyphen/>
      </w:r>
      <w:r w:rsidRPr="004C6FBB">
        <w:rPr>
          <w:rStyle w:val="Nessuno"/>
          <w:b/>
          <w:i/>
        </w:rPr>
        <w:t>Membros ou de instâncias ou países terceiros;</w:t>
      </w:r>
    </w:p>
    <w:p w14:paraId="4D584E70" w14:textId="77777777" w:rsidR="00FC1E12" w:rsidRPr="004C6FBB" w:rsidRDefault="00FC1E12" w:rsidP="00FC1E12">
      <w:pPr>
        <w:tabs>
          <w:tab w:val="left" w:pos="7014"/>
        </w:tabs>
        <w:ind w:left="851" w:hanging="425"/>
        <w:jc w:val="both"/>
        <w:rPr>
          <w:rStyle w:val="Nessuno"/>
          <w:b/>
          <w:i/>
        </w:rPr>
      </w:pPr>
    </w:p>
    <w:p w14:paraId="4FC60530" w14:textId="64399D81" w:rsidR="00FC1E12" w:rsidRPr="004C6FBB" w:rsidRDefault="000A0476" w:rsidP="00FC1E12">
      <w:pPr>
        <w:tabs>
          <w:tab w:val="left" w:pos="7014"/>
        </w:tabs>
        <w:ind w:left="851" w:hanging="425"/>
        <w:jc w:val="both"/>
        <w:rPr>
          <w:rStyle w:val="Nessuno"/>
          <w:b/>
          <w:i/>
        </w:rPr>
      </w:pPr>
      <w:r w:rsidRPr="004C6FBB">
        <w:rPr>
          <w:rStyle w:val="Nessuno"/>
          <w:b/>
          <w:i/>
        </w:rPr>
        <w:t>(b)</w:t>
      </w:r>
      <w:r w:rsidRPr="004C6FBB">
        <w:rPr>
          <w:rStyle w:val="Nessuno"/>
          <w:b/>
          <w:i/>
        </w:rPr>
        <w:tab/>
        <w:t>A coordenação, organização e realização de investigações e de ações operacionais, conduzidas em conjunto com as autoridades competentes dos Estados</w:t>
      </w:r>
      <w:r w:rsidR="007B7ADC">
        <w:rPr>
          <w:rStyle w:val="Nessuno"/>
          <w:b/>
          <w:i/>
        </w:rPr>
        <w:noBreakHyphen/>
      </w:r>
      <w:r w:rsidRPr="004C6FBB">
        <w:rPr>
          <w:rStyle w:val="Nessuno"/>
          <w:b/>
          <w:i/>
        </w:rPr>
        <w:t>Membros ou no âmbito de equipas de investigação conjuntas, eventualmente em articulação com a Eurojust.</w:t>
      </w:r>
    </w:p>
    <w:p w14:paraId="7AC1EEDB" w14:textId="77777777" w:rsidR="00FC1E12" w:rsidRPr="004C6FBB" w:rsidRDefault="00FC1E12" w:rsidP="00FC1E12">
      <w:pPr>
        <w:tabs>
          <w:tab w:val="left" w:pos="7014"/>
        </w:tabs>
        <w:jc w:val="both"/>
        <w:rPr>
          <w:rStyle w:val="Nessuno"/>
          <w:b/>
          <w:i/>
        </w:rPr>
      </w:pPr>
    </w:p>
    <w:p w14:paraId="7CF54163" w14:textId="77777777" w:rsidR="00FC1E12" w:rsidRPr="004C6FBB" w:rsidRDefault="000A0476" w:rsidP="00FC1E12">
      <w:pPr>
        <w:tabs>
          <w:tab w:val="left" w:pos="7014"/>
        </w:tabs>
        <w:ind w:left="426" w:hanging="426"/>
        <w:jc w:val="both"/>
        <w:rPr>
          <w:rStyle w:val="Nessuno"/>
          <w:b/>
          <w:i/>
        </w:rPr>
      </w:pPr>
      <w:r w:rsidRPr="004C6FBB">
        <w:rPr>
          <w:rStyle w:val="Nessuno"/>
          <w:b/>
          <w:i/>
        </w:rPr>
        <w:tab/>
        <w:t>Esses regulamentos definem igualmente as modalidades de controlo das atividades da Europol pelo Parlamento Europeu, controlo ao qual são associados os Parlamentos nacionais.</w:t>
      </w:r>
    </w:p>
    <w:p w14:paraId="67DA80A7" w14:textId="77777777" w:rsidR="00FC1E12" w:rsidRPr="004C6FBB" w:rsidRDefault="00FC1E12" w:rsidP="00FC1E12">
      <w:pPr>
        <w:tabs>
          <w:tab w:val="left" w:pos="7014"/>
        </w:tabs>
        <w:jc w:val="both"/>
        <w:rPr>
          <w:rStyle w:val="Nessuno"/>
          <w:bCs/>
          <w:i/>
        </w:rPr>
      </w:pPr>
    </w:p>
    <w:p w14:paraId="44867317" w14:textId="13BB99D8" w:rsidR="00FC1E12" w:rsidRPr="004C6FBB" w:rsidRDefault="000A0476" w:rsidP="00FC1E12">
      <w:pPr>
        <w:ind w:left="426" w:hanging="426"/>
        <w:jc w:val="both"/>
        <w:rPr>
          <w:rStyle w:val="Nessuno"/>
          <w:b/>
          <w:bCs/>
          <w:i/>
        </w:rPr>
      </w:pPr>
      <w:r w:rsidRPr="004C6FBB">
        <w:rPr>
          <w:rStyle w:val="Nessuno"/>
          <w:i/>
        </w:rPr>
        <w:t>3.</w:t>
      </w:r>
      <w:r w:rsidRPr="004C6FBB">
        <w:rPr>
          <w:rStyle w:val="Nessuno"/>
          <w:i/>
        </w:rPr>
        <w:tab/>
        <w:t>As ações operacionais da Europol devem ser conduzidas em articulação e com o acordo das autoridades do Estado</w:t>
      </w:r>
      <w:r w:rsidR="007B7ADC">
        <w:rPr>
          <w:rStyle w:val="Nessuno"/>
          <w:i/>
        </w:rPr>
        <w:noBreakHyphen/>
      </w:r>
      <w:r w:rsidRPr="004C6FBB">
        <w:rPr>
          <w:rStyle w:val="Nessuno"/>
          <w:i/>
        </w:rPr>
        <w:t>Membro ou dos Estados</w:t>
      </w:r>
      <w:r w:rsidR="007B7ADC">
        <w:rPr>
          <w:rStyle w:val="Nessuno"/>
          <w:i/>
        </w:rPr>
        <w:noBreakHyphen/>
      </w:r>
      <w:r w:rsidRPr="004C6FBB">
        <w:rPr>
          <w:rStyle w:val="Nessuno"/>
          <w:i/>
        </w:rPr>
        <w:t>Membros cujo território seja afetado. A aplicação de medidas coercivas releva exclusivamente das autoridades nacionais competentes.</w:t>
      </w:r>
    </w:p>
    <w:p w14:paraId="74FA0CD3" w14:textId="77777777" w:rsidR="00FC1E12" w:rsidRPr="004C6FBB" w:rsidRDefault="00FC1E12" w:rsidP="00FC1E12">
      <w:pPr>
        <w:jc w:val="both"/>
        <w:rPr>
          <w:rStyle w:val="Nessuno"/>
          <w:b/>
          <w:bCs/>
          <w:i/>
        </w:rPr>
      </w:pPr>
    </w:p>
    <w:p w14:paraId="37CAE1D4" w14:textId="77777777" w:rsidR="00FC1E12" w:rsidRPr="004C6FBB" w:rsidRDefault="00FC1E12" w:rsidP="00FC1E12">
      <w:pPr>
        <w:tabs>
          <w:tab w:val="left" w:pos="567"/>
          <w:tab w:val="left" w:pos="7014"/>
        </w:tabs>
        <w:ind w:left="397" w:hanging="397"/>
        <w:jc w:val="both"/>
        <w:rPr>
          <w:rStyle w:val="Nessuno"/>
          <w:bCs/>
          <w:i/>
        </w:rPr>
      </w:pPr>
    </w:p>
    <w:p w14:paraId="7D46607F" w14:textId="4FB84AB3" w:rsidR="00FC1E12" w:rsidRPr="004C6FBB" w:rsidRDefault="000A0476" w:rsidP="00FC1E12">
      <w:pPr>
        <w:spacing w:after="240"/>
        <w:jc w:val="both"/>
        <w:rPr>
          <w:b/>
          <w:u w:val="single"/>
        </w:rPr>
      </w:pPr>
      <w:r w:rsidRPr="004C6FBB">
        <w:rPr>
          <w:b/>
          <w:u w:val="single"/>
        </w:rPr>
        <w:t xml:space="preserve">III </w:t>
      </w:r>
      <w:r w:rsidR="007B7ADC">
        <w:rPr>
          <w:b/>
          <w:u w:val="single"/>
        </w:rPr>
        <w:noBreakHyphen/>
      </w:r>
      <w:r w:rsidRPr="004C6FBB">
        <w:rPr>
          <w:b/>
          <w:u w:val="single"/>
        </w:rPr>
        <w:t xml:space="preserve"> Jurisprudência do TJUE sobre a escolha da base jurídica</w:t>
      </w:r>
    </w:p>
    <w:p w14:paraId="0FF0EA37" w14:textId="77777777" w:rsidR="00FC1E12" w:rsidRPr="004C6FBB" w:rsidRDefault="000A0476" w:rsidP="006A4CE5">
      <w:pPr>
        <w:pStyle w:val="Point123"/>
        <w:numPr>
          <w:ilvl w:val="0"/>
          <w:numId w:val="0"/>
        </w:numPr>
        <w:spacing w:before="0" w:after="0" w:line="240" w:lineRule="auto"/>
        <w:rPr>
          <w:color w:val="000000" w:themeColor="text1"/>
        </w:rPr>
      </w:pPr>
      <w:r w:rsidRPr="004C6FBB">
        <w:rPr>
          <w:color w:val="000000" w:themeColor="text1"/>
        </w:rPr>
        <w:t>Tradicionalmente, o Tribunal de Justiça considera que a escolha da base jurídica adequada se reveste de uma importância de natureza constitucional, que garante o respeito pelo princípio da atribuição de competências (artigo 5.º do Tratado da União Europeia) e determina a natureza e o âmbito das competências da União</w:t>
      </w:r>
      <w:r w:rsidRPr="004C6FBB">
        <w:rPr>
          <w:color w:val="000000" w:themeColor="text1"/>
          <w:vertAlign w:val="superscript"/>
        </w:rPr>
        <w:footnoteReference w:id="2"/>
      </w:r>
      <w:r w:rsidRPr="004C6FBB">
        <w:rPr>
          <w:color w:val="000000" w:themeColor="text1"/>
        </w:rPr>
        <w:t>.</w:t>
      </w:r>
    </w:p>
    <w:p w14:paraId="2856000C" w14:textId="77777777" w:rsidR="00FC1E12" w:rsidRPr="004C6FBB" w:rsidRDefault="00FC1E12" w:rsidP="00FC1E12">
      <w:pPr>
        <w:pStyle w:val="Point123"/>
        <w:numPr>
          <w:ilvl w:val="0"/>
          <w:numId w:val="0"/>
        </w:numPr>
        <w:spacing w:before="0" w:after="0" w:line="240" w:lineRule="auto"/>
        <w:jc w:val="both"/>
        <w:rPr>
          <w:color w:val="000000" w:themeColor="text1"/>
        </w:rPr>
      </w:pPr>
    </w:p>
    <w:p w14:paraId="064C8B74" w14:textId="37DB532D" w:rsidR="00FC1E12" w:rsidRPr="004C6FBB" w:rsidRDefault="000A0476" w:rsidP="006A4CE5">
      <w:pPr>
        <w:pStyle w:val="Point123"/>
        <w:numPr>
          <w:ilvl w:val="0"/>
          <w:numId w:val="0"/>
        </w:numPr>
        <w:spacing w:before="0" w:after="0" w:line="240" w:lineRule="auto"/>
        <w:rPr>
          <w:color w:val="000000" w:themeColor="text1"/>
          <w:vertAlign w:val="superscript"/>
        </w:rPr>
      </w:pPr>
      <w:r w:rsidRPr="004C6FBB">
        <w:rPr>
          <w:color w:val="000000" w:themeColor="text1"/>
        </w:rPr>
        <w:t xml:space="preserve">De acordo com a </w:t>
      </w:r>
      <w:r w:rsidRPr="004C6FBB">
        <w:rPr>
          <w:color w:val="000000" w:themeColor="text1"/>
        </w:rPr>
        <w:t>jurisprudência constante, a base jurídica de um ato da União não depende da convicção de uma instituição quanto ao fim prosseguido, mas deve fundar</w:t>
      </w:r>
      <w:r w:rsidR="007B7ADC">
        <w:rPr>
          <w:color w:val="000000" w:themeColor="text1"/>
        </w:rPr>
        <w:noBreakHyphen/>
      </w:r>
      <w:r w:rsidRPr="004C6FBB">
        <w:rPr>
          <w:color w:val="000000" w:themeColor="text1"/>
        </w:rPr>
        <w:t>se em critérios objetivos, suscetíveis de controlo jurisdicional, entre os quais figuram, nomeadamente, o fim e o conteúdo do ato</w:t>
      </w:r>
      <w:r w:rsidRPr="004C6FBB">
        <w:rPr>
          <w:color w:val="000000" w:themeColor="text1"/>
          <w:vertAlign w:val="superscript"/>
        </w:rPr>
        <w:footnoteReference w:id="3"/>
      </w:r>
      <w:r w:rsidRPr="004C6FBB">
        <w:rPr>
          <w:color w:val="000000" w:themeColor="text1"/>
        </w:rPr>
        <w:t>.</w:t>
      </w:r>
      <w:r w:rsidRPr="004C6FBB">
        <w:rPr>
          <w:color w:val="000000" w:themeColor="text1"/>
          <w:vertAlign w:val="superscript"/>
        </w:rPr>
        <w:t xml:space="preserve"> </w:t>
      </w:r>
    </w:p>
    <w:p w14:paraId="418E925E" w14:textId="77777777" w:rsidR="00FC1E12" w:rsidRPr="004C6FBB" w:rsidRDefault="00FC1E12" w:rsidP="00FC1E12">
      <w:pPr>
        <w:pStyle w:val="Point123"/>
        <w:numPr>
          <w:ilvl w:val="0"/>
          <w:numId w:val="0"/>
        </w:numPr>
        <w:spacing w:before="0" w:after="0" w:line="240" w:lineRule="auto"/>
        <w:jc w:val="both"/>
        <w:rPr>
          <w:color w:val="000000" w:themeColor="text1"/>
          <w:vertAlign w:val="superscript"/>
        </w:rPr>
      </w:pPr>
    </w:p>
    <w:p w14:paraId="159206F4" w14:textId="0C6BBB10" w:rsidR="00FC1E12" w:rsidRPr="004C6FBB" w:rsidRDefault="000A0476" w:rsidP="006A4CE5">
      <w:pPr>
        <w:pStyle w:val="Point123"/>
        <w:numPr>
          <w:ilvl w:val="0"/>
          <w:numId w:val="0"/>
        </w:numPr>
        <w:tabs>
          <w:tab w:val="left" w:pos="720"/>
        </w:tabs>
        <w:spacing w:before="0" w:after="0" w:line="240" w:lineRule="auto"/>
      </w:pPr>
      <w:r w:rsidRPr="004C6FBB">
        <w:rPr>
          <w:color w:val="000000" w:themeColor="text1"/>
        </w:rPr>
        <w:t>Se o exame da medida em causa demonstrar que este tem uma dupla finalidade, ou que tem duas componentes, e se uma destas for identificável como principal ou preponderante, enquanto a outra é apenas acessória, esse ato deverá ter por fundamento uma única base jurídica, ou seja, a exigida pela finalidade ou componente principal ou preponderante</w:t>
      </w:r>
      <w:r w:rsidRPr="004C6FBB">
        <w:rPr>
          <w:color w:val="000000" w:themeColor="text1"/>
          <w:vertAlign w:val="superscript"/>
        </w:rPr>
        <w:footnoteReference w:id="4"/>
      </w:r>
      <w:r w:rsidRPr="004C6FBB">
        <w:rPr>
          <w:color w:val="000000" w:themeColor="text1"/>
        </w:rPr>
        <w:t>. Só excecionalmente, quando se provar que o ato visa simultaneamente vários objetivos ligados de forma indissociável, sem que um seja secundário e indireto relativamente ao outro, pode esse ato fundamentar</w:t>
      </w:r>
      <w:r w:rsidR="007B7ADC">
        <w:rPr>
          <w:color w:val="000000" w:themeColor="text1"/>
        </w:rPr>
        <w:noBreakHyphen/>
      </w:r>
      <w:r w:rsidRPr="004C6FBB">
        <w:rPr>
          <w:color w:val="000000" w:themeColor="text1"/>
        </w:rPr>
        <w:t>se nas diferentes bases jurídicas correspondentes</w:t>
      </w:r>
      <w:r w:rsidRPr="004C6FBB">
        <w:rPr>
          <w:color w:val="000000" w:themeColor="text1"/>
          <w:vertAlign w:val="superscript"/>
        </w:rPr>
        <w:footnoteReference w:id="5"/>
      </w:r>
      <w:r w:rsidRPr="004C6FBB">
        <w:rPr>
          <w:color w:val="000000" w:themeColor="text1"/>
        </w:rPr>
        <w:t>. Contudo, tal só será possível se os procedimentos previstos para as respetivas bases jurídicas não forem incompatíveis com o direito do Parlamento Europeu e não o puserem em causa</w:t>
      </w:r>
      <w:r w:rsidRPr="004C6FBB">
        <w:rPr>
          <w:color w:val="000000" w:themeColor="text1"/>
          <w:vertAlign w:val="superscript"/>
        </w:rPr>
        <w:footnoteReference w:id="6"/>
      </w:r>
      <w:r w:rsidRPr="004C6FBB">
        <w:rPr>
          <w:color w:val="000000" w:themeColor="text1"/>
        </w:rPr>
        <w:t>.</w:t>
      </w:r>
    </w:p>
    <w:p w14:paraId="1E217A36" w14:textId="77777777" w:rsidR="00FC1E12" w:rsidRPr="004C6FBB" w:rsidRDefault="00FC1E12" w:rsidP="00FC1E12">
      <w:pPr>
        <w:spacing w:after="240"/>
        <w:ind w:left="567" w:hanging="567"/>
        <w:jc w:val="both"/>
        <w:rPr>
          <w:b/>
          <w:u w:val="single"/>
        </w:rPr>
      </w:pPr>
    </w:p>
    <w:p w14:paraId="055A2C9B" w14:textId="7E2DB6B0" w:rsidR="00FC1E12" w:rsidRPr="004C6FBB" w:rsidRDefault="000A0476" w:rsidP="00FC1E12">
      <w:pPr>
        <w:spacing w:after="240"/>
        <w:ind w:left="567" w:hanging="567"/>
        <w:jc w:val="both"/>
      </w:pPr>
      <w:r w:rsidRPr="004C6FBB">
        <w:rPr>
          <w:b/>
          <w:u w:val="single"/>
        </w:rPr>
        <w:t xml:space="preserve">IV </w:t>
      </w:r>
      <w:r w:rsidR="007B7ADC">
        <w:rPr>
          <w:b/>
          <w:u w:val="single"/>
        </w:rPr>
        <w:noBreakHyphen/>
      </w:r>
      <w:r w:rsidRPr="004C6FBB">
        <w:rPr>
          <w:b/>
          <w:u w:val="single"/>
        </w:rPr>
        <w:t xml:space="preserve"> Finalidade e conteúdo da proposta de regulamento</w:t>
      </w:r>
    </w:p>
    <w:p w14:paraId="6F6DF89E" w14:textId="6907DDAC" w:rsidR="00FC1E12" w:rsidRPr="004C6FBB" w:rsidRDefault="000A0476" w:rsidP="00F30938">
      <w:r w:rsidRPr="004C6FBB">
        <w:t xml:space="preserve">Tal como apresentado pela Comissão, a proposta de regulamento visa reforçar o papel da Europol na luta contra a introdução clandestina de </w:t>
      </w:r>
      <w:r w:rsidRPr="004C6FBB">
        <w:t>migrantes e o tráfico de seres humanos, bem como o papel do Centro Europeu contra a Introdução Clandestina de Migrantes, mas também a cooperação entre os Estados</w:t>
      </w:r>
      <w:r w:rsidR="007B7ADC">
        <w:noBreakHyphen/>
      </w:r>
      <w:r w:rsidRPr="004C6FBB">
        <w:t>Membros e a Europol na prevenção e combate à introdução clandestina de migrantes e ao tráfico de seres humanos.</w:t>
      </w:r>
    </w:p>
    <w:p w14:paraId="68E7BC15" w14:textId="77777777" w:rsidR="00FC1E12" w:rsidRPr="004C6FBB" w:rsidRDefault="00FC1E12" w:rsidP="00FC1E12">
      <w:pPr>
        <w:jc w:val="both"/>
      </w:pPr>
    </w:p>
    <w:p w14:paraId="1D27670B" w14:textId="47F9203F" w:rsidR="00FC1E12" w:rsidRPr="004C6FBB" w:rsidRDefault="000A0476" w:rsidP="00F30938">
      <w:pPr>
        <w:spacing w:line="257" w:lineRule="auto"/>
      </w:pPr>
      <w:r w:rsidRPr="004C6FBB">
        <w:t>Para atingir estes objetivos, a Comissão propôs a definição de regras destinadas a: a) criar o Centro Europeu contra a Introdução Clandestina de Migrantes no âmbito da Europol e um quadro de governação para regular e apoiar as suas atividades (o «Centro»); b) reforçar a cooperação e a coordenação entre os Estados</w:t>
      </w:r>
      <w:r w:rsidR="007B7ADC">
        <w:noBreakHyphen/>
      </w:r>
      <w:r w:rsidRPr="004C6FBB">
        <w:t>Membros, a Europol e outras agências da União; c) reforçar o intercâmbio de informações entre os Estados</w:t>
      </w:r>
      <w:r w:rsidR="007B7ADC">
        <w:noBreakHyphen/>
      </w:r>
      <w:r w:rsidRPr="004C6FBB">
        <w:t>Membros e com a Europol; d) dotar a Europol dos instrumentos necessários para apoiar e reforçar as ações das autoridades competentes dos Estados</w:t>
      </w:r>
      <w:r w:rsidR="007B7ADC">
        <w:noBreakHyphen/>
      </w:r>
      <w:r w:rsidRPr="004C6FBB">
        <w:t>Membros e a sua cooperação mútua na prevenção e no combate às infrações penais abrangidas pelos objetivos da Europol; e) reforçar a cooperação entre a Europol e países terceiros.</w:t>
      </w:r>
    </w:p>
    <w:p w14:paraId="0BA8DCAD" w14:textId="77777777" w:rsidR="00FC1E12" w:rsidRPr="004C6FBB" w:rsidRDefault="00FC1E12" w:rsidP="00FC1E12">
      <w:pPr>
        <w:autoSpaceDE w:val="0"/>
        <w:autoSpaceDN w:val="0"/>
        <w:adjustRightInd w:val="0"/>
        <w:jc w:val="both"/>
      </w:pPr>
    </w:p>
    <w:p w14:paraId="68269DDB" w14:textId="77777777" w:rsidR="00FC1E12" w:rsidRPr="004C6FBB" w:rsidRDefault="000A0476" w:rsidP="00F30938">
      <w:pPr>
        <w:autoSpaceDE w:val="0"/>
        <w:autoSpaceDN w:val="0"/>
        <w:adjustRightInd w:val="0"/>
      </w:pPr>
      <w:r w:rsidRPr="004C6FBB">
        <w:t>Para o efeito, a proposta de regulamento consistia inicialmente, desde logo, num «regulamento autónomo» que criava o Centro no âmbito da Europol e estabelecia regras pormenorizadas para a sua composição e funções, bem como disposições relativas ao intercâmbio de informações e aos serviços nacionais especializados na prevenção e combate à introdução clandestina de migrantes e ao tráfico de seres humanos. Por outro lado, continha alterações ao Regulamento Europol.</w:t>
      </w:r>
    </w:p>
    <w:p w14:paraId="2C82BF90" w14:textId="77777777" w:rsidR="00FC1E12" w:rsidRPr="004C6FBB" w:rsidRDefault="00FC1E12" w:rsidP="00FC1E12">
      <w:pPr>
        <w:autoSpaceDE w:val="0"/>
        <w:autoSpaceDN w:val="0"/>
        <w:adjustRightInd w:val="0"/>
        <w:jc w:val="both"/>
      </w:pPr>
    </w:p>
    <w:p w14:paraId="2EFBCB75" w14:textId="13299FAC" w:rsidR="00FC1E12" w:rsidRPr="004C6FBB" w:rsidRDefault="000A0476" w:rsidP="00F30938">
      <w:r w:rsidRPr="004C6FBB">
        <w:t xml:space="preserve">Durante as negociações </w:t>
      </w:r>
      <w:r w:rsidRPr="004C6FBB">
        <w:t>interinstitucionais, foi acordado, em conformidade com as competências do Parlamento e do Conselho, eliminar da proposta de regulamento as partes destinadas a criar um «regulamento autónomo», e transformá</w:t>
      </w:r>
      <w:r w:rsidR="007B7ADC">
        <w:noBreakHyphen/>
      </w:r>
      <w:r w:rsidRPr="004C6FBB">
        <w:t xml:space="preserve">lo apenas num ato que altera o Regulamento Europol. </w:t>
      </w:r>
    </w:p>
    <w:p w14:paraId="0CB920AC" w14:textId="77777777" w:rsidR="00FC1E12" w:rsidRPr="004C6FBB" w:rsidRDefault="00FC1E12" w:rsidP="00FC1E12">
      <w:pPr>
        <w:autoSpaceDE w:val="0"/>
        <w:autoSpaceDN w:val="0"/>
        <w:adjustRightInd w:val="0"/>
        <w:jc w:val="both"/>
      </w:pPr>
    </w:p>
    <w:p w14:paraId="35271FCE" w14:textId="152F9B2C" w:rsidR="00FC1E12" w:rsidRPr="004C6FBB" w:rsidRDefault="000A0476" w:rsidP="00F30938">
      <w:pPr>
        <w:pStyle w:val="Point123"/>
        <w:numPr>
          <w:ilvl w:val="0"/>
          <w:numId w:val="0"/>
        </w:numPr>
        <w:tabs>
          <w:tab w:val="left" w:pos="720"/>
        </w:tabs>
        <w:spacing w:before="0" w:after="0" w:line="240" w:lineRule="auto"/>
      </w:pPr>
      <w:r w:rsidRPr="004C6FBB">
        <w:t>Por conseguinte, a proposta de regulamento, tal como alterado pelos colegisladores, diz exclusivamente respeito à estrutura, ao funcionamento, ao domínio de ação e às funções da Europol. Os principais objetivos da proposta de regulamento, tal como alterado pelos colegisladores e preliminarmente acordado, são agora os seguintes: consolidar a Europol, com vista a melhorar a resposta das autoridades policiais à introdução clandestina de migrantes e ao tráfico de seres humanos, reforçar o papel da Europol enqua</w:t>
      </w:r>
      <w:r w:rsidRPr="004C6FBB">
        <w:t>nto plataforma de informações criminais da União e enquanto prestador de serviços, nomeadamente através da disponibilização de uma rede segura para o intercâmbio de dados, como a aplicação de intercâmbio seguro de informações, garantir que os Estados</w:t>
      </w:r>
      <w:r w:rsidR="007B7ADC">
        <w:noBreakHyphen/>
      </w:r>
      <w:r w:rsidRPr="004C6FBB">
        <w:t>Membros troquem informações com a Europol, e clarificar que os objetivos da Europol devem também abranger as violações de medidas restritivas da União.</w:t>
      </w:r>
    </w:p>
    <w:p w14:paraId="38FBF9F4" w14:textId="77777777" w:rsidR="00FC1E12" w:rsidRPr="004C6FBB" w:rsidRDefault="00FC1E12" w:rsidP="00FC1E12">
      <w:pPr>
        <w:jc w:val="both"/>
        <w:rPr>
          <w:b/>
          <w:u w:val="single"/>
        </w:rPr>
      </w:pPr>
    </w:p>
    <w:p w14:paraId="35B0D07F" w14:textId="3B9F4C34" w:rsidR="00FC1E12" w:rsidRPr="004C6FBB" w:rsidRDefault="000A0476" w:rsidP="00FC1E12">
      <w:pPr>
        <w:spacing w:after="240"/>
        <w:jc w:val="both"/>
        <w:rPr>
          <w:b/>
          <w:u w:val="single"/>
        </w:rPr>
      </w:pPr>
      <w:r w:rsidRPr="004C6FBB">
        <w:rPr>
          <w:b/>
          <w:u w:val="single"/>
        </w:rPr>
        <w:t xml:space="preserve">V </w:t>
      </w:r>
      <w:r w:rsidR="007B7ADC">
        <w:rPr>
          <w:b/>
          <w:u w:val="single"/>
        </w:rPr>
        <w:noBreakHyphen/>
      </w:r>
      <w:r w:rsidRPr="004C6FBB">
        <w:rPr>
          <w:b/>
          <w:u w:val="single"/>
        </w:rPr>
        <w:t xml:space="preserve"> Análise </w:t>
      </w:r>
    </w:p>
    <w:p w14:paraId="5B3B5D38" w14:textId="77777777" w:rsidR="00FC1E12" w:rsidRPr="004C6FBB" w:rsidRDefault="000A0476" w:rsidP="00F30938">
      <w:r w:rsidRPr="004C6FBB">
        <w:t xml:space="preserve">Decorre do que precede e da análise dos considerandos e das disposições da parte dispositiva da proposta de regulamento, tal como acordado preliminarmente pelos colegisladores, que </w:t>
      </w:r>
      <w:r w:rsidRPr="004C6FBB">
        <w:lastRenderedPageBreak/>
        <w:t>este foi reduzido para conter efetivamente apenas alterações ao Regulamento Europol. Por conseguinte, o seu objetivo e conteúdo dizem agora respeito apenas à estrutura, o funcionamento, o âmbito de atuação e as funções da Europol.</w:t>
      </w:r>
    </w:p>
    <w:p w14:paraId="0F741952" w14:textId="77777777" w:rsidR="00FC1E12" w:rsidRPr="004C6FBB" w:rsidRDefault="00FC1E12" w:rsidP="00FC1E12">
      <w:pPr>
        <w:jc w:val="both"/>
      </w:pPr>
    </w:p>
    <w:p w14:paraId="73FC0872" w14:textId="77777777" w:rsidR="00FC1E12" w:rsidRPr="004C6FBB" w:rsidRDefault="000A0476" w:rsidP="00F30938">
      <w:r w:rsidRPr="004C6FBB">
        <w:t>Nos termos do artigo 88.º, n.º 2, do TFUE, o Parlamento e o Conselho determinam a estrutura, o funcionamento, o âmbito de atuação e as atribuições da Europol por meio de regulamentos adotados em conformidade com o processo legislativo ordinário.</w:t>
      </w:r>
    </w:p>
    <w:p w14:paraId="26DCFD52" w14:textId="77777777" w:rsidR="00FC1E12" w:rsidRPr="004C6FBB" w:rsidRDefault="00FC1E12" w:rsidP="00FC1E12">
      <w:pPr>
        <w:jc w:val="both"/>
      </w:pPr>
    </w:p>
    <w:p w14:paraId="06EEE8AB" w14:textId="1F99C9D8" w:rsidR="00FC1E12" w:rsidRPr="004C6FBB" w:rsidRDefault="000A0476" w:rsidP="00F30938">
      <w:pPr>
        <w:pStyle w:val="Point123"/>
        <w:numPr>
          <w:ilvl w:val="0"/>
          <w:numId w:val="0"/>
        </w:numPr>
        <w:tabs>
          <w:tab w:val="left" w:pos="720"/>
        </w:tabs>
        <w:spacing w:before="0" w:after="0" w:line="240" w:lineRule="auto"/>
      </w:pPr>
      <w:r w:rsidRPr="004C6FBB">
        <w:t>De acordo com a jurisprudência constante do Tribunal de Justiça acima referida, o ato deve, portanto, fundar</w:t>
      </w:r>
      <w:r w:rsidR="007B7ADC">
        <w:noBreakHyphen/>
      </w:r>
      <w:r w:rsidRPr="004C6FBB">
        <w:t>se numa única base jurídica, nomeadamente a exigida pela finalidade ou pela componente principal.</w:t>
      </w:r>
    </w:p>
    <w:p w14:paraId="16608C3D" w14:textId="77777777" w:rsidR="00FC1E12" w:rsidRPr="004C6FBB" w:rsidRDefault="00FC1E12" w:rsidP="00FC1E12">
      <w:pPr>
        <w:jc w:val="both"/>
        <w:rPr>
          <w:b/>
          <w:u w:val="single"/>
        </w:rPr>
      </w:pPr>
    </w:p>
    <w:p w14:paraId="10F0C8C5" w14:textId="7C006AA9" w:rsidR="00FC1E12" w:rsidRPr="004C6FBB" w:rsidRDefault="000A0476" w:rsidP="00FC1E12">
      <w:pPr>
        <w:spacing w:after="240"/>
        <w:jc w:val="both"/>
        <w:rPr>
          <w:b/>
          <w:u w:val="single"/>
        </w:rPr>
      </w:pPr>
      <w:r w:rsidRPr="004C6FBB">
        <w:rPr>
          <w:b/>
          <w:u w:val="single"/>
        </w:rPr>
        <w:t xml:space="preserve">VI </w:t>
      </w:r>
      <w:r w:rsidR="007B7ADC">
        <w:rPr>
          <w:b/>
          <w:u w:val="single"/>
        </w:rPr>
        <w:noBreakHyphen/>
      </w:r>
      <w:r w:rsidRPr="004C6FBB">
        <w:rPr>
          <w:b/>
          <w:u w:val="single"/>
        </w:rPr>
        <w:t xml:space="preserve"> Conclusão e recomendação</w:t>
      </w:r>
    </w:p>
    <w:p w14:paraId="0052E16C" w14:textId="77777777" w:rsidR="007179A7" w:rsidRPr="004C6FBB" w:rsidRDefault="000A0476" w:rsidP="00FC1E12">
      <w:pPr>
        <w:pStyle w:val="Normal12a"/>
      </w:pPr>
      <w:r w:rsidRPr="004C6FBB">
        <w:t>Na sua reunião de 13 de outubro de 2025, a Comissão dos Assuntos Jurídicos decidiu, por unanimidade (com 25 votos a favor)</w:t>
      </w:r>
      <w:r w:rsidRPr="004C6FBB">
        <w:rPr>
          <w:vertAlign w:val="superscript"/>
        </w:rPr>
        <w:footnoteReference w:id="7"/>
      </w:r>
      <w:r w:rsidRPr="004C6FBB">
        <w:t>, recomendar à Comissão das Liberdades Cívicas, da Justiça e dos Assuntos Internos que o artigo 88.º, n.º 2, do TFUE seja a única base jurídica adequada para a proposta de regulamento, alterado em conformidade com o acordo preliminar alcançado pelos colegisladores durante as negociações interinstitucionais.</w:t>
      </w:r>
    </w:p>
    <w:p w14:paraId="069E9406" w14:textId="77777777" w:rsidR="007179A7" w:rsidRPr="004C6FBB" w:rsidRDefault="000A0476" w:rsidP="00A04228">
      <w:pPr>
        <w:pStyle w:val="Normal12a"/>
      </w:pPr>
      <w:r w:rsidRPr="004C6FBB">
        <w:t>Com os melhores cumprimentos,</w:t>
      </w:r>
    </w:p>
    <w:p w14:paraId="0CA16EF8" w14:textId="77777777" w:rsidR="007179A7" w:rsidRPr="004C6FBB" w:rsidRDefault="000A0476">
      <w:pPr>
        <w:pStyle w:val="LetterSignature66b"/>
      </w:pPr>
      <w:r w:rsidRPr="004C6FBB">
        <w:t>Ilhan Kyuchyuk</w:t>
      </w:r>
    </w:p>
    <w:p w14:paraId="282AD834" w14:textId="77777777" w:rsidR="009D564F" w:rsidRPr="004C6FBB" w:rsidRDefault="009D564F" w:rsidP="00332170">
      <w:pPr>
        <w:widowControl/>
      </w:pPr>
    </w:p>
    <w:sectPr w:rsidR="009D564F" w:rsidRPr="004C6FBB" w:rsidSect="004C6FB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CB080" w14:textId="77777777" w:rsidR="000A0476" w:rsidRPr="004C6FBB" w:rsidRDefault="000A0476">
      <w:r w:rsidRPr="004C6FBB">
        <w:separator/>
      </w:r>
    </w:p>
  </w:endnote>
  <w:endnote w:type="continuationSeparator" w:id="0">
    <w:p w14:paraId="041A38B7" w14:textId="77777777" w:rsidR="000A0476" w:rsidRPr="004C6FBB" w:rsidRDefault="000A0476">
      <w:r w:rsidRPr="004C6F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026A2" w14:textId="087A8AE3" w:rsidR="004C6FBB" w:rsidRPr="004C6FBB" w:rsidRDefault="004C6FBB" w:rsidP="004C6FBB">
    <w:pPr>
      <w:pStyle w:val="EPFooter"/>
    </w:pPr>
    <w:r w:rsidRPr="004C6FBB">
      <w:t>PE</w:t>
    </w:r>
    <w:r w:rsidRPr="004C6FBB">
      <w:rPr>
        <w:rStyle w:val="HideTWBExt"/>
      </w:rPr>
      <w:t>&lt;NoPE&gt;</w:t>
    </w:r>
    <w:r w:rsidRPr="004C6FBB">
      <w:t>778.317</w:t>
    </w:r>
    <w:r w:rsidRPr="004C6FBB">
      <w:rPr>
        <w:rStyle w:val="HideTWBExt"/>
      </w:rPr>
      <w:t>&lt;/NoPE&gt;&lt;Version&gt;</w:t>
    </w:r>
    <w:r w:rsidRPr="004C6FBB">
      <w:t>v02</w:t>
    </w:r>
    <w:r w:rsidR="007B7ADC">
      <w:noBreakHyphen/>
    </w:r>
    <w:r w:rsidRPr="004C6FBB">
      <w:t>00</w:t>
    </w:r>
    <w:r w:rsidRPr="004C6FBB">
      <w:rPr>
        <w:rStyle w:val="HideTWBExt"/>
      </w:rPr>
      <w:t>&lt;/Version&gt;</w:t>
    </w:r>
    <w:r w:rsidRPr="004C6FBB">
      <w:tab/>
    </w:r>
    <w:r w:rsidRPr="004C6FBB">
      <w:fldChar w:fldCharType="begin"/>
    </w:r>
    <w:r w:rsidRPr="004C6FBB">
      <w:instrText xml:space="preserve"> PAGE  \* MERGEFORMAT </w:instrText>
    </w:r>
    <w:r w:rsidRPr="004C6FBB">
      <w:fldChar w:fldCharType="separate"/>
    </w:r>
    <w:r w:rsidRPr="004C6FBB">
      <w:rPr>
        <w:noProof/>
      </w:rPr>
      <w:t>6</w:t>
    </w:r>
    <w:r w:rsidRPr="004C6FBB">
      <w:fldChar w:fldCharType="end"/>
    </w:r>
    <w:r w:rsidRPr="004C6FBB">
      <w:t>/</w:t>
    </w:r>
    <w:fldSimple w:instr=" NUMPAGES  \* MERGEFORMAT ">
      <w:r w:rsidRPr="004C6FBB">
        <w:rPr>
          <w:noProof/>
        </w:rPr>
        <w:t>6</w:t>
      </w:r>
    </w:fldSimple>
    <w:r w:rsidRPr="004C6FBB">
      <w:tab/>
    </w:r>
    <w:r w:rsidRPr="004C6FBB">
      <w:rPr>
        <w:rStyle w:val="HideTWBExt"/>
      </w:rPr>
      <w:t>&lt;PathFdR&gt;</w:t>
    </w:r>
    <w:r w:rsidRPr="004C6FBB">
      <w:t>AL\1330969PT.docx</w:t>
    </w:r>
    <w:r w:rsidRPr="004C6FBB">
      <w:rPr>
        <w:rStyle w:val="HideTWBExt"/>
      </w:rPr>
      <w:t>&lt;/PathFdR&gt;</w:t>
    </w:r>
  </w:p>
  <w:p w14:paraId="28EE565F" w14:textId="7388ED48" w:rsidR="00000C7D" w:rsidRPr="004C6FBB" w:rsidRDefault="004C6FBB" w:rsidP="004C6FBB">
    <w:pPr>
      <w:pStyle w:val="EPFooter2"/>
    </w:pPr>
    <w:r w:rsidRPr="004C6FBB">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456E5" w14:textId="0043860A" w:rsidR="004C6FBB" w:rsidRPr="004C6FBB" w:rsidRDefault="004C6FBB" w:rsidP="004C6FBB">
    <w:pPr>
      <w:pStyle w:val="EPFooter"/>
    </w:pPr>
    <w:r w:rsidRPr="004C6FBB">
      <w:rPr>
        <w:rStyle w:val="HideTWBExt"/>
      </w:rPr>
      <w:t>&lt;PathFdR&gt;</w:t>
    </w:r>
    <w:r w:rsidRPr="004C6FBB">
      <w:t>AL\1330969PT.docx</w:t>
    </w:r>
    <w:r w:rsidRPr="004C6FBB">
      <w:rPr>
        <w:rStyle w:val="HideTWBExt"/>
      </w:rPr>
      <w:t>&lt;/PathFdR&gt;</w:t>
    </w:r>
    <w:r w:rsidRPr="004C6FBB">
      <w:tab/>
    </w:r>
    <w:r w:rsidRPr="004C6FBB">
      <w:fldChar w:fldCharType="begin"/>
    </w:r>
    <w:r w:rsidRPr="004C6FBB">
      <w:instrText xml:space="preserve"> PAGE  \* MERGEFORMAT </w:instrText>
    </w:r>
    <w:r w:rsidRPr="004C6FBB">
      <w:fldChar w:fldCharType="separate"/>
    </w:r>
    <w:r w:rsidRPr="004C6FBB">
      <w:rPr>
        <w:noProof/>
      </w:rPr>
      <w:t>5</w:t>
    </w:r>
    <w:r w:rsidRPr="004C6FBB">
      <w:fldChar w:fldCharType="end"/>
    </w:r>
    <w:r w:rsidRPr="004C6FBB">
      <w:t>/</w:t>
    </w:r>
    <w:fldSimple w:instr=" NUMPAGES  \* MERGEFORMAT ">
      <w:r w:rsidRPr="004C6FBB">
        <w:rPr>
          <w:noProof/>
        </w:rPr>
        <w:t>6</w:t>
      </w:r>
    </w:fldSimple>
    <w:r w:rsidRPr="004C6FBB">
      <w:tab/>
      <w:t>PE</w:t>
    </w:r>
    <w:r w:rsidRPr="004C6FBB">
      <w:rPr>
        <w:rStyle w:val="HideTWBExt"/>
      </w:rPr>
      <w:t>&lt;NoPE&gt;</w:t>
    </w:r>
    <w:r w:rsidRPr="004C6FBB">
      <w:t>778.317</w:t>
    </w:r>
    <w:r w:rsidRPr="004C6FBB">
      <w:rPr>
        <w:rStyle w:val="HideTWBExt"/>
      </w:rPr>
      <w:t>&lt;/NoPE&gt;&lt;Version&gt;</w:t>
    </w:r>
    <w:r w:rsidRPr="004C6FBB">
      <w:t>v02</w:t>
    </w:r>
    <w:r w:rsidR="007B7ADC">
      <w:noBreakHyphen/>
    </w:r>
    <w:r w:rsidRPr="004C6FBB">
      <w:t>00</w:t>
    </w:r>
    <w:r w:rsidRPr="004C6FBB">
      <w:rPr>
        <w:rStyle w:val="HideTWBExt"/>
      </w:rPr>
      <w:t>&lt;/Version&gt;</w:t>
    </w:r>
  </w:p>
  <w:p w14:paraId="34323F72" w14:textId="7AA1705E" w:rsidR="00000C7D" w:rsidRPr="004C6FBB" w:rsidRDefault="004C6FBB" w:rsidP="004C6FBB">
    <w:pPr>
      <w:pStyle w:val="EPFooter2"/>
    </w:pPr>
    <w:r w:rsidRPr="004C6FBB">
      <w:tab/>
    </w:r>
    <w:r w:rsidRPr="004C6FBB">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683AD" w14:textId="10D26279" w:rsidR="004C6FBB" w:rsidRPr="004C6FBB" w:rsidRDefault="004C6FBB" w:rsidP="004C6FBB">
    <w:pPr>
      <w:pStyle w:val="EPFooter"/>
    </w:pPr>
    <w:r w:rsidRPr="004C6FBB">
      <w:rPr>
        <w:rStyle w:val="HideTWBExt"/>
      </w:rPr>
      <w:t>&lt;PathFdR&gt;</w:t>
    </w:r>
    <w:r w:rsidRPr="004C6FBB">
      <w:t>AL\1330969PT.docx</w:t>
    </w:r>
    <w:r w:rsidRPr="004C6FBB">
      <w:rPr>
        <w:rStyle w:val="HideTWBExt"/>
      </w:rPr>
      <w:t>&lt;/PathFdR&gt;</w:t>
    </w:r>
    <w:r w:rsidRPr="004C6FBB">
      <w:tab/>
    </w:r>
    <w:r w:rsidRPr="004C6FBB">
      <w:tab/>
      <w:t>PE</w:t>
    </w:r>
    <w:r w:rsidRPr="004C6FBB">
      <w:rPr>
        <w:rStyle w:val="HideTWBExt"/>
      </w:rPr>
      <w:t>&lt;NoPE&gt;</w:t>
    </w:r>
    <w:r w:rsidRPr="004C6FBB">
      <w:t>778.317</w:t>
    </w:r>
    <w:r w:rsidRPr="004C6FBB">
      <w:rPr>
        <w:rStyle w:val="HideTWBExt"/>
      </w:rPr>
      <w:t>&lt;/NoPE&gt;&lt;Version&gt;</w:t>
    </w:r>
    <w:r w:rsidRPr="004C6FBB">
      <w:t>v02</w:t>
    </w:r>
    <w:r w:rsidR="007B7ADC">
      <w:noBreakHyphen/>
    </w:r>
    <w:r w:rsidRPr="004C6FBB">
      <w:t>00</w:t>
    </w:r>
    <w:r w:rsidRPr="004C6FBB">
      <w:rPr>
        <w:rStyle w:val="HideTWBExt"/>
      </w:rPr>
      <w:t>&lt;/Version&gt;</w:t>
    </w:r>
  </w:p>
  <w:p w14:paraId="3D2C31CD" w14:textId="2FD90658" w:rsidR="00000C7D" w:rsidRPr="004C6FBB" w:rsidRDefault="004C6FBB" w:rsidP="004C6FBB">
    <w:pPr>
      <w:pStyle w:val="EPFooter2"/>
    </w:pPr>
    <w:r w:rsidRPr="004C6FBB">
      <w:t>PT</w:t>
    </w:r>
    <w:r w:rsidRPr="004C6FBB">
      <w:tab/>
    </w:r>
    <w:r w:rsidRPr="004C6FBB">
      <w:rPr>
        <w:b w:val="0"/>
        <w:i/>
        <w:color w:val="C0C0C0"/>
        <w:sz w:val="22"/>
      </w:rPr>
      <w:t>Unida na diversidade</w:t>
    </w:r>
    <w:r w:rsidRPr="004C6FBB">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C026A" w14:textId="77777777" w:rsidR="005C4B56" w:rsidRPr="004C6FBB" w:rsidRDefault="000A0476">
      <w:r w:rsidRPr="004C6FBB">
        <w:separator/>
      </w:r>
    </w:p>
  </w:footnote>
  <w:footnote w:type="continuationSeparator" w:id="0">
    <w:p w14:paraId="6151C7D0" w14:textId="77777777" w:rsidR="005C4B56" w:rsidRPr="004C6FBB" w:rsidRDefault="000A0476">
      <w:r w:rsidRPr="004C6FBB">
        <w:continuationSeparator/>
      </w:r>
    </w:p>
  </w:footnote>
  <w:footnote w:id="1">
    <w:p w14:paraId="73929214" w14:textId="77777777" w:rsidR="00FC1E12" w:rsidRPr="004C6FBB" w:rsidRDefault="000A0476" w:rsidP="00FC1E12">
      <w:r w:rsidRPr="007B7ADC">
        <w:rPr>
          <w:sz w:val="20"/>
          <w:vertAlign w:val="superscript"/>
        </w:rPr>
        <w:footnoteRef/>
      </w:r>
      <w:r w:rsidRPr="007B7ADC">
        <w:rPr>
          <w:sz w:val="20"/>
        </w:rPr>
        <w:t xml:space="preserve"> Regulamento (UE) 2016/794 do Parlamento Europeu e do Conselho, de 11 de maio de 2016, que cria a Agência da União Europeia para a Cooperação Policial (Europol) e que substitui e revoga as Decisões 2009/371/JAI, 2009/934/JAI, 2009/935/JAI, 2009/936/JAI e 2009/968/JAI do Conselho (JO L 135 de 24.5.2016, p. 53).</w:t>
      </w:r>
    </w:p>
  </w:footnote>
  <w:footnote w:id="2">
    <w:p w14:paraId="58FAFBD4" w14:textId="77777777" w:rsidR="00FC1E12" w:rsidRPr="007B7ADC" w:rsidRDefault="000A0476" w:rsidP="00FC1E12">
      <w:pPr>
        <w:rPr>
          <w:sz w:val="20"/>
        </w:rPr>
      </w:pPr>
      <w:r w:rsidRPr="007B7ADC">
        <w:rPr>
          <w:sz w:val="20"/>
          <w:vertAlign w:val="superscript"/>
        </w:rPr>
        <w:footnoteRef/>
      </w:r>
      <w:r w:rsidRPr="007B7ADC">
        <w:rPr>
          <w:sz w:val="20"/>
        </w:rPr>
        <w:t xml:space="preserve"> Parecer 2/00 («Protocolo de Cartagena»), ECLI:EU:C:2001:664, n.º 5.</w:t>
      </w:r>
    </w:p>
  </w:footnote>
  <w:footnote w:id="3">
    <w:p w14:paraId="2F9BE9E1" w14:textId="1A30C75F" w:rsidR="00FC1E12" w:rsidRPr="007B7ADC" w:rsidRDefault="000A0476" w:rsidP="00FC1E12">
      <w:pPr>
        <w:rPr>
          <w:sz w:val="20"/>
        </w:rPr>
      </w:pPr>
      <w:r w:rsidRPr="007B7ADC">
        <w:rPr>
          <w:sz w:val="20"/>
          <w:vertAlign w:val="superscript"/>
        </w:rPr>
        <w:footnoteRef/>
      </w:r>
      <w:r w:rsidRPr="007B7ADC">
        <w:rPr>
          <w:sz w:val="20"/>
        </w:rPr>
        <w:t xml:space="preserve"> Processo C</w:t>
      </w:r>
      <w:r w:rsidR="007B7ADC" w:rsidRPr="007B7ADC">
        <w:rPr>
          <w:sz w:val="20"/>
        </w:rPr>
        <w:noBreakHyphen/>
      </w:r>
      <w:r w:rsidRPr="007B7ADC">
        <w:rPr>
          <w:sz w:val="20"/>
        </w:rPr>
        <w:t>300/89, Comissão/Conselho («Dióxido de titânio»), ECLI:EU:C:1991:244, n.º 10.</w:t>
      </w:r>
    </w:p>
  </w:footnote>
  <w:footnote w:id="4">
    <w:p w14:paraId="0B682BDE" w14:textId="77777777" w:rsidR="00FC1E12" w:rsidRPr="007B7ADC" w:rsidRDefault="000A0476" w:rsidP="00FC1E12">
      <w:pPr>
        <w:rPr>
          <w:sz w:val="20"/>
        </w:rPr>
      </w:pPr>
      <w:r w:rsidRPr="007B7ADC">
        <w:rPr>
          <w:sz w:val="20"/>
          <w:vertAlign w:val="superscript"/>
        </w:rPr>
        <w:footnoteRef/>
      </w:r>
      <w:r w:rsidRPr="007B7ADC">
        <w:rPr>
          <w:sz w:val="20"/>
        </w:rPr>
        <w:t xml:space="preserve"> </w:t>
      </w:r>
      <w:r w:rsidRPr="007B7ADC">
        <w:rPr>
          <w:i/>
          <w:sz w:val="20"/>
        </w:rPr>
        <w:t>Ibidem</w:t>
      </w:r>
      <w:r w:rsidRPr="007B7ADC">
        <w:rPr>
          <w:sz w:val="20"/>
        </w:rPr>
        <w:t xml:space="preserve"> (n.º 30) e processo C‑137/12, Comissão/Conselho, ECLI:EU:C:2013:675, n.º 53 e jurisprudência aí referida.</w:t>
      </w:r>
    </w:p>
  </w:footnote>
  <w:footnote w:id="5">
    <w:p w14:paraId="36678FEF" w14:textId="5ECEDCCD" w:rsidR="00FC1E12" w:rsidRPr="004C6FBB" w:rsidRDefault="000A0476" w:rsidP="00FC1E12">
      <w:pPr>
        <w:rPr>
          <w:sz w:val="20"/>
        </w:rPr>
      </w:pPr>
      <w:r w:rsidRPr="004C6FBB">
        <w:rPr>
          <w:sz w:val="20"/>
          <w:vertAlign w:val="superscript"/>
        </w:rPr>
        <w:footnoteRef/>
      </w:r>
      <w:r w:rsidRPr="004C6FBB">
        <w:rPr>
          <w:sz w:val="20"/>
        </w:rPr>
        <w:t xml:space="preserve"> Processo C</w:t>
      </w:r>
      <w:r w:rsidR="007B7ADC">
        <w:rPr>
          <w:sz w:val="20"/>
        </w:rPr>
        <w:noBreakHyphen/>
      </w:r>
      <w:r w:rsidRPr="004C6FBB">
        <w:rPr>
          <w:sz w:val="20"/>
        </w:rPr>
        <w:t>300/89, n.º</w:t>
      </w:r>
      <w:r w:rsidRPr="004C6FBB">
        <w:rPr>
          <w:sz w:val="20"/>
          <w:vertAlign w:val="superscript"/>
        </w:rPr>
        <w:t>s</w:t>
      </w:r>
      <w:r w:rsidRPr="004C6FBB">
        <w:rPr>
          <w:sz w:val="20"/>
        </w:rPr>
        <w:t xml:space="preserve"> 13 e 17; Processo C</w:t>
      </w:r>
      <w:r w:rsidR="007B7ADC">
        <w:rPr>
          <w:sz w:val="20"/>
        </w:rPr>
        <w:noBreakHyphen/>
      </w:r>
      <w:r w:rsidRPr="004C6FBB">
        <w:rPr>
          <w:sz w:val="20"/>
        </w:rPr>
        <w:t xml:space="preserve">42/97, </w:t>
      </w:r>
      <w:r w:rsidRPr="004C6FBB">
        <w:rPr>
          <w:rStyle w:val="affairetitle"/>
          <w:sz w:val="20"/>
        </w:rPr>
        <w:t>Parlamento/Conselho, ECLI:</w:t>
      </w:r>
      <w:r w:rsidRPr="004C6FBB">
        <w:rPr>
          <w:rStyle w:val="outputecliaff"/>
          <w:sz w:val="20"/>
        </w:rPr>
        <w:t>EU:C:1999:81,</w:t>
      </w:r>
      <w:r w:rsidRPr="004C6FBB">
        <w:rPr>
          <w:sz w:val="20"/>
        </w:rPr>
        <w:t xml:space="preserve"> n.º 38; parecer 2/00, n.º 23; processo C</w:t>
      </w:r>
      <w:r w:rsidR="007B7ADC">
        <w:rPr>
          <w:sz w:val="20"/>
        </w:rPr>
        <w:noBreakHyphen/>
      </w:r>
      <w:r w:rsidRPr="004C6FBB">
        <w:rPr>
          <w:sz w:val="20"/>
        </w:rPr>
        <w:t xml:space="preserve">94/03, </w:t>
      </w:r>
      <w:r w:rsidRPr="004C6FBB">
        <w:rPr>
          <w:rStyle w:val="affairetitle"/>
          <w:sz w:val="20"/>
        </w:rPr>
        <w:t>Comissão/Conselho («Convenção de Roterdão»), ECLI</w:t>
      </w:r>
      <w:r w:rsidRPr="004C6FBB">
        <w:rPr>
          <w:sz w:val="20"/>
        </w:rPr>
        <w:t>:</w:t>
      </w:r>
      <w:r w:rsidRPr="004C6FBB">
        <w:rPr>
          <w:rStyle w:val="outputecliaff"/>
          <w:sz w:val="20"/>
        </w:rPr>
        <w:t>EU:C:2006:2</w:t>
      </w:r>
      <w:r w:rsidRPr="004C6FBB">
        <w:rPr>
          <w:sz w:val="20"/>
        </w:rPr>
        <w:t>, e processo C</w:t>
      </w:r>
      <w:r w:rsidR="007B7ADC">
        <w:rPr>
          <w:sz w:val="20"/>
        </w:rPr>
        <w:noBreakHyphen/>
      </w:r>
      <w:r w:rsidRPr="004C6FBB">
        <w:rPr>
          <w:sz w:val="20"/>
        </w:rPr>
        <w:t xml:space="preserve">178/03, </w:t>
      </w:r>
      <w:r w:rsidRPr="004C6FBB">
        <w:rPr>
          <w:rStyle w:val="affairetitle"/>
          <w:sz w:val="20"/>
        </w:rPr>
        <w:t>Comissão/Parlamento e Conselho, ECLI:</w:t>
      </w:r>
      <w:r w:rsidRPr="004C6FBB">
        <w:rPr>
          <w:rStyle w:val="outputecliaff"/>
          <w:sz w:val="20"/>
        </w:rPr>
        <w:t>EU:C:2006:4</w:t>
      </w:r>
      <w:r w:rsidRPr="004C6FBB">
        <w:rPr>
          <w:sz w:val="20"/>
        </w:rPr>
        <w:t>, n.</w:t>
      </w:r>
      <w:r w:rsidRPr="004C6FBB">
        <w:rPr>
          <w:sz w:val="20"/>
          <w:vertAlign w:val="superscript"/>
        </w:rPr>
        <w:t>os</w:t>
      </w:r>
      <w:r w:rsidRPr="004C6FBB">
        <w:rPr>
          <w:sz w:val="20"/>
        </w:rPr>
        <w:t xml:space="preserve"> 36 e 43.</w:t>
      </w:r>
    </w:p>
  </w:footnote>
  <w:footnote w:id="6">
    <w:p w14:paraId="3E0984B6" w14:textId="6CD09396" w:rsidR="00FC1E12" w:rsidRPr="004C6FBB" w:rsidRDefault="000A0476" w:rsidP="00FC1E12">
      <w:pPr>
        <w:rPr>
          <w:sz w:val="20"/>
        </w:rPr>
      </w:pPr>
      <w:r w:rsidRPr="004C6FBB">
        <w:rPr>
          <w:sz w:val="20"/>
          <w:vertAlign w:val="superscript"/>
        </w:rPr>
        <w:footnoteRef/>
      </w:r>
      <w:r w:rsidRPr="004C6FBB">
        <w:rPr>
          <w:sz w:val="20"/>
        </w:rPr>
        <w:t xml:space="preserve"> Processo C</w:t>
      </w:r>
      <w:r w:rsidR="007B7ADC">
        <w:rPr>
          <w:sz w:val="20"/>
        </w:rPr>
        <w:noBreakHyphen/>
      </w:r>
      <w:r w:rsidRPr="004C6FBB">
        <w:rPr>
          <w:sz w:val="20"/>
        </w:rPr>
        <w:t>300/89, n.º</w:t>
      </w:r>
      <w:r w:rsidRPr="004C6FBB">
        <w:rPr>
          <w:sz w:val="20"/>
          <w:vertAlign w:val="superscript"/>
        </w:rPr>
        <w:t>s</w:t>
      </w:r>
      <w:r w:rsidRPr="004C6FBB">
        <w:rPr>
          <w:sz w:val="20"/>
        </w:rPr>
        <w:t xml:space="preserve"> 17 a 25; processo C</w:t>
      </w:r>
      <w:r w:rsidR="007B7ADC">
        <w:rPr>
          <w:sz w:val="20"/>
        </w:rPr>
        <w:noBreakHyphen/>
      </w:r>
      <w:r w:rsidRPr="004C6FBB">
        <w:rPr>
          <w:sz w:val="20"/>
        </w:rPr>
        <w:t>268/94 Portugal/Conselho, ECLI:EU:C:1996:461.</w:t>
      </w:r>
    </w:p>
  </w:footnote>
  <w:footnote w:id="7">
    <w:p w14:paraId="0E351F80" w14:textId="3FA7D111" w:rsidR="00FC1E12" w:rsidRPr="004C6FBB" w:rsidRDefault="000A0476" w:rsidP="006A4CE5">
      <w:pPr>
        <w:rPr>
          <w:sz w:val="20"/>
        </w:rPr>
      </w:pPr>
      <w:r w:rsidRPr="007B7ADC">
        <w:rPr>
          <w:sz w:val="20"/>
          <w:vertAlign w:val="superscript"/>
        </w:rPr>
        <w:footnoteRef/>
      </w:r>
      <w:r w:rsidRPr="007B7ADC">
        <w:rPr>
          <w:sz w:val="20"/>
        </w:rPr>
        <w:t xml:space="preserve"> Encontravam</w:t>
      </w:r>
      <w:r w:rsidR="007B7ADC" w:rsidRPr="007B7ADC">
        <w:rPr>
          <w:sz w:val="20"/>
        </w:rPr>
        <w:noBreakHyphen/>
      </w:r>
      <w:r w:rsidRPr="007B7ADC">
        <w:rPr>
          <w:sz w:val="20"/>
        </w:rPr>
        <w:t>se presentes no momento da votação final:</w:t>
      </w:r>
      <w:r w:rsidRPr="007B7ADC">
        <w:rPr>
          <w:sz w:val="20"/>
        </w:rPr>
        <w:t xml:space="preserve"> Ilhan Kyuchyuk (presidente</w:t>
      </w:r>
      <w:r w:rsidRPr="004C6FBB">
        <w:rPr>
          <w:sz w:val="20"/>
        </w:rPr>
        <w:t>), Marion Walsmann (vice</w:t>
      </w:r>
      <w:r w:rsidR="007B7ADC">
        <w:rPr>
          <w:sz w:val="20"/>
        </w:rPr>
        <w:noBreakHyphen/>
      </w:r>
      <w:r w:rsidRPr="004C6FBB">
        <w:rPr>
          <w:sz w:val="20"/>
        </w:rPr>
        <w:t>presidente), Mario Mantovani (vice</w:t>
      </w:r>
      <w:r w:rsidR="007B7ADC">
        <w:rPr>
          <w:sz w:val="20"/>
        </w:rPr>
        <w:noBreakHyphen/>
      </w:r>
      <w:r w:rsidRPr="004C6FBB">
        <w:rPr>
          <w:sz w:val="20"/>
        </w:rPr>
        <w:t>presidente), Lara Wolters (vice</w:t>
      </w:r>
      <w:r w:rsidR="007B7ADC">
        <w:rPr>
          <w:sz w:val="20"/>
        </w:rPr>
        <w:noBreakHyphen/>
      </w:r>
      <w:r w:rsidRPr="004C6FBB">
        <w:rPr>
          <w:sz w:val="20"/>
        </w:rPr>
        <w:t>presidente), Maravillas Abadía Jover, Tobiasz Bocheński, Pascal Canfin, José Cepeda, Henrik Dahl, Ton Diepeveen, Sebastian Everding (em representação de Mario Furore, nos termos do artigo 216.º, n.º 7), Enikő Győri (em representação de Juan Carlos Girauta Vidal, nos termos do artigo 216.º, n.º 7), Mary Khan, Ana Catarina Mendes (em representação de Victor Negrescu, nos termos do artigo 216.º, n.º 7), Javier Moreno Sánchez (em representação de Krzysztof Śmiszek, nos termos do artigo 216.º, n.º 7), Angelika N</w:t>
      </w:r>
      <w:r w:rsidRPr="004C6FBB">
        <w:rPr>
          <w:sz w:val="20"/>
        </w:rPr>
        <w:t>iebler, Pascale Piera, Kira Marie Peter</w:t>
      </w:r>
      <w:r w:rsidR="007B7ADC">
        <w:rPr>
          <w:sz w:val="20"/>
        </w:rPr>
        <w:noBreakHyphen/>
      </w:r>
      <w:r w:rsidRPr="004C6FBB">
        <w:rPr>
          <w:sz w:val="20"/>
        </w:rPr>
        <w:t>Hansen, René Repasi, Tomas Tobé, Axel Voss, Adrián Vázquez Lázara, Jörgen Warborn, Maciej Wąsik (em representação de Dominik Tarczyński, nos termos do artigo 216.º, n.º 7), Michał Wawrykiewicz, Dainius Žalimas.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2AFB6" w14:textId="77777777" w:rsidR="007B7ADC" w:rsidRDefault="007B7A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FDCA2" w14:textId="77777777" w:rsidR="007B7ADC" w:rsidRDefault="007B7A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202C6" w14:textId="77777777" w:rsidR="007B7ADC" w:rsidRDefault="007B7A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06495604"/>
    <w:multiLevelType w:val="multilevel"/>
    <w:tmpl w:val="B8A4F914"/>
    <w:lvl w:ilvl="0">
      <w:start w:val="1"/>
      <w:numFmt w:val="decimal"/>
      <w:pStyle w:val="Point123"/>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15:restartNumberingAfterBreak="0">
    <w:nsid w:val="11D26130"/>
    <w:multiLevelType w:val="hybridMultilevel"/>
    <w:tmpl w:val="B964B4C8"/>
    <w:lvl w:ilvl="0" w:tplc="34283552">
      <w:start w:val="1"/>
      <w:numFmt w:val="decimal"/>
      <w:lvlText w:val="%1."/>
      <w:lvlJc w:val="left"/>
      <w:pPr>
        <w:ind w:left="360" w:hanging="360"/>
      </w:pPr>
      <w:rPr>
        <w:rFonts w:hint="default"/>
      </w:rPr>
    </w:lvl>
    <w:lvl w:ilvl="1" w:tplc="E19A8568" w:tentative="1">
      <w:start w:val="1"/>
      <w:numFmt w:val="lowerLetter"/>
      <w:lvlText w:val="%2."/>
      <w:lvlJc w:val="left"/>
      <w:pPr>
        <w:ind w:left="1080" w:hanging="360"/>
      </w:pPr>
    </w:lvl>
    <w:lvl w:ilvl="2" w:tplc="5890E0DE" w:tentative="1">
      <w:start w:val="1"/>
      <w:numFmt w:val="lowerRoman"/>
      <w:lvlText w:val="%3."/>
      <w:lvlJc w:val="right"/>
      <w:pPr>
        <w:ind w:left="1800" w:hanging="180"/>
      </w:pPr>
    </w:lvl>
    <w:lvl w:ilvl="3" w:tplc="519EA780" w:tentative="1">
      <w:start w:val="1"/>
      <w:numFmt w:val="decimal"/>
      <w:lvlText w:val="%4."/>
      <w:lvlJc w:val="left"/>
      <w:pPr>
        <w:ind w:left="2520" w:hanging="360"/>
      </w:pPr>
    </w:lvl>
    <w:lvl w:ilvl="4" w:tplc="53AA2EEA" w:tentative="1">
      <w:start w:val="1"/>
      <w:numFmt w:val="lowerLetter"/>
      <w:lvlText w:val="%5."/>
      <w:lvlJc w:val="left"/>
      <w:pPr>
        <w:ind w:left="3240" w:hanging="360"/>
      </w:pPr>
    </w:lvl>
    <w:lvl w:ilvl="5" w:tplc="543E27E0" w:tentative="1">
      <w:start w:val="1"/>
      <w:numFmt w:val="lowerRoman"/>
      <w:lvlText w:val="%6."/>
      <w:lvlJc w:val="right"/>
      <w:pPr>
        <w:ind w:left="3960" w:hanging="180"/>
      </w:pPr>
    </w:lvl>
    <w:lvl w:ilvl="6" w:tplc="38FC7E96" w:tentative="1">
      <w:start w:val="1"/>
      <w:numFmt w:val="decimal"/>
      <w:lvlText w:val="%7."/>
      <w:lvlJc w:val="left"/>
      <w:pPr>
        <w:ind w:left="4680" w:hanging="360"/>
      </w:pPr>
    </w:lvl>
    <w:lvl w:ilvl="7" w:tplc="DFA098E0" w:tentative="1">
      <w:start w:val="1"/>
      <w:numFmt w:val="lowerLetter"/>
      <w:lvlText w:val="%8."/>
      <w:lvlJc w:val="left"/>
      <w:pPr>
        <w:ind w:left="5400" w:hanging="360"/>
      </w:pPr>
    </w:lvl>
    <w:lvl w:ilvl="8" w:tplc="32E4A084" w:tentative="1">
      <w:start w:val="1"/>
      <w:numFmt w:val="lowerRoman"/>
      <w:lvlText w:val="%9."/>
      <w:lvlJc w:val="right"/>
      <w:pPr>
        <w:ind w:left="6120" w:hanging="180"/>
      </w:pPr>
    </w:lvl>
  </w:abstractNum>
  <w:abstractNum w:abstractNumId="13"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4"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570967610">
    <w:abstractNumId w:val="9"/>
  </w:num>
  <w:num w:numId="2" w16cid:durableId="1364330068">
    <w:abstractNumId w:val="9"/>
  </w:num>
  <w:num w:numId="3" w16cid:durableId="922646134">
    <w:abstractNumId w:val="7"/>
  </w:num>
  <w:num w:numId="4" w16cid:durableId="71390860">
    <w:abstractNumId w:val="7"/>
  </w:num>
  <w:num w:numId="5" w16cid:durableId="2142654517">
    <w:abstractNumId w:val="6"/>
  </w:num>
  <w:num w:numId="6" w16cid:durableId="61411426">
    <w:abstractNumId w:val="6"/>
  </w:num>
  <w:num w:numId="7" w16cid:durableId="872155289">
    <w:abstractNumId w:val="5"/>
  </w:num>
  <w:num w:numId="8" w16cid:durableId="340812382">
    <w:abstractNumId w:val="5"/>
  </w:num>
  <w:num w:numId="9" w16cid:durableId="896281570">
    <w:abstractNumId w:val="4"/>
  </w:num>
  <w:num w:numId="10" w16cid:durableId="624386917">
    <w:abstractNumId w:val="4"/>
  </w:num>
  <w:num w:numId="11" w16cid:durableId="991562512">
    <w:abstractNumId w:val="8"/>
  </w:num>
  <w:num w:numId="12" w16cid:durableId="852718559">
    <w:abstractNumId w:val="8"/>
  </w:num>
  <w:num w:numId="13" w16cid:durableId="1684816351">
    <w:abstractNumId w:val="3"/>
  </w:num>
  <w:num w:numId="14" w16cid:durableId="84616340">
    <w:abstractNumId w:val="3"/>
  </w:num>
  <w:num w:numId="15" w16cid:durableId="1146051378">
    <w:abstractNumId w:val="2"/>
  </w:num>
  <w:num w:numId="16" w16cid:durableId="1744910021">
    <w:abstractNumId w:val="2"/>
  </w:num>
  <w:num w:numId="17" w16cid:durableId="1878396121">
    <w:abstractNumId w:val="1"/>
  </w:num>
  <w:num w:numId="18" w16cid:durableId="550964710">
    <w:abstractNumId w:val="1"/>
  </w:num>
  <w:num w:numId="19" w16cid:durableId="1379934185">
    <w:abstractNumId w:val="0"/>
  </w:num>
  <w:num w:numId="20" w16cid:durableId="1850673554">
    <w:abstractNumId w:val="0"/>
  </w:num>
  <w:num w:numId="21" w16cid:durableId="859977611">
    <w:abstractNumId w:val="9"/>
  </w:num>
  <w:num w:numId="22" w16cid:durableId="1080830851">
    <w:abstractNumId w:val="7"/>
  </w:num>
  <w:num w:numId="23" w16cid:durableId="1257251542">
    <w:abstractNumId w:val="6"/>
  </w:num>
  <w:num w:numId="24" w16cid:durableId="423889578">
    <w:abstractNumId w:val="5"/>
  </w:num>
  <w:num w:numId="25" w16cid:durableId="1266424300">
    <w:abstractNumId w:val="4"/>
  </w:num>
  <w:num w:numId="26" w16cid:durableId="58944855">
    <w:abstractNumId w:val="8"/>
  </w:num>
  <w:num w:numId="27" w16cid:durableId="29109459">
    <w:abstractNumId w:val="3"/>
  </w:num>
  <w:num w:numId="28" w16cid:durableId="2007661597">
    <w:abstractNumId w:val="2"/>
  </w:num>
  <w:num w:numId="29" w16cid:durableId="1789662201">
    <w:abstractNumId w:val="1"/>
  </w:num>
  <w:num w:numId="30" w16cid:durableId="1548830839">
    <w:abstractNumId w:val="0"/>
  </w:num>
  <w:num w:numId="31" w16cid:durableId="512960190">
    <w:abstractNumId w:val="9"/>
  </w:num>
  <w:num w:numId="32" w16cid:durableId="1963219586">
    <w:abstractNumId w:val="7"/>
  </w:num>
  <w:num w:numId="33" w16cid:durableId="569389436">
    <w:abstractNumId w:val="6"/>
  </w:num>
  <w:num w:numId="34" w16cid:durableId="1778476802">
    <w:abstractNumId w:val="5"/>
  </w:num>
  <w:num w:numId="35" w16cid:durableId="862864334">
    <w:abstractNumId w:val="4"/>
  </w:num>
  <w:num w:numId="36" w16cid:durableId="484585305">
    <w:abstractNumId w:val="8"/>
  </w:num>
  <w:num w:numId="37" w16cid:durableId="1796407660">
    <w:abstractNumId w:val="3"/>
  </w:num>
  <w:num w:numId="38" w16cid:durableId="225529406">
    <w:abstractNumId w:val="2"/>
  </w:num>
  <w:num w:numId="39" w16cid:durableId="1385909485">
    <w:abstractNumId w:val="1"/>
  </w:num>
  <w:num w:numId="40" w16cid:durableId="743187462">
    <w:abstractNumId w:val="0"/>
  </w:num>
  <w:num w:numId="41" w16cid:durableId="114374418">
    <w:abstractNumId w:val="10"/>
  </w:num>
  <w:num w:numId="42" w16cid:durableId="400443662">
    <w:abstractNumId w:val="14"/>
  </w:num>
  <w:num w:numId="43" w16cid:durableId="900945850">
    <w:abstractNumId w:val="13"/>
  </w:num>
  <w:num w:numId="44" w16cid:durableId="15749253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284484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DRESSMNU" w:val=" 1"/>
    <w:docVar w:name="LastEditedSection" w:val=" 1"/>
    <w:docVar w:name="strSubDir" w:val="1330"/>
    <w:docVar w:name="TXTLANGUE" w:val="EN"/>
    <w:docVar w:name="TXTLANGUEMIN" w:val="en"/>
    <w:docVar w:name="TXTNRC" w:val="0754"/>
    <w:docVar w:name="TXTNRCOM" w:val="2023"/>
    <w:docVar w:name="TXTNRPE" w:val="778.317"/>
    <w:docVar w:name="TXTNRPROC" w:val="2023/0438"/>
    <w:docVar w:name="TXTPEorAP" w:val="PE"/>
    <w:docVar w:name="TXTROUTE" w:val="AL\1330969EN.docx"/>
    <w:docVar w:name="TXTVERSION" w:val="02-00"/>
  </w:docVars>
  <w:rsids>
    <w:rsidRoot w:val="005C4B56"/>
    <w:rsid w:val="00000C7D"/>
    <w:rsid w:val="0000696F"/>
    <w:rsid w:val="00012F0D"/>
    <w:rsid w:val="00035402"/>
    <w:rsid w:val="000A0476"/>
    <w:rsid w:val="000C3F41"/>
    <w:rsid w:val="000D2B86"/>
    <w:rsid w:val="0012665B"/>
    <w:rsid w:val="001422AE"/>
    <w:rsid w:val="00157D4E"/>
    <w:rsid w:val="001701D6"/>
    <w:rsid w:val="001D1646"/>
    <w:rsid w:val="00250DDD"/>
    <w:rsid w:val="002B6CA1"/>
    <w:rsid w:val="00324EAF"/>
    <w:rsid w:val="00332170"/>
    <w:rsid w:val="003666DE"/>
    <w:rsid w:val="003763A3"/>
    <w:rsid w:val="003C41CE"/>
    <w:rsid w:val="003C6D88"/>
    <w:rsid w:val="00463119"/>
    <w:rsid w:val="00482DA5"/>
    <w:rsid w:val="00493031"/>
    <w:rsid w:val="004C6FBB"/>
    <w:rsid w:val="004D0D33"/>
    <w:rsid w:val="004D0D4E"/>
    <w:rsid w:val="004E5B27"/>
    <w:rsid w:val="004F676F"/>
    <w:rsid w:val="00501E47"/>
    <w:rsid w:val="00505A2E"/>
    <w:rsid w:val="00571C42"/>
    <w:rsid w:val="00595C9D"/>
    <w:rsid w:val="005C4B56"/>
    <w:rsid w:val="005F56BD"/>
    <w:rsid w:val="006416E0"/>
    <w:rsid w:val="006A4CE5"/>
    <w:rsid w:val="006F51B0"/>
    <w:rsid w:val="007179A7"/>
    <w:rsid w:val="0074577C"/>
    <w:rsid w:val="0077327E"/>
    <w:rsid w:val="007829F6"/>
    <w:rsid w:val="007B7ADC"/>
    <w:rsid w:val="007E6351"/>
    <w:rsid w:val="007F3C4A"/>
    <w:rsid w:val="007F7DB6"/>
    <w:rsid w:val="00802D65"/>
    <w:rsid w:val="008249C6"/>
    <w:rsid w:val="0084209A"/>
    <w:rsid w:val="00853AFA"/>
    <w:rsid w:val="0089677B"/>
    <w:rsid w:val="008A7815"/>
    <w:rsid w:val="008C0413"/>
    <w:rsid w:val="008E2161"/>
    <w:rsid w:val="008F46B6"/>
    <w:rsid w:val="009957FA"/>
    <w:rsid w:val="009D564F"/>
    <w:rsid w:val="009F796C"/>
    <w:rsid w:val="00A02D71"/>
    <w:rsid w:val="00A04228"/>
    <w:rsid w:val="00A37F67"/>
    <w:rsid w:val="00A441B1"/>
    <w:rsid w:val="00A93DB1"/>
    <w:rsid w:val="00AC0580"/>
    <w:rsid w:val="00AE6929"/>
    <w:rsid w:val="00C127ED"/>
    <w:rsid w:val="00C82F7E"/>
    <w:rsid w:val="00C85D0F"/>
    <w:rsid w:val="00CE1655"/>
    <w:rsid w:val="00D478EA"/>
    <w:rsid w:val="00D77B8C"/>
    <w:rsid w:val="00D92A83"/>
    <w:rsid w:val="00E71F4C"/>
    <w:rsid w:val="00E743B3"/>
    <w:rsid w:val="00F12926"/>
    <w:rsid w:val="00F30938"/>
    <w:rsid w:val="00F501D2"/>
    <w:rsid w:val="00F70D50"/>
    <w:rsid w:val="00FC1E12"/>
    <w:rsid w:val="00FD6D4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A5469C"/>
  <w15:chartTrackingRefBased/>
  <w15:docId w15:val="{60A0B861-4EFF-4947-B01B-BBA31F701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665B"/>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A04228"/>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A04228"/>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ubject">
    <w:name w:val="LetterSubject"/>
    <w:basedOn w:val="Normal"/>
    <w:rsid w:val="00463119"/>
    <w:pPr>
      <w:spacing w:before="480"/>
      <w:ind w:left="1134" w:hanging="1134"/>
    </w:pPr>
  </w:style>
  <w:style w:type="paragraph" w:customStyle="1" w:styleId="LetterSignature66b">
    <w:name w:val="LetterSignature66b"/>
    <w:basedOn w:val="Normal"/>
    <w:next w:val="Normal"/>
    <w:rsid w:val="00595C9D"/>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A04228"/>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0696F"/>
    <w:pPr>
      <w:pBdr>
        <w:bottom w:val="single" w:sz="4" w:space="1" w:color="auto"/>
      </w:pBdr>
      <w:spacing w:after="240"/>
      <w:jc w:val="center"/>
    </w:pPr>
    <w:rPr>
      <w:rFonts w:ascii="Arial" w:hAnsi="Arial" w:cs="Arial"/>
      <w:sz w:val="16"/>
      <w:szCs w:val="16"/>
    </w:rPr>
  </w:style>
  <w:style w:type="paragraph" w:customStyle="1" w:styleId="LetterSalutation">
    <w:name w:val="LetterSalutation"/>
    <w:basedOn w:val="Normal"/>
    <w:rsid w:val="008A7815"/>
    <w:pPr>
      <w:spacing w:before="600" w:after="360"/>
    </w:pPr>
  </w:style>
  <w:style w:type="paragraph" w:customStyle="1" w:styleId="EPFooter">
    <w:name w:val="EPFooter"/>
    <w:basedOn w:val="Normal"/>
    <w:rsid w:val="000C3F41"/>
    <w:pPr>
      <w:tabs>
        <w:tab w:val="center" w:pos="4535"/>
        <w:tab w:val="right" w:pos="9071"/>
      </w:tabs>
      <w:spacing w:before="240" w:after="240"/>
    </w:pPr>
    <w:rPr>
      <w:color w:val="010000"/>
      <w:sz w:val="22"/>
    </w:rPr>
  </w:style>
  <w:style w:type="paragraph" w:styleId="Header">
    <w:name w:val="header"/>
    <w:basedOn w:val="Normal"/>
    <w:link w:val="HeaderChar"/>
    <w:semiHidden/>
    <w:rsid w:val="000C3F41"/>
    <w:pPr>
      <w:tabs>
        <w:tab w:val="center" w:pos="4513"/>
        <w:tab w:val="right" w:pos="9026"/>
      </w:tabs>
    </w:pPr>
  </w:style>
  <w:style w:type="character" w:customStyle="1" w:styleId="HeaderChar">
    <w:name w:val="Header Char"/>
    <w:basedOn w:val="DefaultParagraphFont"/>
    <w:link w:val="Header"/>
    <w:semiHidden/>
    <w:rsid w:val="00332170"/>
    <w:rPr>
      <w:sz w:val="24"/>
    </w:rPr>
  </w:style>
  <w:style w:type="paragraph" w:styleId="TOCHeading">
    <w:name w:val="TOC Heading"/>
    <w:basedOn w:val="Normal"/>
    <w:next w:val="Normal"/>
    <w:uiPriority w:val="39"/>
    <w:semiHidden/>
    <w:unhideWhenUsed/>
    <w:qFormat/>
    <w:rsid w:val="00802D65"/>
    <w:pPr>
      <w:keepLines/>
      <w:spacing w:after="240"/>
    </w:pPr>
    <w:rPr>
      <w:rFonts w:asciiTheme="majorHAnsi" w:eastAsiaTheme="majorEastAsia" w:hAnsiTheme="majorHAnsi" w:cstheme="majorBidi"/>
      <w:b/>
      <w:color w:val="2E74B5" w:themeColor="accent1" w:themeShade="BF"/>
      <w:sz w:val="32"/>
      <w:szCs w:val="32"/>
    </w:rPr>
  </w:style>
  <w:style w:type="paragraph" w:customStyle="1" w:styleId="Pointabc">
    <w:name w:val="Point abc"/>
    <w:basedOn w:val="Normal"/>
    <w:rsid w:val="00FC1E12"/>
    <w:pPr>
      <w:widowControl/>
      <w:numPr>
        <w:ilvl w:val="1"/>
        <w:numId w:val="44"/>
      </w:numPr>
      <w:spacing w:before="120" w:after="120" w:line="360" w:lineRule="auto"/>
    </w:pPr>
    <w:rPr>
      <w:rFonts w:eastAsiaTheme="minorHAnsi"/>
      <w:szCs w:val="22"/>
      <w:lang w:eastAsia="en-US"/>
    </w:rPr>
  </w:style>
  <w:style w:type="paragraph" w:customStyle="1" w:styleId="Pointabc1">
    <w:name w:val="Point abc (1)"/>
    <w:basedOn w:val="Normal"/>
    <w:rsid w:val="00FC1E12"/>
    <w:pPr>
      <w:widowControl/>
      <w:numPr>
        <w:ilvl w:val="3"/>
        <w:numId w:val="44"/>
      </w:numPr>
      <w:spacing w:before="120" w:after="120" w:line="360" w:lineRule="auto"/>
    </w:pPr>
    <w:rPr>
      <w:rFonts w:eastAsiaTheme="minorHAnsi"/>
      <w:szCs w:val="22"/>
      <w:lang w:eastAsia="en-US"/>
    </w:rPr>
  </w:style>
  <w:style w:type="paragraph" w:customStyle="1" w:styleId="Pointabc2">
    <w:name w:val="Point abc (2)"/>
    <w:basedOn w:val="Normal"/>
    <w:rsid w:val="00FC1E12"/>
    <w:pPr>
      <w:widowControl/>
      <w:numPr>
        <w:ilvl w:val="5"/>
        <w:numId w:val="44"/>
      </w:numPr>
      <w:spacing w:before="120" w:after="120" w:line="360" w:lineRule="auto"/>
    </w:pPr>
    <w:rPr>
      <w:rFonts w:eastAsiaTheme="minorHAnsi"/>
      <w:szCs w:val="22"/>
      <w:lang w:eastAsia="en-US"/>
    </w:rPr>
  </w:style>
  <w:style w:type="paragraph" w:customStyle="1" w:styleId="Pointabc3">
    <w:name w:val="Point abc (3)"/>
    <w:basedOn w:val="Normal"/>
    <w:rsid w:val="00FC1E12"/>
    <w:pPr>
      <w:widowControl/>
      <w:numPr>
        <w:ilvl w:val="7"/>
        <w:numId w:val="44"/>
      </w:numPr>
      <w:spacing w:before="120" w:after="120" w:line="360" w:lineRule="auto"/>
    </w:pPr>
    <w:rPr>
      <w:rFonts w:eastAsiaTheme="minorHAnsi"/>
      <w:szCs w:val="22"/>
      <w:lang w:eastAsia="en-US"/>
    </w:rPr>
  </w:style>
  <w:style w:type="paragraph" w:customStyle="1" w:styleId="Pointabc4">
    <w:name w:val="Point abc (4)"/>
    <w:basedOn w:val="Normal"/>
    <w:rsid w:val="00FC1E12"/>
    <w:pPr>
      <w:widowControl/>
      <w:numPr>
        <w:ilvl w:val="8"/>
        <w:numId w:val="44"/>
      </w:numPr>
      <w:spacing w:before="120" w:after="120" w:line="360" w:lineRule="auto"/>
    </w:pPr>
    <w:rPr>
      <w:rFonts w:eastAsiaTheme="minorHAnsi"/>
      <w:szCs w:val="22"/>
      <w:lang w:eastAsia="en-US"/>
    </w:rPr>
  </w:style>
  <w:style w:type="paragraph" w:customStyle="1" w:styleId="Point123">
    <w:name w:val="Point 123"/>
    <w:basedOn w:val="Normal"/>
    <w:rsid w:val="00FC1E12"/>
    <w:pPr>
      <w:widowControl/>
      <w:numPr>
        <w:numId w:val="44"/>
      </w:numPr>
      <w:spacing w:before="120" w:after="120" w:line="360" w:lineRule="auto"/>
    </w:pPr>
    <w:rPr>
      <w:rFonts w:eastAsiaTheme="minorHAnsi"/>
      <w:szCs w:val="22"/>
      <w:lang w:eastAsia="en-US"/>
    </w:rPr>
  </w:style>
  <w:style w:type="paragraph" w:customStyle="1" w:styleId="Point1231">
    <w:name w:val="Point 123 (1)"/>
    <w:basedOn w:val="Normal"/>
    <w:rsid w:val="00FC1E12"/>
    <w:pPr>
      <w:widowControl/>
      <w:numPr>
        <w:ilvl w:val="2"/>
        <w:numId w:val="44"/>
      </w:numPr>
      <w:spacing w:before="120" w:after="120" w:line="360" w:lineRule="auto"/>
    </w:pPr>
    <w:rPr>
      <w:rFonts w:eastAsiaTheme="minorHAnsi"/>
      <w:szCs w:val="22"/>
      <w:lang w:eastAsia="en-US"/>
    </w:rPr>
  </w:style>
  <w:style w:type="paragraph" w:customStyle="1" w:styleId="Point1232">
    <w:name w:val="Point 123 (2)"/>
    <w:basedOn w:val="Normal"/>
    <w:rsid w:val="00FC1E12"/>
    <w:pPr>
      <w:widowControl/>
      <w:numPr>
        <w:ilvl w:val="4"/>
        <w:numId w:val="44"/>
      </w:numPr>
      <w:spacing w:before="120" w:after="120" w:line="360" w:lineRule="auto"/>
    </w:pPr>
    <w:rPr>
      <w:rFonts w:eastAsiaTheme="minorHAnsi"/>
      <w:szCs w:val="22"/>
      <w:lang w:eastAsia="en-US"/>
    </w:rPr>
  </w:style>
  <w:style w:type="paragraph" w:customStyle="1" w:styleId="Point1233">
    <w:name w:val="Point 123 (3)"/>
    <w:basedOn w:val="Normal"/>
    <w:rsid w:val="00FC1E12"/>
    <w:pPr>
      <w:widowControl/>
      <w:numPr>
        <w:ilvl w:val="6"/>
        <w:numId w:val="44"/>
      </w:numPr>
      <w:spacing w:before="120" w:after="120" w:line="360" w:lineRule="auto"/>
    </w:pPr>
    <w:rPr>
      <w:rFonts w:eastAsiaTheme="minorHAnsi"/>
      <w:szCs w:val="22"/>
      <w:lang w:eastAsia="en-US"/>
    </w:rPr>
  </w:style>
  <w:style w:type="character" w:customStyle="1" w:styleId="Nessuno">
    <w:name w:val="Nessuno"/>
    <w:rsid w:val="00FC1E12"/>
  </w:style>
  <w:style w:type="character" w:customStyle="1" w:styleId="outputecliaff">
    <w:name w:val="outputecliaff"/>
    <w:basedOn w:val="DefaultParagraphFont"/>
    <w:rsid w:val="00FC1E12"/>
  </w:style>
  <w:style w:type="character" w:customStyle="1" w:styleId="affairetitle">
    <w:name w:val="affaire_title"/>
    <w:basedOn w:val="DefaultParagraphFont"/>
    <w:rsid w:val="00FC1E12"/>
  </w:style>
  <w:style w:type="paragraph" w:styleId="Footer">
    <w:name w:val="footer"/>
    <w:basedOn w:val="Normal"/>
    <w:link w:val="FooterChar"/>
    <w:semiHidden/>
    <w:rsid w:val="00A93DB1"/>
    <w:pPr>
      <w:tabs>
        <w:tab w:val="center" w:pos="4513"/>
        <w:tab w:val="right" w:pos="9026"/>
      </w:tabs>
    </w:pPr>
  </w:style>
  <w:style w:type="character" w:customStyle="1" w:styleId="FooterChar">
    <w:name w:val="Footer Char"/>
    <w:basedOn w:val="DefaultParagraphFont"/>
    <w:link w:val="Footer"/>
    <w:semiHidden/>
    <w:rsid w:val="00A93DB1"/>
    <w:rPr>
      <w:sz w:val="24"/>
    </w:rPr>
  </w:style>
  <w:style w:type="paragraph" w:styleId="BalloonText">
    <w:name w:val="Balloon Text"/>
    <w:basedOn w:val="Normal"/>
    <w:link w:val="BalloonTextChar"/>
    <w:semiHidden/>
    <w:unhideWhenUsed/>
    <w:rsid w:val="00571C42"/>
    <w:rPr>
      <w:rFonts w:ascii="Segoe UI" w:hAnsi="Segoe UI" w:cs="Segoe UI"/>
      <w:sz w:val="18"/>
      <w:szCs w:val="18"/>
    </w:rPr>
  </w:style>
  <w:style w:type="character" w:customStyle="1" w:styleId="BalloonTextChar">
    <w:name w:val="Balloon Text Char"/>
    <w:basedOn w:val="DefaultParagraphFont"/>
    <w:link w:val="BalloonText"/>
    <w:semiHidden/>
    <w:rsid w:val="00571C42"/>
    <w:rPr>
      <w:rFonts w:ascii="Segoe UI" w:hAnsi="Segoe UI" w:cs="Segoe UI"/>
      <w:sz w:val="18"/>
      <w:szCs w:val="18"/>
    </w:rPr>
  </w:style>
  <w:style w:type="paragraph" w:styleId="ListParagraph">
    <w:name w:val="List Paragraph"/>
    <w:basedOn w:val="Normal"/>
    <w:uiPriority w:val="34"/>
    <w:qFormat/>
    <w:rsid w:val="00571C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1937</Words>
  <Characters>10813</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AL_JURI</vt:lpstr>
    </vt:vector>
  </TitlesOfParts>
  <Company/>
  <LinksUpToDate>false</LinksUpToDate>
  <CharactersWithSpaces>12693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AL_JURI</dc:title>
  <dc:creator>ZAHARIE Ana Maria</dc:creator>
  <cp:lastModifiedBy>CABRAL BARBOSA Vanda</cp:lastModifiedBy>
  <cp:revision>2</cp:revision>
  <cp:lastPrinted>2004-06-24T10:04:00Z</cp:lastPrinted>
  <dcterms:created xsi:type="dcterms:W3CDTF">2025-10-30T16:53:00Z</dcterms:created>
  <dcterms:modified xsi:type="dcterms:W3CDTF">2025-10-30T16:53:00Z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1330969</vt:lpwstr>
  </property>
  <property fmtid="{D5CDD505-2E9C-101B-9397-08002B2CF9AE}" pid="4" name="&lt;Model&gt;">
    <vt:lpwstr>AL_JURI</vt:lpwstr>
  </property>
  <property fmtid="{D5CDD505-2E9C-101B-9397-08002B2CF9AE}" pid="5" name="&lt;ModelCod&gt;">
    <vt:lpwstr>\\eiciBRUpr1\pdocep$\DocEP\DOCS\General\AL\AL_JURI.dotx(20/01/2023 22:25:05)</vt:lpwstr>
  </property>
  <property fmtid="{D5CDD505-2E9C-101B-9397-08002B2CF9AE}" pid="6" name="&lt;ModelTra&gt;">
    <vt:lpwstr>\\eiciBRUpr1\pdocep$\DocEP\TRANSFIL\EN\AL_JURI.EN(11/09/2024 09:05:01)</vt:lpwstr>
  </property>
  <property fmtid="{D5CDD505-2E9C-101B-9397-08002B2CF9AE}" pid="7" name="&lt;Type&gt;">
    <vt:lpwstr>AL</vt:lpwstr>
  </property>
  <property fmtid="{D5CDD505-2E9C-101B-9397-08002B2CF9AE}" pid="8" name="Created with">
    <vt:lpwstr>10.1.2 Build [20250817]</vt:lpwstr>
  </property>
  <property fmtid="{D5CDD505-2E9C-101B-9397-08002B2CF9AE}" pid="9" name="FooterPath">
    <vt:lpwstr>AL\1330969PT.docx</vt:lpwstr>
  </property>
  <property fmtid="{D5CDD505-2E9C-101B-9397-08002B2CF9AE}" pid="10" name="LastEdited with">
    <vt:lpwstr>10.2.0 Build [20251001]</vt:lpwstr>
  </property>
  <property fmtid="{D5CDD505-2E9C-101B-9397-08002B2CF9AE}" pid="11" name="PE number">
    <vt:lpwstr>778.317</vt:lpwstr>
  </property>
  <property fmtid="{D5CDD505-2E9C-101B-9397-08002B2CF9AE}" pid="12" name="SDLStudio">
    <vt:lpwstr/>
  </property>
  <property fmtid="{D5CDD505-2E9C-101B-9397-08002B2CF9AE}" pid="13" name="SendToEpades">
    <vt:lpwstr>OK - 2025/10/29 16:13</vt:lpwstr>
  </property>
  <property fmtid="{D5CDD505-2E9C-101B-9397-08002B2CF9AE}" pid="14" name="Bookout">
    <vt:lpwstr>OK - 2025/10/30 17:52</vt:lpwstr>
  </property>
</Properties>
</file>