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927FC" w:rsidRPr="007F0103" w14:paraId="30B442C9" w14:textId="77777777" w:rsidTr="00C85D0F">
        <w:trPr>
          <w:trHeight w:hRule="exact" w:val="1418"/>
        </w:trPr>
        <w:tc>
          <w:tcPr>
            <w:tcW w:w="6804" w:type="dxa"/>
            <w:shd w:val="clear" w:color="auto" w:fill="auto"/>
            <w:vAlign w:val="center"/>
          </w:tcPr>
          <w:p w14:paraId="32742CA5" w14:textId="77777777" w:rsidR="003666DE" w:rsidRPr="007F0103" w:rsidRDefault="007F0103" w:rsidP="00C85D0F">
            <w:pPr>
              <w:pStyle w:val="EPName"/>
            </w:pPr>
            <w:r w:rsidRPr="007F0103">
              <w:t>Europa-Parlamentet</w:t>
            </w:r>
          </w:p>
          <w:p w14:paraId="2DE193FA" w14:textId="77777777" w:rsidR="003666DE" w:rsidRPr="007F0103" w:rsidRDefault="007F0103" w:rsidP="00C85D0F">
            <w:pPr>
              <w:pStyle w:val="EPTerm"/>
            </w:pPr>
            <w:r w:rsidRPr="007F0103">
              <w:t>2024-2029</w:t>
            </w:r>
          </w:p>
        </w:tc>
        <w:tc>
          <w:tcPr>
            <w:tcW w:w="2268" w:type="dxa"/>
            <w:shd w:val="clear" w:color="auto" w:fill="auto"/>
          </w:tcPr>
          <w:p w14:paraId="41F6B616" w14:textId="77777777" w:rsidR="003666DE" w:rsidRPr="007F0103" w:rsidRDefault="007F0103" w:rsidP="00C85D0F">
            <w:pPr>
              <w:pStyle w:val="EPLogo"/>
            </w:pPr>
            <w:r w:rsidRPr="007F0103">
              <w:drawing>
                <wp:inline distT="0" distB="0" distL="0" distR="0" wp14:anchorId="2BF92327" wp14:editId="0FC657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E72D5DD" w14:textId="77777777" w:rsidR="00000C7D" w:rsidRPr="007F0103" w:rsidRDefault="00000C7D" w:rsidP="00000C7D">
      <w:pPr>
        <w:pStyle w:val="LineTop"/>
      </w:pPr>
    </w:p>
    <w:p w14:paraId="668345A4" w14:textId="77777777" w:rsidR="00000C7D" w:rsidRPr="007F0103" w:rsidRDefault="007F0103" w:rsidP="00000C7D">
      <w:pPr>
        <w:pStyle w:val="EPBody"/>
      </w:pPr>
      <w:r w:rsidRPr="007F0103">
        <w:rPr>
          <w:rStyle w:val="HideTWBExt"/>
          <w:noProof w:val="0"/>
        </w:rPr>
        <w:t>&lt;</w:t>
      </w:r>
      <w:r w:rsidRPr="007F0103">
        <w:rPr>
          <w:rStyle w:val="HideTWBExt"/>
          <w:i w:val="0"/>
          <w:noProof w:val="0"/>
        </w:rPr>
        <w:t>Commission</w:t>
      </w:r>
      <w:r w:rsidRPr="007F0103">
        <w:rPr>
          <w:rStyle w:val="HideTWBExt"/>
          <w:noProof w:val="0"/>
        </w:rPr>
        <w:t>&gt;</w:t>
      </w:r>
      <w:r w:rsidRPr="007F0103">
        <w:rPr>
          <w:rStyle w:val="HideTWBInt"/>
          <w:color w:val="auto"/>
        </w:rPr>
        <w:t>{JURI}</w:t>
      </w:r>
      <w:r w:rsidRPr="007F0103">
        <w:t>Retsudvalget</w:t>
      </w:r>
      <w:r w:rsidRPr="007F0103">
        <w:rPr>
          <w:rStyle w:val="HideTWBExt"/>
          <w:noProof w:val="0"/>
        </w:rPr>
        <w:t>&lt;/</w:t>
      </w:r>
      <w:r w:rsidRPr="007F0103">
        <w:rPr>
          <w:rStyle w:val="HideTWBExt"/>
          <w:i w:val="0"/>
          <w:noProof w:val="0"/>
        </w:rPr>
        <w:t>Commission</w:t>
      </w:r>
      <w:r w:rsidRPr="007F0103">
        <w:rPr>
          <w:rStyle w:val="HideTWBExt"/>
          <w:noProof w:val="0"/>
        </w:rPr>
        <w:t>&gt;</w:t>
      </w:r>
    </w:p>
    <w:p w14:paraId="551393EC" w14:textId="77777777" w:rsidR="00000C7D" w:rsidRPr="007F0103" w:rsidRDefault="007F0103" w:rsidP="00000C7D">
      <w:pPr>
        <w:pStyle w:val="EPBody"/>
      </w:pPr>
      <w:r w:rsidRPr="007F0103">
        <w:t>Formanden</w:t>
      </w:r>
    </w:p>
    <w:p w14:paraId="6B1E9B6D" w14:textId="77777777" w:rsidR="00000C7D" w:rsidRPr="007F0103" w:rsidRDefault="00000C7D" w:rsidP="00000C7D">
      <w:pPr>
        <w:pStyle w:val="LineBottom"/>
      </w:pPr>
    </w:p>
    <w:p w14:paraId="103D8482" w14:textId="77777777" w:rsidR="00E71F4C" w:rsidRPr="007F0103" w:rsidRDefault="007F0103" w:rsidP="00A04228">
      <w:pPr>
        <w:pStyle w:val="LetterDate"/>
      </w:pPr>
      <w:r w:rsidRPr="007F0103">
        <w:rPr>
          <w:rStyle w:val="HideTWBExt"/>
          <w:noProof w:val="0"/>
        </w:rPr>
        <w:t>&lt;Date&gt;</w:t>
      </w:r>
      <w:r w:rsidRPr="007F0103">
        <w:rPr>
          <w:rStyle w:val="HideTWBInt"/>
          <w:color w:val="auto"/>
        </w:rPr>
        <w:t>{22/04/2026}</w:t>
      </w:r>
      <w:r w:rsidRPr="007F0103">
        <w:t>22.4.2026</w:t>
      </w:r>
      <w:r w:rsidRPr="007F0103">
        <w:rPr>
          <w:rStyle w:val="HideTWBExt"/>
          <w:noProof w:val="0"/>
        </w:rPr>
        <w:t>&lt;/Date&gt;</w:t>
      </w:r>
    </w:p>
    <w:p w14:paraId="231135E3" w14:textId="77777777" w:rsidR="007179A7" w:rsidRPr="007F0103" w:rsidRDefault="007F0103">
      <w:r w:rsidRPr="007F0103">
        <w:t>Pierfrancesco Maran</w:t>
      </w:r>
    </w:p>
    <w:p w14:paraId="664D03F4" w14:textId="77777777" w:rsidR="007179A7" w:rsidRPr="007F0103" w:rsidRDefault="007F0103">
      <w:r w:rsidRPr="007F0103">
        <w:t>Formand</w:t>
      </w:r>
    </w:p>
    <w:p w14:paraId="339D9436" w14:textId="77777777" w:rsidR="007179A7" w:rsidRPr="007F0103" w:rsidRDefault="007F0103">
      <w:r w:rsidRPr="007F0103">
        <w:t>Udvalget om Miljø, Klima og Fødevaresikkerhed (ENVI)</w:t>
      </w:r>
    </w:p>
    <w:p w14:paraId="3F4BBD06" w14:textId="77777777" w:rsidR="007179A7" w:rsidRPr="007F0103" w:rsidRDefault="007F0103">
      <w:r w:rsidRPr="007F0103">
        <w:t>BRUXELLES</w:t>
      </w:r>
    </w:p>
    <w:p w14:paraId="579F6E1D" w14:textId="77777777" w:rsidR="00486EA1" w:rsidRPr="007F0103" w:rsidRDefault="00486EA1"/>
    <w:p w14:paraId="1A502DB2" w14:textId="77777777" w:rsidR="00486EA1" w:rsidRPr="007F0103" w:rsidRDefault="007F0103" w:rsidP="00486EA1">
      <w:pPr>
        <w:rPr>
          <w:iCs/>
        </w:rPr>
      </w:pPr>
      <w:r w:rsidRPr="007F0103">
        <w:t>Anna Cavazzini</w:t>
      </w:r>
    </w:p>
    <w:p w14:paraId="10F5D35E" w14:textId="77777777" w:rsidR="00486EA1" w:rsidRPr="007F0103" w:rsidRDefault="007F0103" w:rsidP="00486EA1">
      <w:pPr>
        <w:rPr>
          <w:iCs/>
        </w:rPr>
      </w:pPr>
      <w:r w:rsidRPr="007F0103">
        <w:t>Formand</w:t>
      </w:r>
    </w:p>
    <w:p w14:paraId="41BA7E7C" w14:textId="77777777" w:rsidR="00486EA1" w:rsidRPr="007F0103" w:rsidRDefault="007F0103" w:rsidP="00486EA1">
      <w:pPr>
        <w:rPr>
          <w:iCs/>
        </w:rPr>
      </w:pPr>
      <w:r w:rsidRPr="007F0103">
        <w:t xml:space="preserve">Udvalget om </w:t>
      </w:r>
      <w:r w:rsidRPr="007F0103">
        <w:t>Det Indre Marked og Forbrugerbeskyttelse (IMCO)</w:t>
      </w:r>
    </w:p>
    <w:p w14:paraId="2A9343E0" w14:textId="77777777" w:rsidR="00486EA1" w:rsidRPr="007F0103" w:rsidRDefault="007F0103" w:rsidP="00486EA1">
      <w:r w:rsidRPr="007F0103">
        <w:t>BRUXELLES</w:t>
      </w:r>
    </w:p>
    <w:p w14:paraId="6E9FA045" w14:textId="77777777" w:rsidR="009F796C" w:rsidRPr="007F0103" w:rsidRDefault="007F0103" w:rsidP="00977884">
      <w:pPr>
        <w:pStyle w:val="LetterSubject"/>
      </w:pPr>
      <w:r w:rsidRPr="007F0103">
        <w:t>Om:</w:t>
      </w:r>
      <w:r w:rsidRPr="007F0103">
        <w:tab/>
      </w:r>
      <w:r w:rsidRPr="007F0103">
        <w:rPr>
          <w:rStyle w:val="HideTWBExt"/>
          <w:noProof w:val="0"/>
        </w:rPr>
        <w:t>&lt;Titre&gt;</w:t>
      </w:r>
      <w:r w:rsidRPr="007F0103">
        <w:t>Udtalelse om retsgrundlaget for cirkularitetskravene til design af køretøjer og om håndtering af udrangerede køretøjer, om ændring af forordning (EU) 2018/858 og (EU) 2019/1020 og om ophævelse af direktiv 2000/53/EF og 2005/64/EF</w:t>
      </w:r>
      <w:r w:rsidRPr="007F0103">
        <w:rPr>
          <w:rStyle w:val="HideTWBExt"/>
          <w:noProof w:val="0"/>
        </w:rPr>
        <w:t>&lt;/Titre&gt;</w:t>
      </w:r>
      <w:r w:rsidRPr="007F0103">
        <w:t xml:space="preserve"> </w:t>
      </w:r>
      <w:r w:rsidRPr="007F0103">
        <w:rPr>
          <w:rStyle w:val="HideTWBExt"/>
          <w:noProof w:val="0"/>
        </w:rPr>
        <w:t>&lt;DocRef&gt;</w:t>
      </w:r>
      <w:r w:rsidRPr="007F0103">
        <w:t>(COM(2023)0451 – C9</w:t>
      </w:r>
      <w:r w:rsidRPr="007F0103">
        <w:noBreakHyphen/>
        <w:t>0308/2023 – 2023/0284(COD))</w:t>
      </w:r>
      <w:r w:rsidRPr="007F0103">
        <w:rPr>
          <w:rStyle w:val="HideTWBExt"/>
          <w:noProof w:val="0"/>
        </w:rPr>
        <w:t>&lt;/DocRef&gt;</w:t>
      </w:r>
    </w:p>
    <w:p w14:paraId="7CD4643C" w14:textId="77777777" w:rsidR="007179A7" w:rsidRPr="007F0103" w:rsidRDefault="007F0103" w:rsidP="00977884">
      <w:pPr>
        <w:pStyle w:val="LetterSalutation"/>
        <w:jc w:val="both"/>
      </w:pPr>
      <w:r w:rsidRPr="007F0103">
        <w:t>Kære formænd</w:t>
      </w:r>
    </w:p>
    <w:p w14:paraId="7B1644A9" w14:textId="77777777" w:rsidR="00486EA1" w:rsidRPr="007F0103" w:rsidRDefault="007F0103" w:rsidP="00977884">
      <w:pPr>
        <w:spacing w:after="240"/>
        <w:jc w:val="both"/>
        <w:rPr>
          <w:b/>
          <w:i/>
        </w:rPr>
      </w:pPr>
      <w:r w:rsidRPr="007F0103">
        <w:t>Ved skrivelse af 14. januar 2026</w:t>
      </w:r>
      <w:r w:rsidRPr="007F0103">
        <w:rPr>
          <w:vertAlign w:val="superscript"/>
        </w:rPr>
        <w:footnoteReference w:id="1"/>
      </w:r>
      <w:r w:rsidRPr="007F0103">
        <w:t xml:space="preserve"> har De i medfør af forretningsordenens artikel 41, stk. 2, anmodet Retsudvalget (JURI) om en udtalelse vedrørende relevansen af det ændrede retsgrundlag for forslag til Europa-Parlamentets og Rådets forordning om krav om cirkularitet i design af køretøjer og om håndtering af udrangerede køretøjer (2023/0284 (COD) ("forslaget")</w:t>
      </w:r>
      <w:r w:rsidRPr="007F0103">
        <w:rPr>
          <w:vertAlign w:val="superscript"/>
        </w:rPr>
        <w:footnoteReference w:id="2"/>
      </w:r>
      <w:r w:rsidRPr="007F0103">
        <w:t>.</w:t>
      </w:r>
    </w:p>
    <w:p w14:paraId="2054F2C5" w14:textId="77777777" w:rsidR="00486EA1" w:rsidRPr="007F0103" w:rsidRDefault="007F0103" w:rsidP="00977884">
      <w:pPr>
        <w:spacing w:after="240"/>
        <w:jc w:val="both"/>
      </w:pPr>
      <w:r w:rsidRPr="007F0103">
        <w:t>JURI behandlede det pågældende spørgsmål på sit møde den 15. 16. april 2026.</w:t>
      </w:r>
    </w:p>
    <w:p w14:paraId="75F22E47" w14:textId="77777777" w:rsidR="00486EA1" w:rsidRPr="007F0103" w:rsidRDefault="007F0103" w:rsidP="00977884">
      <w:pPr>
        <w:spacing w:after="240"/>
        <w:jc w:val="both"/>
        <w:rPr>
          <w:b/>
          <w:u w:val="single"/>
        </w:rPr>
      </w:pPr>
      <w:r w:rsidRPr="007F0103">
        <w:rPr>
          <w:b/>
          <w:u w:val="single"/>
        </w:rPr>
        <w:t>I – Baggrund</w:t>
      </w:r>
    </w:p>
    <w:p w14:paraId="66E65B44" w14:textId="77777777" w:rsidR="00486EA1" w:rsidRPr="007F0103" w:rsidRDefault="007F0103" w:rsidP="00977884">
      <w:pPr>
        <w:spacing w:after="240"/>
        <w:jc w:val="both"/>
      </w:pPr>
      <w:r w:rsidRPr="007F0103">
        <w:t xml:space="preserve">ENVI og IMCO ligger i fælles interinstitutionelle forhandlinger om forslaget. Forslaget tager sigte på at lette bilindustriens omstilling til den cirkulære økonomi i alle </w:t>
      </w:r>
      <w:r w:rsidRPr="007F0103">
        <w:t xml:space="preserve">køretøjets faser: fra design til endelig håndtering af udrangerede køretøjer. </w:t>
      </w:r>
    </w:p>
    <w:p w14:paraId="2E483B1D" w14:textId="77777777" w:rsidR="00486EA1" w:rsidRPr="007F0103" w:rsidRDefault="007F0103" w:rsidP="00977884">
      <w:pPr>
        <w:spacing w:after="160"/>
        <w:jc w:val="both"/>
        <w:rPr>
          <w:rFonts w:eastAsia="Aptos"/>
        </w:rPr>
      </w:pPr>
      <w:r w:rsidRPr="007F0103">
        <w:t xml:space="preserve">Forslaget er baseret på artikel 114 i TEUF. I den betænkning, som blev vedtaget den 7. juli </w:t>
      </w:r>
      <w:r w:rsidRPr="007F0103">
        <w:lastRenderedPageBreak/>
        <w:t>2025 efter den fælles udvalgsprocedure i henhold til forretningsordenens artikel 59, ændrede ENVI og IMCO ikke Kommissionens valg af retsgrundlag. Det mandat, der blev vedtaget på plenarmødet den 9. september 2025, forblev ligeledes uændret. Rådet tilføjede i sin generelle indstilling artikel 192, stk. 1, i TEUF som retsgrundlag for forslagets kapitel IV og V, som omhandler håndtering af udrangerede og brugte køretøjer samt eksport heraf. Rådet anførte, at denne ændring afspejler forslagets dobbelte formål,</w:t>
      </w:r>
      <w:r w:rsidRPr="007F0103">
        <w:t xml:space="preserve"> som er at forbedre det indre markeds funktion på den ene side og at beskytte miljøet på den anden side. </w:t>
      </w:r>
    </w:p>
    <w:p w14:paraId="2410813B" w14:textId="77777777" w:rsidR="00486EA1" w:rsidRPr="007F0103" w:rsidRDefault="007F0103" w:rsidP="00977884">
      <w:pPr>
        <w:spacing w:after="160"/>
        <w:jc w:val="both"/>
        <w:rPr>
          <w:rFonts w:eastAsia="Aptos"/>
        </w:rPr>
      </w:pPr>
      <w:r w:rsidRPr="007F0103">
        <w:t xml:space="preserve">Under de interinstitutionelle forhandlinger den 11. december 2025 nåede Europa-Parlamentet og Rådet til foreløbig enighed om at ændre retsgrundlaget. I lyset af ovenstående anmodede ENVI og IMCO i henhold til forretningsordenens artikel 41 JURI, som er det kompetente udvalg for retlige anliggender, om at afgive en udtalelse om, hvorvidt det er hensigtsmæssigt at tilføje artikel 192, stk. 1, som yderligere et retsgrundlag. </w:t>
      </w:r>
    </w:p>
    <w:p w14:paraId="283A8908" w14:textId="77777777" w:rsidR="00486EA1" w:rsidRPr="007F0103" w:rsidRDefault="007F0103" w:rsidP="00977884">
      <w:pPr>
        <w:spacing w:after="160"/>
        <w:jc w:val="both"/>
        <w:rPr>
          <w:rStyle w:val="Nessuno"/>
          <w:b/>
          <w:bCs/>
        </w:rPr>
      </w:pPr>
      <w:r w:rsidRPr="007F0103">
        <w:rPr>
          <w:b/>
          <w:u w:val="single"/>
        </w:rPr>
        <w:t>II – Relevante artikler i traktaten</w:t>
      </w:r>
    </w:p>
    <w:p w14:paraId="68A7AE27" w14:textId="77777777" w:rsidR="00486EA1" w:rsidRPr="007F0103" w:rsidRDefault="007F0103" w:rsidP="00977884">
      <w:pPr>
        <w:tabs>
          <w:tab w:val="left" w:pos="7014"/>
        </w:tabs>
        <w:jc w:val="both"/>
        <w:rPr>
          <w:rStyle w:val="Nessuno"/>
          <w:bCs/>
        </w:rPr>
      </w:pPr>
      <w:r w:rsidRPr="007F0103">
        <w:rPr>
          <w:rStyle w:val="Nessuno"/>
        </w:rPr>
        <w:t>Tredje del, afsnit VII, kapitel IV, i traktaten om Den Europæiske Unions funktionsmåde vedrørende tilnærmelse af lovgivningerne har følgende ordlyd (fremhævelse tilføjet):</w:t>
      </w:r>
    </w:p>
    <w:p w14:paraId="03D0FB7E" w14:textId="77777777" w:rsidR="00486EA1" w:rsidRPr="007F0103" w:rsidRDefault="007F0103" w:rsidP="00486EA1">
      <w:pPr>
        <w:tabs>
          <w:tab w:val="left" w:pos="7014"/>
        </w:tabs>
        <w:rPr>
          <w:rStyle w:val="Nessuno"/>
          <w:bCs/>
        </w:rPr>
      </w:pPr>
      <w:r w:rsidRPr="007F0103">
        <w:rPr>
          <w:rStyle w:val="Nessuno"/>
        </w:rPr>
        <w:t xml:space="preserve">   </w:t>
      </w:r>
    </w:p>
    <w:p w14:paraId="034CC4C7" w14:textId="77777777" w:rsidR="00486EA1" w:rsidRPr="007F0103" w:rsidRDefault="007F0103" w:rsidP="00486EA1">
      <w:pPr>
        <w:tabs>
          <w:tab w:val="left" w:pos="567"/>
          <w:tab w:val="left" w:pos="7014"/>
        </w:tabs>
        <w:ind w:left="567" w:hanging="567"/>
        <w:jc w:val="center"/>
        <w:rPr>
          <w:i/>
        </w:rPr>
      </w:pPr>
      <w:r w:rsidRPr="007F0103">
        <w:rPr>
          <w:rStyle w:val="Nessuno"/>
          <w:i/>
        </w:rPr>
        <w:t>Artikel 114</w:t>
      </w:r>
    </w:p>
    <w:p w14:paraId="3325BC05" w14:textId="77777777" w:rsidR="00486EA1" w:rsidRPr="007F0103" w:rsidRDefault="007F0103" w:rsidP="00486EA1">
      <w:pPr>
        <w:tabs>
          <w:tab w:val="left" w:pos="567"/>
          <w:tab w:val="left" w:pos="7014"/>
        </w:tabs>
        <w:ind w:left="567" w:hanging="567"/>
        <w:jc w:val="center"/>
        <w:rPr>
          <w:rStyle w:val="Nessuno"/>
          <w:bCs/>
        </w:rPr>
      </w:pPr>
      <w:r w:rsidRPr="007F0103">
        <w:rPr>
          <w:rStyle w:val="Nessuno"/>
          <w:i/>
        </w:rPr>
        <w:t>(tidl. artikel 95 i TEF)</w:t>
      </w:r>
    </w:p>
    <w:p w14:paraId="49AAC85C" w14:textId="77777777" w:rsidR="00486EA1" w:rsidRPr="007F0103" w:rsidRDefault="00486EA1" w:rsidP="00486EA1">
      <w:pPr>
        <w:tabs>
          <w:tab w:val="left" w:pos="567"/>
          <w:tab w:val="left" w:pos="7014"/>
        </w:tabs>
        <w:ind w:left="567" w:hanging="567"/>
        <w:jc w:val="center"/>
        <w:rPr>
          <w:rStyle w:val="Nessuno"/>
          <w:bCs/>
          <w:i/>
        </w:rPr>
      </w:pPr>
    </w:p>
    <w:p w14:paraId="37D55946" w14:textId="77777777" w:rsidR="00486EA1" w:rsidRPr="007F0103" w:rsidRDefault="007F0103" w:rsidP="00486EA1">
      <w:pPr>
        <w:tabs>
          <w:tab w:val="left" w:pos="567"/>
          <w:tab w:val="left" w:pos="7014"/>
        </w:tabs>
        <w:ind w:left="397" w:hanging="397"/>
        <w:jc w:val="both"/>
        <w:rPr>
          <w:rStyle w:val="Nessuno"/>
          <w:i/>
        </w:rPr>
      </w:pPr>
      <w:r w:rsidRPr="007F0103">
        <w:rPr>
          <w:rStyle w:val="Nessuno"/>
          <w:i/>
        </w:rPr>
        <w:t xml:space="preserve">1. </w:t>
      </w:r>
      <w:r w:rsidRPr="007F0103">
        <w:rPr>
          <w:rStyle w:val="Nessuno"/>
          <w:i/>
        </w:rPr>
        <w:tab/>
        <w:t xml:space="preserve">Medmindre andet er bestemt i traktaterne, finder følgende </w:t>
      </w:r>
      <w:r w:rsidRPr="007F0103">
        <w:rPr>
          <w:rStyle w:val="Nessuno"/>
          <w:i/>
        </w:rPr>
        <w:t>bestemmelser anvendelse med henblik på virkeliggørelsen af de i artikel 26 fastsatte mål. Europa-Parlamentet og Rådet, der træffer afgørelse efter den almindelige lovgivningsprocedure og efter høring af Det Økonomiske og Sociale Udvalg, vedtager de foranstaltninger med henblik på indbyrdes tilnærmelse af medlemsstaternes love og administrative bestemmelser, der vedrører det indre markeds oprettelse og funktion.</w:t>
      </w:r>
    </w:p>
    <w:p w14:paraId="0ECEA2D5" w14:textId="77777777" w:rsidR="00486EA1" w:rsidRPr="007F0103" w:rsidRDefault="00486EA1" w:rsidP="00486EA1">
      <w:pPr>
        <w:tabs>
          <w:tab w:val="left" w:pos="567"/>
          <w:tab w:val="left" w:pos="7014"/>
        </w:tabs>
        <w:ind w:left="397" w:hanging="397"/>
        <w:jc w:val="both"/>
        <w:rPr>
          <w:rStyle w:val="Nessuno"/>
          <w:i/>
        </w:rPr>
      </w:pPr>
    </w:p>
    <w:p w14:paraId="28497509" w14:textId="77777777" w:rsidR="00486EA1" w:rsidRPr="007F0103" w:rsidRDefault="007F0103" w:rsidP="00486EA1">
      <w:pPr>
        <w:tabs>
          <w:tab w:val="left" w:pos="7014"/>
        </w:tabs>
        <w:ind w:left="397" w:hanging="397"/>
        <w:jc w:val="both"/>
        <w:rPr>
          <w:rStyle w:val="Nessuno"/>
          <w:bCs/>
          <w:i/>
        </w:rPr>
      </w:pPr>
      <w:r w:rsidRPr="007F0103">
        <w:rPr>
          <w:rStyle w:val="Nessuno"/>
          <w:i/>
        </w:rPr>
        <w:tab/>
        <w:t>[…]</w:t>
      </w:r>
    </w:p>
    <w:p w14:paraId="251BA1D4" w14:textId="77777777" w:rsidR="00486EA1" w:rsidRPr="007F0103" w:rsidRDefault="00486EA1" w:rsidP="00486EA1">
      <w:pPr>
        <w:tabs>
          <w:tab w:val="left" w:pos="7014"/>
        </w:tabs>
        <w:ind w:left="397" w:hanging="397"/>
        <w:jc w:val="both"/>
        <w:rPr>
          <w:rStyle w:val="Nessuno"/>
          <w:bCs/>
          <w:i/>
        </w:rPr>
      </w:pPr>
    </w:p>
    <w:p w14:paraId="301C0767" w14:textId="77777777" w:rsidR="00486EA1" w:rsidRPr="007F0103" w:rsidRDefault="007F0103" w:rsidP="00486EA1">
      <w:pPr>
        <w:tabs>
          <w:tab w:val="left" w:pos="7014"/>
        </w:tabs>
        <w:ind w:left="397" w:hanging="397"/>
        <w:jc w:val="both"/>
        <w:rPr>
          <w:rStyle w:val="Nessuno"/>
          <w:i/>
        </w:rPr>
      </w:pPr>
      <w:r w:rsidRPr="007F0103">
        <w:rPr>
          <w:rStyle w:val="Nessuno"/>
          <w:i/>
        </w:rPr>
        <w:t>4.</w:t>
      </w:r>
      <w:r w:rsidRPr="007F0103">
        <w:rPr>
          <w:rStyle w:val="Nessuno"/>
          <w:i/>
        </w:rPr>
        <w:tab/>
        <w:t>Hvis en medlemsstat, efter at Europa-Parlamentet og Rådet, Rådet eller Kommissionen har vedtaget en harmoniseringsforanstaltning, finder det nødvendigt at opretholde nationale bestemmelser, som er begrundet i vigtige behov, hvortil der henvises i artikel 36, eller som vedrører miljøbeskyttelse eller beskyttelse af arbejdsmiljøet, giver den Kommissionen meddelelse om disse bestemmelser og om grundene til deres opretholdelse.</w:t>
      </w:r>
    </w:p>
    <w:p w14:paraId="3E54B589" w14:textId="77777777" w:rsidR="00486EA1" w:rsidRPr="007F0103" w:rsidRDefault="00486EA1" w:rsidP="00486EA1">
      <w:pPr>
        <w:tabs>
          <w:tab w:val="left" w:pos="7014"/>
        </w:tabs>
        <w:ind w:left="397" w:hanging="397"/>
        <w:jc w:val="both"/>
        <w:rPr>
          <w:rStyle w:val="Nessuno"/>
          <w:i/>
        </w:rPr>
      </w:pPr>
    </w:p>
    <w:p w14:paraId="52C52EAC" w14:textId="77777777" w:rsidR="00486EA1" w:rsidRPr="007F0103" w:rsidRDefault="007F0103" w:rsidP="00486EA1">
      <w:pPr>
        <w:tabs>
          <w:tab w:val="left" w:pos="7014"/>
        </w:tabs>
        <w:ind w:left="397" w:hanging="397"/>
        <w:jc w:val="both"/>
        <w:rPr>
          <w:rStyle w:val="Nessuno"/>
          <w:i/>
        </w:rPr>
      </w:pPr>
      <w:r w:rsidRPr="007F0103">
        <w:rPr>
          <w:rStyle w:val="Nessuno"/>
          <w:i/>
        </w:rPr>
        <w:t>5.</w:t>
      </w:r>
      <w:r w:rsidRPr="007F0103">
        <w:rPr>
          <w:rStyle w:val="Nessuno"/>
          <w:i/>
        </w:rPr>
        <w:tab/>
        <w:t>Hvis en medlemsstat endvidere med forbehold af stk. 4, efter at Europa-Parlamentet og Rådet, Rådet eller Kommissionen har vedtaget en harmoniseringsforanstaltning, finder det nødvendigt at indføre nationale bestemmelser baseret på nyt videnskabeligt belæg vedrørende miljøbeskyttelse eller beskyttelse af arbejdsmiljøet på grund af et problem, der er specifikt for den pågældende medlemsstat, og som viser sig efter vedtagelsen af harmoniseringsforanstaltningen, giver den Kommissionen meddelelse om de påtænkte</w:t>
      </w:r>
      <w:r w:rsidRPr="007F0103">
        <w:rPr>
          <w:rStyle w:val="Nessuno"/>
          <w:i/>
        </w:rPr>
        <w:t xml:space="preserve"> bestemmelser og om grundene til deres indførelse.</w:t>
      </w:r>
    </w:p>
    <w:p w14:paraId="719C5785" w14:textId="77777777" w:rsidR="00486EA1" w:rsidRPr="007F0103" w:rsidRDefault="00486EA1" w:rsidP="00486EA1">
      <w:pPr>
        <w:tabs>
          <w:tab w:val="left" w:pos="7014"/>
        </w:tabs>
        <w:ind w:left="397" w:hanging="397"/>
        <w:jc w:val="both"/>
        <w:rPr>
          <w:rStyle w:val="Nessuno"/>
          <w:i/>
        </w:rPr>
      </w:pPr>
    </w:p>
    <w:p w14:paraId="15D67DC2" w14:textId="77777777" w:rsidR="00486EA1" w:rsidRPr="007F0103" w:rsidRDefault="007F0103" w:rsidP="00486EA1">
      <w:pPr>
        <w:tabs>
          <w:tab w:val="left" w:pos="7014"/>
        </w:tabs>
        <w:ind w:left="397" w:hanging="397"/>
        <w:jc w:val="both"/>
        <w:rPr>
          <w:rStyle w:val="Nessuno"/>
          <w:i/>
        </w:rPr>
      </w:pPr>
      <w:r w:rsidRPr="007F0103">
        <w:rPr>
          <w:rStyle w:val="Nessuno"/>
          <w:i/>
        </w:rPr>
        <w:t>6.</w:t>
      </w:r>
      <w:r w:rsidRPr="007F0103">
        <w:rPr>
          <w:rStyle w:val="Nessuno"/>
          <w:i/>
        </w:rPr>
        <w:tab/>
        <w:t>Kommissionen bekræfter eller forkaster inden seks måneder efter meddelelsen som omhandlet i stk. 4 og 5 de pågældende nationale bestemmelser efter at have konstateret, om de er et middel til vilkårlig forskelsbehandling eller en skjult begrænsning af samhandelen mellem medlemsstaterne, og om de udgør en hindring for det indre markeds funktion.</w:t>
      </w:r>
    </w:p>
    <w:p w14:paraId="60A33971" w14:textId="77777777" w:rsidR="00486EA1" w:rsidRPr="007F0103" w:rsidRDefault="00486EA1" w:rsidP="00486EA1">
      <w:pPr>
        <w:tabs>
          <w:tab w:val="left" w:pos="7014"/>
        </w:tabs>
        <w:ind w:left="397" w:hanging="397"/>
        <w:jc w:val="both"/>
        <w:rPr>
          <w:rStyle w:val="Nessuno"/>
          <w:i/>
        </w:rPr>
      </w:pPr>
    </w:p>
    <w:p w14:paraId="70DF8634" w14:textId="77777777" w:rsidR="00486EA1" w:rsidRPr="007F0103" w:rsidRDefault="007F0103" w:rsidP="00486EA1">
      <w:pPr>
        <w:tabs>
          <w:tab w:val="left" w:pos="7014"/>
        </w:tabs>
        <w:ind w:left="397" w:hanging="397"/>
        <w:jc w:val="both"/>
        <w:rPr>
          <w:rStyle w:val="Nessuno"/>
          <w:i/>
        </w:rPr>
      </w:pPr>
      <w:r w:rsidRPr="007F0103">
        <w:rPr>
          <w:rStyle w:val="Nessuno"/>
          <w:i/>
        </w:rPr>
        <w:tab/>
        <w:t>Hvis Kommissionen ikke har truffet nogen beslutning inden for dette tidsrum, betragtes de i stk. 4 og 5 omhandlede nationale bestemmelser som godkendt.</w:t>
      </w:r>
    </w:p>
    <w:p w14:paraId="4A2C7725" w14:textId="77777777" w:rsidR="00486EA1" w:rsidRPr="007F0103" w:rsidRDefault="007F0103" w:rsidP="00486EA1">
      <w:pPr>
        <w:tabs>
          <w:tab w:val="left" w:pos="7014"/>
        </w:tabs>
        <w:ind w:left="397" w:hanging="397"/>
        <w:jc w:val="both"/>
        <w:rPr>
          <w:rStyle w:val="Nessuno"/>
          <w:i/>
        </w:rPr>
      </w:pPr>
      <w:r w:rsidRPr="007F0103">
        <w:rPr>
          <w:rStyle w:val="Nessuno"/>
          <w:i/>
        </w:rPr>
        <w:tab/>
        <w:t>Hvis det er begrundet i spørgsmålets kompleksitet, og hvis der ikke foreligger risiko for menneskers sundhed, kan Kommissionen meddele den pågældende medlemsstat, at den i dette stykke omhandlede periode kan forlænges med en ny periode på indtil seks måneder.</w:t>
      </w:r>
    </w:p>
    <w:p w14:paraId="26E3A2D4" w14:textId="77777777" w:rsidR="00486EA1" w:rsidRPr="007F0103" w:rsidRDefault="00486EA1" w:rsidP="00486EA1">
      <w:pPr>
        <w:tabs>
          <w:tab w:val="left" w:pos="7014"/>
        </w:tabs>
        <w:ind w:left="397" w:hanging="397"/>
        <w:jc w:val="both"/>
        <w:rPr>
          <w:rStyle w:val="Nessuno"/>
          <w:bCs/>
          <w:i/>
        </w:rPr>
      </w:pPr>
    </w:p>
    <w:p w14:paraId="05EA776F" w14:textId="77777777" w:rsidR="00486EA1" w:rsidRPr="007F0103" w:rsidRDefault="007F0103" w:rsidP="00486EA1">
      <w:pPr>
        <w:tabs>
          <w:tab w:val="left" w:pos="567"/>
          <w:tab w:val="left" w:pos="7014"/>
        </w:tabs>
        <w:ind w:left="397"/>
        <w:jc w:val="both"/>
        <w:rPr>
          <w:rStyle w:val="Nessuno"/>
          <w:bCs/>
          <w:i/>
        </w:rPr>
      </w:pPr>
      <w:r w:rsidRPr="007F0103">
        <w:rPr>
          <w:rStyle w:val="Nessuno"/>
          <w:i/>
        </w:rPr>
        <w:t>[…]</w:t>
      </w:r>
    </w:p>
    <w:p w14:paraId="0EF49DB1" w14:textId="77777777" w:rsidR="00486EA1" w:rsidRPr="007F0103" w:rsidRDefault="00486EA1" w:rsidP="00486EA1">
      <w:pPr>
        <w:tabs>
          <w:tab w:val="left" w:pos="567"/>
          <w:tab w:val="left" w:pos="7014"/>
        </w:tabs>
        <w:ind w:left="397" w:hanging="397"/>
        <w:jc w:val="both"/>
        <w:rPr>
          <w:rStyle w:val="Nessuno"/>
          <w:bCs/>
          <w:i/>
        </w:rPr>
      </w:pPr>
    </w:p>
    <w:p w14:paraId="595243E6" w14:textId="77777777" w:rsidR="00486EA1" w:rsidRPr="007F0103" w:rsidRDefault="007F0103" w:rsidP="00977884">
      <w:pPr>
        <w:tabs>
          <w:tab w:val="left" w:pos="7014"/>
        </w:tabs>
        <w:jc w:val="both"/>
        <w:rPr>
          <w:rStyle w:val="Nessuno"/>
          <w:bCs/>
        </w:rPr>
      </w:pPr>
      <w:r w:rsidRPr="007F0103">
        <w:rPr>
          <w:rStyle w:val="Nessuno"/>
        </w:rPr>
        <w:t>Tredje del, afsnit XX, i traktaten om Den Europæiske Unions funktionsmåde vedrørende miljø har følgende ordlyd (fremhævelse tilføjet):</w:t>
      </w:r>
    </w:p>
    <w:p w14:paraId="4403BC06" w14:textId="77777777" w:rsidR="00486EA1" w:rsidRPr="007F0103" w:rsidRDefault="00486EA1" w:rsidP="00486EA1">
      <w:pPr>
        <w:tabs>
          <w:tab w:val="left" w:pos="7014"/>
        </w:tabs>
        <w:jc w:val="both"/>
        <w:rPr>
          <w:rStyle w:val="Nessuno"/>
          <w:bCs/>
        </w:rPr>
      </w:pPr>
    </w:p>
    <w:p w14:paraId="5E511A7A" w14:textId="77777777" w:rsidR="00486EA1" w:rsidRPr="007F0103" w:rsidRDefault="007F0103" w:rsidP="00486EA1">
      <w:pPr>
        <w:tabs>
          <w:tab w:val="left" w:pos="567"/>
          <w:tab w:val="left" w:pos="7014"/>
        </w:tabs>
        <w:ind w:left="397" w:hanging="397"/>
        <w:jc w:val="center"/>
        <w:rPr>
          <w:rStyle w:val="Nessuno"/>
          <w:bCs/>
          <w:i/>
        </w:rPr>
      </w:pPr>
      <w:r w:rsidRPr="007F0103">
        <w:rPr>
          <w:rStyle w:val="Nessuno"/>
          <w:i/>
        </w:rPr>
        <w:t>Artikel 192</w:t>
      </w:r>
    </w:p>
    <w:p w14:paraId="6871B487" w14:textId="77777777" w:rsidR="00486EA1" w:rsidRPr="007F0103" w:rsidRDefault="007F0103" w:rsidP="00486EA1">
      <w:pPr>
        <w:tabs>
          <w:tab w:val="left" w:pos="567"/>
          <w:tab w:val="left" w:pos="7014"/>
        </w:tabs>
        <w:ind w:left="397" w:hanging="397"/>
        <w:jc w:val="center"/>
        <w:rPr>
          <w:rStyle w:val="Nessuno"/>
          <w:bCs/>
          <w:i/>
        </w:rPr>
      </w:pPr>
      <w:r w:rsidRPr="007F0103">
        <w:rPr>
          <w:rStyle w:val="Nessuno"/>
          <w:i/>
        </w:rPr>
        <w:t>(tidl. artikel 175 i TEF)</w:t>
      </w:r>
    </w:p>
    <w:p w14:paraId="6D2782B2" w14:textId="77777777" w:rsidR="00486EA1" w:rsidRPr="007F0103" w:rsidRDefault="00486EA1" w:rsidP="00486EA1">
      <w:pPr>
        <w:tabs>
          <w:tab w:val="left" w:pos="567"/>
          <w:tab w:val="left" w:pos="7014"/>
        </w:tabs>
        <w:ind w:left="397" w:hanging="397"/>
        <w:jc w:val="both"/>
        <w:rPr>
          <w:rStyle w:val="Nessuno"/>
          <w:bCs/>
          <w:i/>
        </w:rPr>
      </w:pPr>
    </w:p>
    <w:p w14:paraId="1FCDD6D6" w14:textId="77777777" w:rsidR="00486EA1" w:rsidRPr="007F0103" w:rsidRDefault="007F0103" w:rsidP="00486EA1">
      <w:pPr>
        <w:tabs>
          <w:tab w:val="left" w:pos="567"/>
          <w:tab w:val="left" w:pos="7014"/>
        </w:tabs>
        <w:ind w:left="397" w:hanging="397"/>
        <w:jc w:val="both"/>
        <w:rPr>
          <w:rStyle w:val="Nessuno"/>
          <w:i/>
        </w:rPr>
      </w:pPr>
      <w:r w:rsidRPr="007F0103">
        <w:rPr>
          <w:rStyle w:val="Nessuno"/>
          <w:i/>
        </w:rPr>
        <w:t>1.</w:t>
      </w:r>
      <w:r w:rsidRPr="007F0103">
        <w:rPr>
          <w:rStyle w:val="Nessuno"/>
          <w:i/>
        </w:rPr>
        <w:tab/>
        <w:t xml:space="preserve">Europa-Parlamentet og Rådet træffer efter den almindelige lovgivningsprocedure og efter høring af Det Økonomiske og Sociale Udvalg og Regionsudvalget afgørelse om de aktioner, der skal </w:t>
      </w:r>
      <w:r w:rsidRPr="007F0103">
        <w:rPr>
          <w:rStyle w:val="Nessuno"/>
          <w:i/>
        </w:rPr>
        <w:t>iværksættes af Unionen med henblik på at gennemføre de mål, der er anført i artikel 191</w:t>
      </w:r>
      <w:r w:rsidRPr="007F0103">
        <w:rPr>
          <w:i/>
          <w:vertAlign w:val="superscript"/>
        </w:rPr>
        <w:footnoteReference w:id="3"/>
      </w:r>
      <w:r w:rsidRPr="007F0103">
        <w:rPr>
          <w:rStyle w:val="Nessuno"/>
          <w:i/>
        </w:rPr>
        <w:t>.</w:t>
      </w:r>
    </w:p>
    <w:p w14:paraId="36B78012" w14:textId="77777777" w:rsidR="00486EA1" w:rsidRPr="007F0103" w:rsidRDefault="00486EA1" w:rsidP="00486EA1">
      <w:pPr>
        <w:tabs>
          <w:tab w:val="left" w:pos="567"/>
          <w:tab w:val="left" w:pos="7014"/>
        </w:tabs>
        <w:ind w:left="397" w:hanging="397"/>
        <w:jc w:val="both"/>
        <w:rPr>
          <w:rStyle w:val="Nessuno"/>
          <w:b/>
          <w:bCs/>
          <w:i/>
        </w:rPr>
      </w:pPr>
    </w:p>
    <w:p w14:paraId="38B91273" w14:textId="77777777" w:rsidR="00486EA1" w:rsidRPr="007F0103" w:rsidRDefault="007F0103" w:rsidP="00486EA1">
      <w:pPr>
        <w:ind w:left="993" w:hanging="567"/>
        <w:jc w:val="both"/>
        <w:rPr>
          <w:rStyle w:val="Nessuno"/>
          <w:bCs/>
          <w:i/>
        </w:rPr>
      </w:pPr>
      <w:r w:rsidRPr="007F0103">
        <w:rPr>
          <w:rStyle w:val="Nessuno"/>
          <w:i/>
        </w:rPr>
        <w:t>[...]</w:t>
      </w:r>
    </w:p>
    <w:p w14:paraId="2F058C70" w14:textId="77777777" w:rsidR="00486EA1" w:rsidRPr="007F0103" w:rsidRDefault="00486EA1" w:rsidP="00486EA1">
      <w:pPr>
        <w:tabs>
          <w:tab w:val="left" w:pos="7014"/>
        </w:tabs>
        <w:ind w:left="397" w:hanging="397"/>
        <w:jc w:val="both"/>
        <w:rPr>
          <w:rStyle w:val="Nessuno"/>
          <w:bCs/>
          <w:i/>
        </w:rPr>
      </w:pPr>
    </w:p>
    <w:p w14:paraId="02E9632F" w14:textId="77777777" w:rsidR="00486EA1" w:rsidRPr="007F0103" w:rsidRDefault="007F0103" w:rsidP="00486EA1">
      <w:pPr>
        <w:jc w:val="center"/>
        <w:rPr>
          <w:rStyle w:val="Nessuno"/>
          <w:bCs/>
          <w:i/>
        </w:rPr>
      </w:pPr>
      <w:r w:rsidRPr="007F0103">
        <w:rPr>
          <w:rStyle w:val="Nessuno"/>
          <w:i/>
        </w:rPr>
        <w:t>Artikel 193</w:t>
      </w:r>
    </w:p>
    <w:p w14:paraId="4E8EA1EB" w14:textId="77777777" w:rsidR="00486EA1" w:rsidRPr="007F0103" w:rsidRDefault="007F0103" w:rsidP="00486EA1">
      <w:pPr>
        <w:tabs>
          <w:tab w:val="left" w:pos="567"/>
          <w:tab w:val="left" w:pos="7014"/>
        </w:tabs>
        <w:ind w:left="397" w:hanging="397"/>
        <w:jc w:val="center"/>
        <w:rPr>
          <w:rStyle w:val="Nessuno"/>
          <w:bCs/>
          <w:i/>
        </w:rPr>
      </w:pPr>
      <w:r w:rsidRPr="007F0103">
        <w:rPr>
          <w:rStyle w:val="Nessuno"/>
          <w:i/>
        </w:rPr>
        <w:t>(tidl. artikel 176 i TEF)</w:t>
      </w:r>
    </w:p>
    <w:p w14:paraId="50E695C8" w14:textId="77777777" w:rsidR="00486EA1" w:rsidRPr="007F0103" w:rsidRDefault="00486EA1" w:rsidP="00486EA1">
      <w:pPr>
        <w:tabs>
          <w:tab w:val="left" w:pos="567"/>
          <w:tab w:val="left" w:pos="7014"/>
        </w:tabs>
        <w:ind w:left="397" w:hanging="397"/>
        <w:jc w:val="both"/>
        <w:rPr>
          <w:rStyle w:val="Nessuno"/>
          <w:bCs/>
          <w:i/>
        </w:rPr>
      </w:pPr>
    </w:p>
    <w:p w14:paraId="390CE93B" w14:textId="77777777" w:rsidR="00486EA1" w:rsidRPr="007F0103" w:rsidRDefault="007F0103" w:rsidP="00977884">
      <w:pPr>
        <w:jc w:val="both"/>
        <w:rPr>
          <w:rStyle w:val="Nessuno"/>
          <w:i/>
        </w:rPr>
      </w:pPr>
      <w:r w:rsidRPr="007F0103">
        <w:rPr>
          <w:rStyle w:val="Nessuno"/>
          <w:i/>
        </w:rPr>
        <w:t xml:space="preserve">Beskyttelsesforanstaltninger, som vedtages i henhold til artikel 192, er ikke til hinder for, at de enkelte </w:t>
      </w:r>
      <w:r w:rsidRPr="007F0103">
        <w:rPr>
          <w:rStyle w:val="Nessuno"/>
          <w:i/>
        </w:rPr>
        <w:t>medlemsstater opretholder eller indfører strengere beskyttelsesforanstaltninger. Disse foranstaltninger skal være forenelige med traktaterne. De meddeles Kommissionen".</w:t>
      </w:r>
    </w:p>
    <w:p w14:paraId="71F4933E" w14:textId="77777777" w:rsidR="00977884" w:rsidRPr="007F0103" w:rsidRDefault="00977884" w:rsidP="00977884">
      <w:pPr>
        <w:jc w:val="both"/>
        <w:rPr>
          <w:rStyle w:val="Nessuno"/>
          <w:i/>
        </w:rPr>
      </w:pPr>
    </w:p>
    <w:p w14:paraId="53D6D391" w14:textId="77777777" w:rsidR="00486EA1" w:rsidRPr="007F0103" w:rsidRDefault="007F0103" w:rsidP="00977884">
      <w:pPr>
        <w:spacing w:after="240"/>
        <w:jc w:val="both"/>
        <w:rPr>
          <w:b/>
          <w:u w:val="single"/>
        </w:rPr>
      </w:pPr>
      <w:r w:rsidRPr="007F0103">
        <w:rPr>
          <w:b/>
          <w:u w:val="single"/>
        </w:rPr>
        <w:t>III – EU-Domstolens praksis vedrørende valg af retsgrundlag</w:t>
      </w:r>
    </w:p>
    <w:p w14:paraId="737F494C" w14:textId="77777777" w:rsidR="00486EA1" w:rsidRPr="007F0103" w:rsidRDefault="007F0103" w:rsidP="00977884">
      <w:pPr>
        <w:pStyle w:val="Point123"/>
        <w:numPr>
          <w:ilvl w:val="0"/>
          <w:numId w:val="0"/>
        </w:numPr>
        <w:tabs>
          <w:tab w:val="left" w:pos="720"/>
        </w:tabs>
        <w:spacing w:before="0" w:after="0" w:line="240" w:lineRule="auto"/>
        <w:jc w:val="both"/>
      </w:pPr>
      <w:r w:rsidRPr="007F0103">
        <w:t>Domstolen har traditionelt betragtet spørgsmålet om det relevante retsgrundlag som et spørgsmål af forfatningsretlig betydning, hvilket sikrer overholdelse af princippet om kompetencetildeling (jf. artikel 5 i TEU) og fastlægger arten og omfanget af Unionens beføjelser</w:t>
      </w:r>
      <w:r w:rsidRPr="007F0103">
        <w:rPr>
          <w:vertAlign w:val="superscript"/>
        </w:rPr>
        <w:footnoteReference w:id="4"/>
      </w:r>
      <w:r w:rsidRPr="007F0103">
        <w:t>.</w:t>
      </w:r>
    </w:p>
    <w:p w14:paraId="752BF0D3" w14:textId="77777777" w:rsidR="00486EA1" w:rsidRPr="007F0103" w:rsidRDefault="00486EA1" w:rsidP="00977884">
      <w:pPr>
        <w:pStyle w:val="Point123"/>
        <w:numPr>
          <w:ilvl w:val="0"/>
          <w:numId w:val="0"/>
        </w:numPr>
        <w:tabs>
          <w:tab w:val="left" w:pos="720"/>
        </w:tabs>
        <w:spacing w:before="0" w:after="0" w:line="240" w:lineRule="auto"/>
        <w:jc w:val="both"/>
      </w:pPr>
    </w:p>
    <w:p w14:paraId="31C2D78C" w14:textId="77777777" w:rsidR="00486EA1" w:rsidRPr="007F0103" w:rsidRDefault="007F0103" w:rsidP="00977884">
      <w:pPr>
        <w:pStyle w:val="Point123"/>
        <w:numPr>
          <w:ilvl w:val="0"/>
          <w:numId w:val="0"/>
        </w:numPr>
        <w:tabs>
          <w:tab w:val="left" w:pos="720"/>
        </w:tabs>
        <w:spacing w:before="0" w:after="0" w:line="240" w:lineRule="auto"/>
        <w:jc w:val="both"/>
        <w:rPr>
          <w:vertAlign w:val="superscript"/>
        </w:rPr>
      </w:pPr>
      <w:r w:rsidRPr="007F0103">
        <w:t xml:space="preserve">I </w:t>
      </w:r>
      <w:r w:rsidRPr="007F0103">
        <w:t>henhold til gældende retspraksis afhænger retsgrundlaget for en EU-retsakt ikke af en given institutions egen opfattelse med hensyn til det tilstræbte formål, men skal fastlægges ud fra objektive kriterier, som gør det muligt at foretage domstolsprøvelse, herunder navnlig af retsaktens formål og indhold</w:t>
      </w:r>
      <w:r w:rsidRPr="007F0103">
        <w:rPr>
          <w:vertAlign w:val="superscript"/>
        </w:rPr>
        <w:footnoteReference w:id="5"/>
      </w:r>
      <w:r w:rsidRPr="007F0103">
        <w:t>.</w:t>
      </w:r>
      <w:r w:rsidRPr="007F0103">
        <w:rPr>
          <w:vertAlign w:val="superscript"/>
        </w:rPr>
        <w:t xml:space="preserve"> </w:t>
      </w:r>
    </w:p>
    <w:p w14:paraId="1AD3EA4E" w14:textId="77777777" w:rsidR="00486EA1" w:rsidRPr="007F0103" w:rsidRDefault="00486EA1" w:rsidP="00977884">
      <w:pPr>
        <w:pStyle w:val="Point123"/>
        <w:numPr>
          <w:ilvl w:val="0"/>
          <w:numId w:val="0"/>
        </w:numPr>
        <w:tabs>
          <w:tab w:val="left" w:pos="720"/>
        </w:tabs>
        <w:spacing w:before="0" w:after="0" w:line="240" w:lineRule="auto"/>
        <w:jc w:val="both"/>
        <w:rPr>
          <w:vertAlign w:val="superscript"/>
        </w:rPr>
      </w:pPr>
    </w:p>
    <w:p w14:paraId="4ED08103" w14:textId="77777777" w:rsidR="00486EA1" w:rsidRPr="007F0103" w:rsidRDefault="007F0103" w:rsidP="00977884">
      <w:pPr>
        <w:pStyle w:val="Point123"/>
        <w:numPr>
          <w:ilvl w:val="0"/>
          <w:numId w:val="0"/>
        </w:numPr>
        <w:tabs>
          <w:tab w:val="left" w:pos="720"/>
        </w:tabs>
        <w:spacing w:before="0" w:after="0" w:line="240" w:lineRule="auto"/>
        <w:jc w:val="both"/>
      </w:pPr>
      <w:r w:rsidRPr="007F0103">
        <w:t>Såfremt en nærmere gennemgang af en given retsakt viser, at den tilstræber et dobbelt formål eller består af to led, og det ene af disse led eller formål kan fastlås som værende det vigtigste eller fremherskende, mens det andet led eller formål kun er sekundært, skal retsakten kun have ét retsgrundlag, nemlig det, der kræves af det vigtigste eller fremherskende formål eller led</w:t>
      </w:r>
      <w:r w:rsidRPr="007F0103">
        <w:rPr>
          <w:vertAlign w:val="superscript"/>
        </w:rPr>
        <w:footnoteReference w:id="6"/>
      </w:r>
      <w:r w:rsidRPr="007F0103">
        <w:t>. Kun hvis det fastslås, at retsakten sideløbende tilstræber flere forskellige formål, som på uadskillelig måde er indbyrdes forbundne, uden at et af disse formål er underordnet og indirekte i forhold til de øvrige formål, kan en sådan retsakt undtagelsesvist baseres på de respektive forskellige retsgrundlag</w:t>
      </w:r>
      <w:r w:rsidRPr="007F0103">
        <w:rPr>
          <w:vertAlign w:val="superscript"/>
        </w:rPr>
        <w:footnoteReference w:id="7"/>
      </w:r>
      <w:r w:rsidRPr="007F0103">
        <w:t>. Dette vil imidlertid kun være muligt, hvis de procedurer, der er fastsat for de pågældende retsgrundlag, ikke er uforenelige med og ikke undergraver Europa-Parlamentets beføjelser</w:t>
      </w:r>
      <w:r w:rsidRPr="007F0103">
        <w:rPr>
          <w:vertAlign w:val="superscript"/>
        </w:rPr>
        <w:footnoteReference w:id="8"/>
      </w:r>
      <w:r w:rsidRPr="007F0103">
        <w:t>.</w:t>
      </w:r>
    </w:p>
    <w:p w14:paraId="2FF21F4A" w14:textId="77777777" w:rsidR="00486EA1" w:rsidRPr="007F0103" w:rsidRDefault="00486EA1" w:rsidP="00977884">
      <w:pPr>
        <w:pStyle w:val="Point123"/>
        <w:numPr>
          <w:ilvl w:val="0"/>
          <w:numId w:val="0"/>
        </w:numPr>
        <w:tabs>
          <w:tab w:val="left" w:pos="720"/>
        </w:tabs>
        <w:spacing w:before="0" w:after="0" w:line="240" w:lineRule="auto"/>
        <w:jc w:val="both"/>
      </w:pPr>
    </w:p>
    <w:p w14:paraId="76A7337E" w14:textId="77777777" w:rsidR="00486EA1" w:rsidRPr="007F0103" w:rsidRDefault="007F0103" w:rsidP="00977884">
      <w:pPr>
        <w:spacing w:after="240"/>
        <w:ind w:left="567" w:hanging="567"/>
        <w:jc w:val="both"/>
      </w:pPr>
      <w:r w:rsidRPr="007F0103">
        <w:rPr>
          <w:b/>
          <w:u w:val="single"/>
        </w:rPr>
        <w:t>IV – Den foreslåede forordnings formål og indhold</w:t>
      </w:r>
    </w:p>
    <w:p w14:paraId="076F7245" w14:textId="77777777" w:rsidR="00486EA1" w:rsidRPr="007F0103" w:rsidRDefault="007F0103" w:rsidP="00977884">
      <w:pPr>
        <w:spacing w:after="240"/>
        <w:jc w:val="both"/>
        <w:rPr>
          <w:rFonts w:ascii="TimesNewRomanPSMT" w:eastAsia="Arial Unicode MS" w:hAnsi="TimesNewRomanPSMT" w:cs="TimesNewRomanPSMT"/>
        </w:rPr>
      </w:pPr>
      <w:r w:rsidRPr="007F0103">
        <w:t xml:space="preserve">I forslagets artikel 1 hedder det, at der i </w:t>
      </w:r>
      <w:r w:rsidRPr="007F0103">
        <w:rPr>
          <w:i/>
          <w:iCs/>
        </w:rPr>
        <w:t>"denne forordning fastsættes krav om cirkularitet i design og produktion af køretøjer vedrørende genbrugelighed, genanvendelighed og nyttiggørelsesmuligheder og brugen af genanvendt indhold, som skal verificeres ved typegodkendelsen af køretøjer, og oplysnings- og mærkningskrav vedrørende dele, komponenter og materialer i køretøjer</w:t>
      </w:r>
      <w:r w:rsidRPr="007F0103">
        <w:t>.</w:t>
      </w:r>
      <w:r w:rsidRPr="007F0103">
        <w:rPr>
          <w:i/>
        </w:rPr>
        <w:t xml:space="preserve"> </w:t>
      </w:r>
      <w:r w:rsidRPr="007F0103">
        <w:rPr>
          <w:i/>
          <w:iCs/>
        </w:rPr>
        <w:t>Der fastsættes ligeledes krav om udvidet producentansvar, indsamling og behandling af udrangerede køretøjer samt om eksport af brugte køretøjer fra Unionen til tredjelande".</w:t>
      </w:r>
      <w:r w:rsidRPr="007F0103">
        <w:t xml:space="preserve"> </w:t>
      </w:r>
    </w:p>
    <w:p w14:paraId="597F8088" w14:textId="77777777" w:rsidR="00486EA1" w:rsidRPr="007F0103" w:rsidRDefault="007F0103" w:rsidP="00977884">
      <w:pPr>
        <w:spacing w:after="240"/>
        <w:jc w:val="both"/>
        <w:rPr>
          <w:rFonts w:ascii="TimesNewRomanPSMT" w:eastAsia="Arial Unicode MS" w:hAnsi="TimesNewRomanPSMT" w:cs="TimesNewRomanPSMT"/>
        </w:rPr>
      </w:pPr>
      <w:r w:rsidRPr="007F0103">
        <w:rPr>
          <w:rFonts w:ascii="TimesNewRomanPSMT" w:hAnsi="TimesNewRomanPSMT"/>
        </w:rPr>
        <w:t>Den foreslåede forordning vil i givet fald ophæve og erstatte direktiv 2005/64/EF og 2000/53/EF Direktiv 2005/64/EF omhandler typegodkendelse af motorkøretøjer med hensyn til genbrugelighed, genvindelighed og nyttiggørelsesmuligheder</w:t>
      </w:r>
      <w:r w:rsidRPr="007F0103">
        <w:rPr>
          <w:rFonts w:ascii="TimesNewRomanPSMT" w:eastAsia="Arial Unicode MS" w:hAnsi="TimesNewRomanPSMT" w:cs="TimesNewRomanPSMT"/>
          <w:vertAlign w:val="superscript"/>
        </w:rPr>
        <w:footnoteReference w:id="9"/>
      </w:r>
      <w:r w:rsidRPr="007F0103">
        <w:rPr>
          <w:rFonts w:ascii="TimesNewRomanPSMT" w:hAnsi="TimesNewRomanPSMT"/>
        </w:rPr>
        <w:t>. Dette direktiv blev vedtaget på retsgrundlaget vedrørende det indre marked (artikel 95 i TEF, som svarer til den nuværende artikel 114 i TEUF). Direktiv 2000/53/EF omhandler bl.a. genbrug, genanvendelse og andre former for nyttiggørelse af udrangerede køretøjer og komponenter heri</w:t>
      </w:r>
      <w:r w:rsidRPr="007F0103">
        <w:rPr>
          <w:rFonts w:ascii="TimesNewRomanPSMT" w:eastAsia="Arial Unicode MS" w:hAnsi="TimesNewRomanPSMT" w:cs="TimesNewRomanPSMT"/>
          <w:vertAlign w:val="superscript"/>
        </w:rPr>
        <w:footnoteReference w:id="10"/>
      </w:r>
      <w:r w:rsidRPr="007F0103">
        <w:rPr>
          <w:rFonts w:ascii="TimesNewRomanPSMT" w:hAnsi="TimesNewRomanPSMT"/>
        </w:rPr>
        <w:t>. Dette direktiv blev vedtaget på retsgrundlaget vedrørende miljø (artikel 175, stk. 1, i TEF, som svarer til den nuværende artikel 192, stk. 1, i TEUF).</w:t>
      </w:r>
    </w:p>
    <w:p w14:paraId="0B72B57B" w14:textId="77777777" w:rsidR="00486EA1" w:rsidRPr="007F0103" w:rsidRDefault="007F0103" w:rsidP="00977884">
      <w:pPr>
        <w:spacing w:after="240"/>
        <w:jc w:val="both"/>
        <w:rPr>
          <w:rFonts w:ascii="TimesNewRomanPSMT" w:eastAsia="Arial Unicode MS" w:hAnsi="TimesNewRomanPSMT" w:cs="TimesNewRomanPSMT"/>
        </w:rPr>
      </w:pPr>
      <w:r w:rsidRPr="007F0103">
        <w:rPr>
          <w:rFonts w:ascii="TimesNewRomanPSMT" w:hAnsi="TimesNewRomanPSMT"/>
        </w:rPr>
        <w:t>Forslaget integrerer således elementer fra begge direktiver og forener hensyntagen til det indre marked og miljøhensyn. Derfor er der i kapitel II og III fastsat cirkularitetskrav ved design af køretøjer samt informations- og mærkningskrav for fabrikanter, hvilket svarer til dimensionen vedrørende det indre marked. På den anden side omhandler kapitel IV håndtering af udrangerede køretøjer, hvilket svarer til miljødimensionen (bestemmelser om affaldshåndtering). Ligeledes har den nye bestemmelse om overdrage</w:t>
      </w:r>
      <w:r w:rsidRPr="007F0103">
        <w:rPr>
          <w:rFonts w:ascii="TimesNewRomanPSMT" w:hAnsi="TimesNewRomanPSMT"/>
        </w:rPr>
        <w:t>lse af køretøjer inden for Unionen (den nuværende artikel 37 i begyndelsen af kapitel V) til formål at sikre, at det er brugte køretøjer snarere end udrangerede køretøjer, der bliver overdraget.</w:t>
      </w:r>
    </w:p>
    <w:p w14:paraId="4AA8DB84" w14:textId="77777777" w:rsidR="00486EA1" w:rsidRPr="007F0103" w:rsidRDefault="007F0103" w:rsidP="00977884">
      <w:pPr>
        <w:spacing w:after="240"/>
        <w:jc w:val="both"/>
      </w:pPr>
      <w:r w:rsidRPr="007F0103">
        <w:t>Det anerkendes således, at forslaget i den form, som medlovgiverne nåede til enighed om i deres foreløbige aftale, tilstræber to hovedmål, som forekommer lige vigtige: det ene vedrører harmonisering af det indre marked for så vidt angår cirkularitetskrav ved design af køretøjer samt informations- og mærkningskrav for fabrikanter, mens det andet miljøbeskyttelse ved hjælp af regler for håndtering af udrangerede køretøjer.</w:t>
      </w:r>
    </w:p>
    <w:p w14:paraId="4AFA3AC2" w14:textId="77777777" w:rsidR="00486EA1" w:rsidRPr="007F0103" w:rsidRDefault="007F0103" w:rsidP="00977884">
      <w:pPr>
        <w:spacing w:after="240"/>
        <w:jc w:val="both"/>
        <w:rPr>
          <w:b/>
          <w:u w:val="single"/>
        </w:rPr>
      </w:pPr>
      <w:r w:rsidRPr="007F0103">
        <w:rPr>
          <w:b/>
          <w:u w:val="single"/>
        </w:rPr>
        <w:t xml:space="preserve">V – Analyse </w:t>
      </w:r>
    </w:p>
    <w:p w14:paraId="7CACFC37" w14:textId="77777777" w:rsidR="00486EA1" w:rsidRPr="007F0103" w:rsidRDefault="007F0103" w:rsidP="00977884">
      <w:pPr>
        <w:spacing w:after="240"/>
        <w:jc w:val="both"/>
      </w:pPr>
      <w:r w:rsidRPr="007F0103">
        <w:t>Som anført i punkt III i denne skrivelse kræver retspraksis, at for at en EU-retsakt skal kunne have flere forskellige retsgrundlag, skal de forskellige formål og led, der henviser til de pågældende retsgrundlag, være lige vigtige og være indbyrdes forbundet på en uadskillelig måde. I tillæg hertil skal de pågældende retsgrundlag være proceduremæssigt forenelige.</w:t>
      </w:r>
    </w:p>
    <w:p w14:paraId="1354BEB9" w14:textId="77777777" w:rsidR="00486EA1" w:rsidRPr="007F0103" w:rsidRDefault="007F0103" w:rsidP="00977884">
      <w:pPr>
        <w:spacing w:after="240"/>
        <w:jc w:val="both"/>
      </w:pPr>
      <w:r w:rsidRPr="007F0103">
        <w:t xml:space="preserve">I den forbindelse påpeges det i analysen fra Juridisk Tjeneste, at artikel 193 i TEUF (som finder anvendelse på retsakter, der er vedtaget på grundlag af artikel 192 i TEUF) på den ene side og artikel 114, stk. 4 og 5, i TEUF på den anden side begge giver medlemsstaterne mulighed for at afvige fra en harmoniseringsforanstaltning på EU-plan. De betingelser, der er fastsat i disse to traktatbestemmelser, og som giver mulighed for sådanne nationale bestemmelser, er imidlertid uens. </w:t>
      </w:r>
    </w:p>
    <w:p w14:paraId="352572AF" w14:textId="77777777" w:rsidR="00486EA1" w:rsidRPr="007F0103" w:rsidRDefault="007F0103" w:rsidP="00977884">
      <w:pPr>
        <w:spacing w:after="240"/>
        <w:jc w:val="both"/>
      </w:pPr>
      <w:r w:rsidRPr="007F0103">
        <w:t xml:space="preserve">I artikel 193 i TFEU er der fastsat følgende: </w:t>
      </w:r>
      <w:r w:rsidRPr="007F0103">
        <w:rPr>
          <w:i/>
          <w:iCs/>
        </w:rPr>
        <w:t>"Beskyttelsesforanstaltninger, som vedtages i henhold til artikel 192, er ikke til hinder for, at de enkelte medlemsstater opretholder eller indfører strengere beskyttelsesforanstaltninger.</w:t>
      </w:r>
      <w:r w:rsidRPr="007F0103">
        <w:rPr>
          <w:i/>
        </w:rPr>
        <w:t xml:space="preserve"> Disse foranstaltninger skal være forenelige med traktaterne. </w:t>
      </w:r>
      <w:r w:rsidRPr="007F0103">
        <w:rPr>
          <w:i/>
          <w:iCs/>
        </w:rPr>
        <w:t>De meddeles Kommissionen".</w:t>
      </w:r>
    </w:p>
    <w:p w14:paraId="78AD753E" w14:textId="77777777" w:rsidR="00486EA1" w:rsidRPr="007F0103" w:rsidRDefault="007F0103" w:rsidP="00977884">
      <w:pPr>
        <w:spacing w:after="240"/>
        <w:jc w:val="both"/>
      </w:pPr>
      <w:r w:rsidRPr="007F0103">
        <w:t xml:space="preserve">Artikel 193 TEUF præciserer klart dens anvendelsesområde og </w:t>
      </w:r>
      <w:r w:rsidRPr="007F0103">
        <w:t xml:space="preserve">opstiller to betingelser for dens anvendelse. På den ene side finder den kun anvendelse på foranstaltninger, der har artikel 192 i TEUF som retsgrundlag. På den anden side giver den kun mulighed for mere vidtgående nationale foranstaltninger, som a) er forenelige med traktaterne og b) er blevet meddelt Kommissionen. </w:t>
      </w:r>
    </w:p>
    <w:p w14:paraId="3177CB47" w14:textId="77777777" w:rsidR="00486EA1" w:rsidRPr="007F0103" w:rsidRDefault="007F0103" w:rsidP="00977884">
      <w:pPr>
        <w:spacing w:after="240"/>
        <w:jc w:val="both"/>
      </w:pPr>
      <w:r w:rsidRPr="007F0103">
        <w:t>Betingelsen i litra a) indebærer, at de nationale foranstaltninger kan være mere vidtgående end EU-lovgivning, som er vedtaget på grundlag af artikel 192 i TEUF, men at de skal overholde andre traktatbestemmelser såsom forbuddet mod forskelsbehandling på grundlag af nationalitet, proportionalitetsprincippet eller forbuddet mod foranstaltninger med en virkning svarende til kvantitative importrestriktioner.</w:t>
      </w:r>
    </w:p>
    <w:p w14:paraId="5BBE3117" w14:textId="77777777" w:rsidR="00486EA1" w:rsidRPr="007F0103" w:rsidRDefault="007F0103" w:rsidP="00977884">
      <w:pPr>
        <w:spacing w:after="240"/>
        <w:jc w:val="both"/>
      </w:pPr>
      <w:r w:rsidRPr="007F0103">
        <w:t>I henhold til artikel 114, stk. 5, i TEUF skal en medlemsstat opfylde en række krav for at få godkendelse af Kommissionen, jf. artikel 114, stk. 6, til at indføre mere vidtgående foranstaltninger: i) den nationale bestemmelse skal være baseret på nyt videnskabeligt belæg, ii) den nationale bestemmelse skal vedrøre miljøbeskyttelse eller beskyttelse af arbejdsmiljøet, iii) den pågældende foranstaltning skal være begrundet i et problem, der er specifikt for den medlemsstat, der ønsker at indføre den nationale</w:t>
      </w:r>
      <w:r w:rsidRPr="007F0103">
        <w:t xml:space="preserve"> bestemmelse, og iv) dette problem skal være opstået efter, at harmoniseringsforanstaltningen er blevet vedtaget. </w:t>
      </w:r>
    </w:p>
    <w:p w14:paraId="2A6E3871" w14:textId="77777777" w:rsidR="00486EA1" w:rsidRPr="007F0103" w:rsidRDefault="007F0103" w:rsidP="00977884">
      <w:pPr>
        <w:spacing w:after="240"/>
        <w:jc w:val="both"/>
      </w:pPr>
      <w:r w:rsidRPr="007F0103">
        <w:t xml:space="preserve">I henhold til artikel 114, stk. 4, skal en medlemsstat for at blive bemyndiget af Kommissionen til at opretholde mere vidtgående foranstaltninger begrunde, at den nationale </w:t>
      </w:r>
      <w:r w:rsidRPr="007F0103">
        <w:t>bestemmelse er nødvendig for at tilgodese et vigtigt behov, som er omhandlet i artikel 36 i TEUF, eller som vedrører miljøbeskyttelse eller beskyttelse af arbejdsmiljøet. Artikel 114, stk. 4 og 5, TEUF indeholder derfor materielle og proceduremæssige krav</w:t>
      </w:r>
      <w:r w:rsidRPr="007F0103">
        <w:rPr>
          <w:vertAlign w:val="superscript"/>
        </w:rPr>
        <w:footnoteReference w:id="11"/>
      </w:r>
      <w:r w:rsidRPr="007F0103">
        <w:t xml:space="preserve">, som adskiller sig væsentligt fra de krav, der er fastsat i artikel 193 TEUF. </w:t>
      </w:r>
    </w:p>
    <w:p w14:paraId="61780EE8" w14:textId="77777777" w:rsidR="00486EA1" w:rsidRPr="007F0103" w:rsidRDefault="007F0103" w:rsidP="00977884">
      <w:pPr>
        <w:spacing w:after="240"/>
        <w:jc w:val="both"/>
      </w:pPr>
      <w:r w:rsidRPr="007F0103">
        <w:t>Juridisk Tjeneste konkluderer, at en samtidig anvendelse af artikel 114 og artikel 192, stk. 1, i TEUF som retsgrundlag for en given EU-retsakt er udelukket, eftersom betingelserne for at indføre mere vidtgående nationale foranstaltninger, som finder anvendelse på de områder, der er omfattet af hver af disse bestemmelser, er indbyrdes uforenelige. Samtidig skal det understreges, at uforeneligheden mellem de pågældende bestemmelser ikke skyldes de forskellige proceduremæssige betingelser for vedtagelsen af s</w:t>
      </w:r>
      <w:r w:rsidRPr="007F0103">
        <w:t>elve EU-retsakten, idet både artikel 114, stk. 1, og artikel 192, stk. 1, er omfattet af den almindelige lovgivningsprocedure. Uforeneligheden beror derimod på den retsusikkerhed, der ville følge af en samtidig anvendelse af artikel 114 og artikel 193 TEUF med hensyn til eventuel indførelse af mere vidtgående nationale foranstaltninger.</w:t>
      </w:r>
    </w:p>
    <w:p w14:paraId="55E0BB8A" w14:textId="77777777" w:rsidR="00486EA1" w:rsidRPr="007F0103" w:rsidRDefault="007F0103" w:rsidP="00977884">
      <w:pPr>
        <w:spacing w:after="240"/>
        <w:jc w:val="both"/>
      </w:pPr>
      <w:r w:rsidRPr="007F0103">
        <w:t>Det skal bemærkes, at når retsgrundlaget for en lovgivningsmæssig retsakt fastlægges, ligger dette retsgrundlag i princippet til grund for hele retsakten og ikke kun en del af den. At basere retsakten på et dobbelt retsgrundlag vil derfor i det foreliggende tilfælde indebære, at medlemsstaterne kan beslutte at træffe foranstaltninger i henhold til artikel 193 i TEUF i forbindelse med samtlige bestemmelser i forslaget, herunder også for produktkravene. En sådan tilgang kan potentielt underminere forslagets r</w:t>
      </w:r>
      <w:r w:rsidRPr="007F0103">
        <w:t>ationale vedrørende det indre marked.</w:t>
      </w:r>
    </w:p>
    <w:p w14:paraId="29876E22" w14:textId="77777777" w:rsidR="00486EA1" w:rsidRPr="007F0103" w:rsidRDefault="007F0103" w:rsidP="00977884">
      <w:pPr>
        <w:spacing w:after="240"/>
        <w:jc w:val="both"/>
      </w:pPr>
      <w:r w:rsidRPr="007F0103">
        <w:t>Af denne grund kan EU-lovgiveren blive foranlediget til at gøre brug af den lovgivningsteknik, der går under betegnelsen "salamitaktikken". Dette indebærer i praksis, at lovgiveren opretter "underinddelinger" i den lovgivningsmæssige retsakt ved i henvisningerne at angive, hvilken artikel i retsakten der er baseret på hvilket retsgrundlag. I en sådan situation kan spørgsmålet om uforeneligheden af de respektive retsgrundlag, der er beskrevet ovenfor, logisk set ikke rejses.</w:t>
      </w:r>
    </w:p>
    <w:p w14:paraId="4B98CF64" w14:textId="77777777" w:rsidR="00486EA1" w:rsidRPr="007F0103" w:rsidRDefault="007F0103" w:rsidP="00977884">
      <w:pPr>
        <w:spacing w:after="240"/>
        <w:jc w:val="both"/>
      </w:pPr>
      <w:r w:rsidRPr="007F0103">
        <w:t>I den aktuelle sag præciserer den tekst, som der er opnået politisk enighed om, i henvisningerne de bestemmelser, der begrunder anvendelsen af artikel 192, stk. 1, i TEUF som et yderligere retsgrundlag, dvs. kapitel IV (artikel 14</w:t>
      </w:r>
      <w:r w:rsidRPr="007F0103">
        <w:noBreakHyphen/>
        <w:t>36) og den tilføjede artikel 37 om overdragelse af ejendomsretten til brugte køretøjer inden for Unionen. Følgelig er det kun med hensyn til disse bestemmelser, at medlemsstaterne bør have beføjelse til at indføre mere vidtgående beskyttelsesforanstaltninger, jf. artikel 193 i TEUF. Derimod vil artikel 114, stk. 4 og stk. 5, finde fuld anvendelse på alle øvrige foranstaltninger i forslaget, som således vedtages i henhold til artikel 114 i TEUF.</w:t>
      </w:r>
    </w:p>
    <w:p w14:paraId="4058FC48" w14:textId="77777777" w:rsidR="00486EA1" w:rsidRPr="007F0103" w:rsidRDefault="007F0103" w:rsidP="00977884">
      <w:pPr>
        <w:spacing w:after="240"/>
        <w:jc w:val="both"/>
      </w:pPr>
      <w:r w:rsidRPr="007F0103">
        <w:t>Juridisk Tjeneste har fremsat yderligere to bemærkninger hertil.</w:t>
      </w:r>
    </w:p>
    <w:p w14:paraId="30D31E8A" w14:textId="77777777" w:rsidR="00486EA1" w:rsidRPr="007F0103" w:rsidRDefault="007F0103" w:rsidP="00977884">
      <w:pPr>
        <w:spacing w:after="240"/>
        <w:jc w:val="both"/>
      </w:pPr>
      <w:r w:rsidRPr="007F0103">
        <w:t>For det første synes den lovgivningsteknik, der går under betegnelsen "salamitaktikken", ikke at være i fuld overensstemmelse med de kriterier, som Domstolen har fastsat for valget af to (eller flere) retsgrundlag, nemlig at retsakten skal have forskellige formål og led, der alle er lige vigtige og indbyrdes forbundne på en uadskillelig måde</w:t>
      </w:r>
      <w:r w:rsidRPr="007F0103">
        <w:rPr>
          <w:vertAlign w:val="superscript"/>
        </w:rPr>
        <w:footnoteReference w:id="12"/>
      </w:r>
      <w:r w:rsidRPr="007F0103">
        <w:t>. Ved at udpege, hvilke bestemmelser i retsakten der er omfattet af hvert af de påberåbte retsgrundlag, bevirker en sådan metode nemlig, at disse bestemmelser og det tilstræbte formål, adskiller sig fra og kan adskilles fra retsaktens øvrige bestemmelser. Som følge heraf vil et dobbelt retsgrundlag ikke være berettiget.</w:t>
      </w:r>
    </w:p>
    <w:p w14:paraId="2E475971" w14:textId="77777777" w:rsidR="00486EA1" w:rsidRPr="007F0103" w:rsidRDefault="007F0103" w:rsidP="00977884">
      <w:pPr>
        <w:spacing w:after="240"/>
        <w:jc w:val="both"/>
      </w:pPr>
      <w:r w:rsidRPr="007F0103">
        <w:t>Når det er sagt, har Domstolen ikke hidtil haft anledning til at udtale sig om anvendelsen af "salamitaktikken" og de potentielle konsekvenser heraf for gyldigheden af den retsakt, hvortil den anvendes. Der foreligger derfor ikke noget afgørende juridisk argument imod brugen af "salamitaktikken".</w:t>
      </w:r>
    </w:p>
    <w:p w14:paraId="023F1E91" w14:textId="77777777" w:rsidR="00486EA1" w:rsidRPr="007F0103" w:rsidRDefault="007F0103" w:rsidP="00977884">
      <w:pPr>
        <w:spacing w:after="240"/>
        <w:jc w:val="both"/>
      </w:pPr>
      <w:r w:rsidRPr="007F0103">
        <w:t>For det andet er det også relevant at minde om, at EU-lovgiveren allerede har gjort brug af "salamitaktikken" til en række retsakter, som blev vedtaget på grundlag af artikel 114 i TEUF (tidligere artikel 95 i TEF) og artikel 192 i TEUF (tidligere artikel 175 i TEF)</w:t>
      </w:r>
      <w:r w:rsidRPr="007F0103">
        <w:rPr>
          <w:vertAlign w:val="superscript"/>
        </w:rPr>
        <w:footnoteReference w:id="13"/>
      </w:r>
      <w:r w:rsidRPr="007F0103">
        <w:t xml:space="preserve">. Der findes således allerede en række sammenlignelige fortilfælde.  </w:t>
      </w:r>
    </w:p>
    <w:p w14:paraId="4A846456" w14:textId="77777777" w:rsidR="00486EA1" w:rsidRPr="007F0103" w:rsidRDefault="007F0103" w:rsidP="00977884">
      <w:pPr>
        <w:spacing w:after="240"/>
        <w:jc w:val="both"/>
        <w:rPr>
          <w:b/>
          <w:u w:val="single"/>
        </w:rPr>
      </w:pPr>
      <w:r w:rsidRPr="007F0103">
        <w:rPr>
          <w:b/>
          <w:u w:val="single"/>
        </w:rPr>
        <w:t>VI – Konklusion og henstilling</w:t>
      </w:r>
    </w:p>
    <w:p w14:paraId="540A11E8" w14:textId="77777777" w:rsidR="00486EA1" w:rsidRPr="007F0103" w:rsidRDefault="007F0103" w:rsidP="00977884">
      <w:pPr>
        <w:spacing w:after="240"/>
        <w:jc w:val="both"/>
      </w:pPr>
      <w:r w:rsidRPr="007F0103">
        <w:t>Retsudvalget vedtog på sit møde den 16. april 2026 (med 19 stemmer for, 3 imod og ingen hverken/eller)</w:t>
      </w:r>
      <w:r w:rsidRPr="007F0103">
        <w:rPr>
          <w:vertAlign w:val="superscript"/>
        </w:rPr>
        <w:footnoteReference w:id="14"/>
      </w:r>
      <w:r w:rsidRPr="007F0103">
        <w:t xml:space="preserve"> at henstille til Udvalget om Miljø, Klima og Fødevaresikkerhed og Udvalget om Det Indre Marked og Forbrugerbeskyttelse, at det forekom acceptabelt at tilføje artikel 192, stk. 1, i TEUF som yderligere et retsgrundlag for den foreslåede forordning om krav om cirkularitet i design af køretøjer og om håndtering af udrangerede køretøjer, for så vidt som det blev præciseret, at bestemmelserne i kapitel IV og artikel 37 er baseret på artikel 192, stk. 1, i TEUF, hvorimod resten af den foreslåede forordning forts</w:t>
      </w:r>
      <w:r w:rsidRPr="007F0103">
        <w:t>at er baseret på artikel 114 i TEUF.</w:t>
      </w:r>
    </w:p>
    <w:p w14:paraId="215DD9E2" w14:textId="77777777" w:rsidR="00486EA1" w:rsidRPr="007F0103" w:rsidRDefault="00486EA1" w:rsidP="00977884">
      <w:pPr>
        <w:pStyle w:val="Normal12a"/>
        <w:jc w:val="both"/>
      </w:pPr>
    </w:p>
    <w:p w14:paraId="287C7C75" w14:textId="77777777" w:rsidR="007179A7" w:rsidRPr="007F0103" w:rsidRDefault="007F0103" w:rsidP="00977884">
      <w:pPr>
        <w:pStyle w:val="Normal12a"/>
        <w:jc w:val="both"/>
      </w:pPr>
      <w:r w:rsidRPr="007F0103">
        <w:t>Med venlig hilsen</w:t>
      </w:r>
    </w:p>
    <w:p w14:paraId="4ABF67AD" w14:textId="77777777" w:rsidR="007179A7" w:rsidRPr="007F0103" w:rsidRDefault="007F0103" w:rsidP="00977884">
      <w:pPr>
        <w:pStyle w:val="LetterSignature66b"/>
        <w:jc w:val="both"/>
      </w:pPr>
      <w:r w:rsidRPr="007F0103">
        <w:t>Ilhan Kyuchyuk</w:t>
      </w:r>
    </w:p>
    <w:p w14:paraId="63D28D5C" w14:textId="77777777" w:rsidR="00977884" w:rsidRPr="007F0103" w:rsidRDefault="00977884" w:rsidP="00977884"/>
    <w:sectPr w:rsidR="00977884" w:rsidRPr="007F0103" w:rsidSect="00CA53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85C4" w14:textId="77777777" w:rsidR="007F0103" w:rsidRPr="00CA5373" w:rsidRDefault="007F0103">
      <w:r w:rsidRPr="00CA5373">
        <w:separator/>
      </w:r>
    </w:p>
  </w:endnote>
  <w:endnote w:type="continuationSeparator" w:id="0">
    <w:p w14:paraId="064B2364" w14:textId="77777777" w:rsidR="007F0103" w:rsidRPr="00CA5373" w:rsidRDefault="007F0103">
      <w:r w:rsidRPr="00CA5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495D" w14:textId="77777777" w:rsidR="00CA5373" w:rsidRPr="00CA5373" w:rsidRDefault="00CA5373" w:rsidP="00CA5373">
    <w:pPr>
      <w:pStyle w:val="EPFooter"/>
    </w:pPr>
    <w:r w:rsidRPr="00CA5373">
      <w:t>PE</w:t>
    </w:r>
    <w:r w:rsidRPr="00CA5373">
      <w:rPr>
        <w:rStyle w:val="HideTWBExt"/>
      </w:rPr>
      <w:t>&lt;NoPE&gt;</w:t>
    </w:r>
    <w:r w:rsidRPr="00CA5373">
      <w:t>787.750</w:t>
    </w:r>
    <w:r w:rsidRPr="00CA5373">
      <w:rPr>
        <w:rStyle w:val="HideTWBExt"/>
      </w:rPr>
      <w:t>&lt;/NoPE&gt;&lt;Version&gt;</w:t>
    </w:r>
    <w:r w:rsidRPr="00CA5373">
      <w:t>v01-00</w:t>
    </w:r>
    <w:r w:rsidRPr="00CA5373">
      <w:rPr>
        <w:rStyle w:val="HideTWBExt"/>
      </w:rPr>
      <w:t>&lt;/Version&gt;</w:t>
    </w:r>
    <w:r w:rsidRPr="00CA5373">
      <w:tab/>
    </w:r>
    <w:r w:rsidRPr="00CA5373">
      <w:fldChar w:fldCharType="begin"/>
    </w:r>
    <w:r w:rsidRPr="00CA5373">
      <w:instrText xml:space="preserve"> PAGE  \* MERGEFORMAT </w:instrText>
    </w:r>
    <w:r w:rsidRPr="00CA5373">
      <w:fldChar w:fldCharType="separate"/>
    </w:r>
    <w:r w:rsidRPr="00CA5373">
      <w:rPr>
        <w:noProof/>
      </w:rPr>
      <w:t>8</w:t>
    </w:r>
    <w:r w:rsidRPr="00CA5373">
      <w:fldChar w:fldCharType="end"/>
    </w:r>
    <w:r w:rsidRPr="00CA5373">
      <w:t>/</w:t>
    </w:r>
    <w:fldSimple w:instr=" NUMPAGES  \* MERGEFORMAT ">
      <w:r w:rsidRPr="00CA5373">
        <w:rPr>
          <w:noProof/>
        </w:rPr>
        <w:t>8</w:t>
      </w:r>
    </w:fldSimple>
    <w:r w:rsidRPr="00CA5373">
      <w:tab/>
    </w:r>
    <w:r w:rsidRPr="00CA5373">
      <w:rPr>
        <w:rStyle w:val="HideTWBExt"/>
      </w:rPr>
      <w:t>&lt;PathFdR&gt;</w:t>
    </w:r>
    <w:r w:rsidRPr="00CA5373">
      <w:t>AL\1341994DA.docx</w:t>
    </w:r>
    <w:r w:rsidRPr="00CA5373">
      <w:rPr>
        <w:rStyle w:val="HideTWBExt"/>
      </w:rPr>
      <w:t>&lt;/PathFdR&gt;</w:t>
    </w:r>
  </w:p>
  <w:p w14:paraId="46E6644D" w14:textId="43ED9CF8" w:rsidR="00000C7D" w:rsidRPr="00CA5373" w:rsidRDefault="00CA5373" w:rsidP="00CA5373">
    <w:pPr>
      <w:pStyle w:val="EPFooter2"/>
    </w:pPr>
    <w:r w:rsidRPr="00CA537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4E24" w14:textId="77777777" w:rsidR="00CA5373" w:rsidRPr="00CA5373" w:rsidRDefault="00CA5373" w:rsidP="00CA5373">
    <w:pPr>
      <w:pStyle w:val="EPFooter"/>
    </w:pPr>
    <w:r w:rsidRPr="00CA5373">
      <w:rPr>
        <w:rStyle w:val="HideTWBExt"/>
      </w:rPr>
      <w:t>&lt;PathFdR&gt;</w:t>
    </w:r>
    <w:r w:rsidRPr="00CA5373">
      <w:t>AL\1341994DA.docx</w:t>
    </w:r>
    <w:r w:rsidRPr="00CA5373">
      <w:rPr>
        <w:rStyle w:val="HideTWBExt"/>
      </w:rPr>
      <w:t>&lt;/PathFdR&gt;</w:t>
    </w:r>
    <w:r w:rsidRPr="00CA5373">
      <w:tab/>
    </w:r>
    <w:r w:rsidRPr="00CA5373">
      <w:fldChar w:fldCharType="begin"/>
    </w:r>
    <w:r w:rsidRPr="00CA5373">
      <w:instrText xml:space="preserve"> PAGE  \* MERGEFORMAT </w:instrText>
    </w:r>
    <w:r w:rsidRPr="00CA5373">
      <w:fldChar w:fldCharType="separate"/>
    </w:r>
    <w:r w:rsidRPr="00CA5373">
      <w:rPr>
        <w:noProof/>
      </w:rPr>
      <w:t>7</w:t>
    </w:r>
    <w:r w:rsidRPr="00CA5373">
      <w:fldChar w:fldCharType="end"/>
    </w:r>
    <w:r w:rsidRPr="00CA5373">
      <w:t>/</w:t>
    </w:r>
    <w:fldSimple w:instr=" NUMPAGES  \* MERGEFORMAT ">
      <w:r w:rsidRPr="00CA5373">
        <w:rPr>
          <w:noProof/>
        </w:rPr>
        <w:t>8</w:t>
      </w:r>
    </w:fldSimple>
    <w:r w:rsidRPr="00CA5373">
      <w:tab/>
      <w:t>PE</w:t>
    </w:r>
    <w:r w:rsidRPr="00CA5373">
      <w:rPr>
        <w:rStyle w:val="HideTWBExt"/>
      </w:rPr>
      <w:t>&lt;NoPE&gt;</w:t>
    </w:r>
    <w:r w:rsidRPr="00CA5373">
      <w:t>787.750</w:t>
    </w:r>
    <w:r w:rsidRPr="00CA5373">
      <w:rPr>
        <w:rStyle w:val="HideTWBExt"/>
      </w:rPr>
      <w:t>&lt;/NoPE&gt;&lt;Version&gt;</w:t>
    </w:r>
    <w:r w:rsidRPr="00CA5373">
      <w:t>v01-00</w:t>
    </w:r>
    <w:r w:rsidRPr="00CA5373">
      <w:rPr>
        <w:rStyle w:val="HideTWBExt"/>
      </w:rPr>
      <w:t>&lt;/Version&gt;</w:t>
    </w:r>
  </w:p>
  <w:p w14:paraId="624B65D2" w14:textId="3D4F0E5D" w:rsidR="00000C7D" w:rsidRPr="00CA5373" w:rsidRDefault="00CA5373" w:rsidP="00CA5373">
    <w:pPr>
      <w:pStyle w:val="EPFooter2"/>
    </w:pPr>
    <w:r w:rsidRPr="00CA5373">
      <w:tab/>
    </w:r>
    <w:r w:rsidRPr="00CA537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3FE1" w14:textId="77777777" w:rsidR="00CA5373" w:rsidRPr="00CA5373" w:rsidRDefault="00CA5373" w:rsidP="00CA5373">
    <w:pPr>
      <w:pStyle w:val="EPFooter"/>
    </w:pPr>
    <w:r w:rsidRPr="00CA5373">
      <w:rPr>
        <w:rStyle w:val="HideTWBExt"/>
      </w:rPr>
      <w:t>&lt;PathFdR&gt;</w:t>
    </w:r>
    <w:r w:rsidRPr="00CA5373">
      <w:t>AL\1341994DA.docx</w:t>
    </w:r>
    <w:r w:rsidRPr="00CA5373">
      <w:rPr>
        <w:rStyle w:val="HideTWBExt"/>
      </w:rPr>
      <w:t>&lt;/PathFdR&gt;</w:t>
    </w:r>
    <w:r w:rsidRPr="00CA5373">
      <w:tab/>
    </w:r>
    <w:r w:rsidRPr="00CA5373">
      <w:tab/>
      <w:t>PE</w:t>
    </w:r>
    <w:r w:rsidRPr="00CA5373">
      <w:rPr>
        <w:rStyle w:val="HideTWBExt"/>
      </w:rPr>
      <w:t>&lt;NoPE&gt;</w:t>
    </w:r>
    <w:r w:rsidRPr="00CA5373">
      <w:t>787.750</w:t>
    </w:r>
    <w:r w:rsidRPr="00CA5373">
      <w:rPr>
        <w:rStyle w:val="HideTWBExt"/>
      </w:rPr>
      <w:t>&lt;/NoPE&gt;&lt;Version&gt;</w:t>
    </w:r>
    <w:r w:rsidRPr="00CA5373">
      <w:t>v01-00</w:t>
    </w:r>
    <w:r w:rsidRPr="00CA5373">
      <w:rPr>
        <w:rStyle w:val="HideTWBExt"/>
      </w:rPr>
      <w:t>&lt;/Version&gt;</w:t>
    </w:r>
  </w:p>
  <w:p w14:paraId="1F8FCB36" w14:textId="4830D588" w:rsidR="00000C7D" w:rsidRPr="00CA5373" w:rsidRDefault="00CA5373" w:rsidP="00CA5373">
    <w:pPr>
      <w:pStyle w:val="EPFooter2"/>
    </w:pPr>
    <w:r w:rsidRPr="00CA5373">
      <w:t>DA</w:t>
    </w:r>
    <w:r w:rsidRPr="00CA5373">
      <w:tab/>
    </w:r>
    <w:r w:rsidRPr="00CA5373">
      <w:rPr>
        <w:b w:val="0"/>
        <w:i/>
        <w:color w:val="C0C0C0"/>
        <w:sz w:val="22"/>
      </w:rPr>
      <w:t>Forenet i mangfoldighed</w:t>
    </w:r>
    <w:r w:rsidRPr="00CA537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7ECB4" w14:textId="77777777" w:rsidR="001313E9" w:rsidRPr="00CA5373" w:rsidRDefault="007F0103">
      <w:r w:rsidRPr="00CA5373">
        <w:separator/>
      </w:r>
    </w:p>
  </w:footnote>
  <w:footnote w:type="continuationSeparator" w:id="0">
    <w:p w14:paraId="2BAD8118" w14:textId="77777777" w:rsidR="001313E9" w:rsidRPr="00CA5373" w:rsidRDefault="007F0103">
      <w:r w:rsidRPr="00CA5373">
        <w:continuationSeparator/>
      </w:r>
    </w:p>
  </w:footnote>
  <w:footnote w:id="1">
    <w:p w14:paraId="56142CF4"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D(2025)38108.</w:t>
      </w:r>
    </w:p>
  </w:footnote>
  <w:footnote w:id="2">
    <w:p w14:paraId="5F0D6893" w14:textId="77777777" w:rsidR="00486EA1" w:rsidRPr="00977884" w:rsidRDefault="007F0103" w:rsidP="007F0103">
      <w:pPr>
        <w:pStyle w:val="Default"/>
        <w:spacing w:after="60"/>
        <w:jc w:val="both"/>
        <w:rPr>
          <w:rFonts w:ascii="Times New Roman" w:hAnsi="Times New Roman" w:cs="Times New Roman"/>
          <w:sz w:val="20"/>
          <w:szCs w:val="20"/>
        </w:rPr>
      </w:pPr>
      <w:r w:rsidRPr="00977884">
        <w:rPr>
          <w:rFonts w:ascii="Times New Roman" w:hAnsi="Times New Roman" w:cs="Times New Roman"/>
          <w:sz w:val="20"/>
          <w:szCs w:val="20"/>
          <w:vertAlign w:val="superscript"/>
        </w:rPr>
        <w:footnoteRef/>
      </w:r>
      <w:r w:rsidRPr="00977884">
        <w:rPr>
          <w:rFonts w:ascii="Times New Roman" w:hAnsi="Times New Roman"/>
          <w:sz w:val="20"/>
          <w:szCs w:val="20"/>
        </w:rPr>
        <w:t xml:space="preserve"> COM(2023)0451.</w:t>
      </w:r>
    </w:p>
  </w:footnote>
  <w:footnote w:id="3">
    <w:p w14:paraId="2071CABD"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Artikel 191, stk. 1, i TEUF (tidl. artikel 174 i TEF): "Unionens politik på miljøområdet skal bidrage til forfølgelse af nedennævnte mål: </w:t>
      </w:r>
    </w:p>
    <w:p w14:paraId="487B6763" w14:textId="77777777" w:rsidR="00486EA1" w:rsidRPr="00977884" w:rsidRDefault="007F0103" w:rsidP="007F0103">
      <w:pPr>
        <w:spacing w:after="60"/>
        <w:jc w:val="both"/>
        <w:rPr>
          <w:sz w:val="20"/>
        </w:rPr>
      </w:pPr>
      <w:r w:rsidRPr="00977884">
        <w:rPr>
          <w:sz w:val="20"/>
        </w:rPr>
        <w:t xml:space="preserve">– bevarelse, beskyttelse og forbedring af miljøkvaliteten </w:t>
      </w:r>
    </w:p>
    <w:p w14:paraId="413A19AE" w14:textId="77777777" w:rsidR="00486EA1" w:rsidRPr="00977884" w:rsidRDefault="007F0103" w:rsidP="007F0103">
      <w:pPr>
        <w:spacing w:after="60"/>
        <w:jc w:val="both"/>
        <w:rPr>
          <w:sz w:val="20"/>
        </w:rPr>
      </w:pPr>
      <w:r w:rsidRPr="00977884">
        <w:rPr>
          <w:sz w:val="20"/>
        </w:rPr>
        <w:t xml:space="preserve">– beskyttelse af menneskers sundhed </w:t>
      </w:r>
    </w:p>
    <w:p w14:paraId="6CF80472" w14:textId="77777777" w:rsidR="00486EA1" w:rsidRPr="00977884" w:rsidRDefault="007F0103" w:rsidP="007F0103">
      <w:pPr>
        <w:spacing w:after="60"/>
        <w:jc w:val="both"/>
        <w:rPr>
          <w:sz w:val="20"/>
        </w:rPr>
      </w:pPr>
      <w:r w:rsidRPr="00977884">
        <w:rPr>
          <w:sz w:val="20"/>
        </w:rPr>
        <w:t xml:space="preserve">– forsigtig og </w:t>
      </w:r>
      <w:r w:rsidRPr="00977884">
        <w:rPr>
          <w:sz w:val="20"/>
        </w:rPr>
        <w:t>rationel udnyttelse af naturressourcerne</w:t>
      </w:r>
    </w:p>
    <w:p w14:paraId="01CF7A43" w14:textId="77777777" w:rsidR="00486EA1" w:rsidRPr="00977884" w:rsidRDefault="007F0103" w:rsidP="007F0103">
      <w:pPr>
        <w:spacing w:after="60"/>
        <w:jc w:val="both"/>
        <w:rPr>
          <w:sz w:val="20"/>
        </w:rPr>
      </w:pPr>
      <w:r w:rsidRPr="00977884">
        <w:rPr>
          <w:sz w:val="20"/>
        </w:rPr>
        <w:t>– fremme på internationalt plan af foranstaltninger til at løse de regionale og globale miljøproblemer, og navnlig til at bekæmpe klimaforandringerne."</w:t>
      </w:r>
    </w:p>
  </w:footnote>
  <w:footnote w:id="4">
    <w:p w14:paraId="0F91FEBC"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w:t>
      </w:r>
      <w:r w:rsidRPr="00977884">
        <w:rPr>
          <w:i/>
          <w:iCs/>
          <w:sz w:val="20"/>
        </w:rPr>
        <w:t>Udtalelse 2/00 ("Cartagenaprotokollen")</w:t>
      </w:r>
      <w:r w:rsidRPr="00977884">
        <w:rPr>
          <w:sz w:val="20"/>
        </w:rPr>
        <w:t>, ECLI:EU:C:2001:664, præmis 5.</w:t>
      </w:r>
    </w:p>
  </w:footnote>
  <w:footnote w:id="5">
    <w:p w14:paraId="6EE63415"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Sag C</w:t>
      </w:r>
      <w:r w:rsidRPr="00977884">
        <w:rPr>
          <w:sz w:val="20"/>
        </w:rPr>
        <w:noBreakHyphen/>
        <w:t xml:space="preserve">300/89, </w:t>
      </w:r>
      <w:r w:rsidRPr="00977884">
        <w:rPr>
          <w:i/>
          <w:iCs/>
          <w:sz w:val="20"/>
        </w:rPr>
        <w:t>Kommissionen mod Rådet ("Titandioxid")</w:t>
      </w:r>
      <w:r w:rsidRPr="00977884">
        <w:rPr>
          <w:sz w:val="20"/>
        </w:rPr>
        <w:t xml:space="preserve">, </w:t>
      </w:r>
      <w:r w:rsidRPr="00977884">
        <w:rPr>
          <w:rStyle w:val="outputecliaff"/>
          <w:sz w:val="20"/>
        </w:rPr>
        <w:t>ECLI:EU:C:1991:244</w:t>
      </w:r>
      <w:r w:rsidRPr="00977884">
        <w:rPr>
          <w:sz w:val="20"/>
        </w:rPr>
        <w:t>, præmis 10.</w:t>
      </w:r>
    </w:p>
  </w:footnote>
  <w:footnote w:id="6">
    <w:p w14:paraId="10690CE8"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Sag C</w:t>
      </w:r>
      <w:r w:rsidRPr="00977884">
        <w:rPr>
          <w:sz w:val="20"/>
        </w:rPr>
        <w:noBreakHyphen/>
        <w:t xml:space="preserve">137/12, </w:t>
      </w:r>
      <w:r w:rsidRPr="00977884">
        <w:rPr>
          <w:rStyle w:val="affairetitle"/>
          <w:i/>
          <w:iCs/>
          <w:sz w:val="20"/>
        </w:rPr>
        <w:t>Kommissionen mod Rådet</w:t>
      </w:r>
      <w:r w:rsidRPr="00977884">
        <w:rPr>
          <w:sz w:val="20"/>
        </w:rPr>
        <w:t xml:space="preserve">, </w:t>
      </w:r>
      <w:r w:rsidRPr="00977884">
        <w:rPr>
          <w:rStyle w:val="outputecliaff"/>
          <w:sz w:val="20"/>
        </w:rPr>
        <w:t>ECLI:EU:C:2013:675</w:t>
      </w:r>
      <w:r w:rsidRPr="00977884">
        <w:rPr>
          <w:sz w:val="20"/>
        </w:rPr>
        <w:t>, præmis 53, samt den deri refererede retspraksis.</w:t>
      </w:r>
    </w:p>
  </w:footnote>
  <w:footnote w:id="7">
    <w:p w14:paraId="2920DCC0"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Sag C</w:t>
      </w:r>
      <w:r w:rsidRPr="00977884">
        <w:rPr>
          <w:sz w:val="20"/>
        </w:rPr>
        <w:noBreakHyphen/>
        <w:t>300/89, præmis 13 og 17,</w:t>
      </w:r>
      <w:r w:rsidRPr="00977884">
        <w:rPr>
          <w:sz w:val="20"/>
        </w:rPr>
        <w:t xml:space="preserve"> sag C</w:t>
      </w:r>
      <w:r w:rsidRPr="00977884">
        <w:rPr>
          <w:sz w:val="20"/>
        </w:rPr>
        <w:noBreakHyphen/>
        <w:t xml:space="preserve">42/97, </w:t>
      </w:r>
      <w:r w:rsidRPr="00977884">
        <w:rPr>
          <w:rStyle w:val="affairetitle"/>
          <w:i/>
          <w:iCs/>
          <w:sz w:val="20"/>
        </w:rPr>
        <w:t>Parlamentet mod Rådet</w:t>
      </w:r>
      <w:r w:rsidRPr="00977884">
        <w:rPr>
          <w:sz w:val="20"/>
        </w:rPr>
        <w:t xml:space="preserve">, </w:t>
      </w:r>
      <w:r w:rsidRPr="00977884">
        <w:rPr>
          <w:rStyle w:val="outputecliaff"/>
          <w:sz w:val="20"/>
        </w:rPr>
        <w:t>ECLI:EU:C:1999:81</w:t>
      </w:r>
      <w:r w:rsidRPr="00977884">
        <w:rPr>
          <w:sz w:val="20"/>
        </w:rPr>
        <w:t xml:space="preserve">, præmis 38, </w:t>
      </w:r>
      <w:r w:rsidRPr="00977884">
        <w:rPr>
          <w:i/>
          <w:iCs/>
          <w:sz w:val="20"/>
        </w:rPr>
        <w:t>udtalelse 2/00</w:t>
      </w:r>
      <w:r w:rsidRPr="00977884">
        <w:rPr>
          <w:sz w:val="20"/>
        </w:rPr>
        <w:t>, præmis 23, sag C</w:t>
      </w:r>
      <w:r w:rsidRPr="00977884">
        <w:rPr>
          <w:sz w:val="20"/>
        </w:rPr>
        <w:noBreakHyphen/>
        <w:t xml:space="preserve">94/03, </w:t>
      </w:r>
      <w:r w:rsidRPr="00977884">
        <w:rPr>
          <w:rStyle w:val="affairetitle"/>
          <w:i/>
          <w:iCs/>
          <w:sz w:val="20"/>
        </w:rPr>
        <w:t>Kommissionen mod Rådet ("Rotterdamkonventionen")</w:t>
      </w:r>
      <w:r w:rsidRPr="00977884">
        <w:rPr>
          <w:sz w:val="20"/>
        </w:rPr>
        <w:t xml:space="preserve">, </w:t>
      </w:r>
      <w:r w:rsidRPr="00977884">
        <w:rPr>
          <w:rStyle w:val="outputecliaff"/>
          <w:sz w:val="20"/>
        </w:rPr>
        <w:t>ECLI:EU:C:2006:2</w:t>
      </w:r>
      <w:r w:rsidRPr="00977884">
        <w:rPr>
          <w:sz w:val="20"/>
        </w:rPr>
        <w:t xml:space="preserve"> samt sag C</w:t>
      </w:r>
      <w:r w:rsidRPr="00977884">
        <w:rPr>
          <w:sz w:val="20"/>
        </w:rPr>
        <w:noBreakHyphen/>
        <w:t xml:space="preserve">178/03, </w:t>
      </w:r>
      <w:r w:rsidRPr="00977884">
        <w:rPr>
          <w:rStyle w:val="affairetitle"/>
          <w:i/>
          <w:iCs/>
          <w:sz w:val="20"/>
        </w:rPr>
        <w:t>Kommissionen mod Parlamentet og Rådet</w:t>
      </w:r>
      <w:r w:rsidRPr="00977884">
        <w:rPr>
          <w:sz w:val="20"/>
        </w:rPr>
        <w:t xml:space="preserve">, </w:t>
      </w:r>
      <w:r w:rsidRPr="00977884">
        <w:rPr>
          <w:rStyle w:val="outputecliaff"/>
          <w:sz w:val="20"/>
        </w:rPr>
        <w:t>ECLI:EU:C:2006:4</w:t>
      </w:r>
      <w:r w:rsidRPr="00977884">
        <w:rPr>
          <w:sz w:val="20"/>
        </w:rPr>
        <w:t>, præmis 36 og 43.</w:t>
      </w:r>
    </w:p>
  </w:footnote>
  <w:footnote w:id="8">
    <w:p w14:paraId="6CC17BA0"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Sag C</w:t>
      </w:r>
      <w:r w:rsidRPr="00977884">
        <w:rPr>
          <w:sz w:val="20"/>
        </w:rPr>
        <w:noBreakHyphen/>
        <w:t>300/89, præmis 17</w:t>
      </w:r>
      <w:r w:rsidRPr="00977884">
        <w:rPr>
          <w:sz w:val="20"/>
        </w:rPr>
        <w:noBreakHyphen/>
        <w:t>25,</w:t>
      </w:r>
      <w:r w:rsidRPr="00977884">
        <w:rPr>
          <w:sz w:val="20"/>
        </w:rPr>
        <w:t xml:space="preserve"> sag C</w:t>
      </w:r>
      <w:r w:rsidRPr="00977884">
        <w:rPr>
          <w:sz w:val="20"/>
        </w:rPr>
        <w:noBreakHyphen/>
        <w:t xml:space="preserve">268/94, </w:t>
      </w:r>
      <w:r w:rsidRPr="00977884">
        <w:rPr>
          <w:i/>
          <w:iCs/>
          <w:sz w:val="20"/>
        </w:rPr>
        <w:t>Portugal mod Rådet,</w:t>
      </w:r>
      <w:r w:rsidRPr="00977884">
        <w:rPr>
          <w:sz w:val="20"/>
        </w:rPr>
        <w:t xml:space="preserve"> ECLI:EU:C:1996:461.</w:t>
      </w:r>
    </w:p>
  </w:footnote>
  <w:footnote w:id="9">
    <w:p w14:paraId="55B0AD13"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Europa-Parlamentets og Rådets direktiv 2005/64/EF af 26. oktober 2005 om typegodkendelse af motorkøretøjer med hensyn til genbrugelighed, genvindelighed og nyttiggørelsesmuligheder og om ændring af Rådets direktiv 70/156/EØF (EUT L 310 af 25.11.2005, s. 10).</w:t>
      </w:r>
    </w:p>
  </w:footnote>
  <w:footnote w:id="10">
    <w:p w14:paraId="75EC86CB"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Europa-Parlamentets og Rådets direktiv 2000/53/EF af 18. september 2000 om udrangerede køretøjer (EFT L 269 af 21.10.2000, s. 34).</w:t>
      </w:r>
    </w:p>
  </w:footnote>
  <w:footnote w:id="11">
    <w:p w14:paraId="0DFC123C" w14:textId="77777777" w:rsidR="00486EA1" w:rsidRPr="00977884" w:rsidRDefault="007F0103" w:rsidP="007F0103">
      <w:pPr>
        <w:tabs>
          <w:tab w:val="left" w:pos="360"/>
        </w:tabs>
        <w:spacing w:after="60"/>
        <w:jc w:val="both"/>
        <w:rPr>
          <w:sz w:val="20"/>
        </w:rPr>
      </w:pPr>
      <w:r w:rsidRPr="00977884">
        <w:rPr>
          <w:sz w:val="20"/>
          <w:vertAlign w:val="superscript"/>
        </w:rPr>
        <w:footnoteRef/>
      </w:r>
      <w:r w:rsidRPr="00977884">
        <w:rPr>
          <w:sz w:val="20"/>
        </w:rPr>
        <w:t xml:space="preserve"> Disse er suppleret af artikel 114, stk. 6, og artikel 7 i TEUF.</w:t>
      </w:r>
    </w:p>
  </w:footnote>
  <w:footnote w:id="12">
    <w:p w14:paraId="1A543E46"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Jf. kapitel III ovenfor samt den i fodnote 6 refererede retspraksis.</w:t>
      </w:r>
    </w:p>
  </w:footnote>
  <w:footnote w:id="13">
    <w:p w14:paraId="2CE5B8EE"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Jf. bl.a.:</w:t>
      </w:r>
    </w:p>
    <w:p w14:paraId="03F45077" w14:textId="77777777" w:rsidR="00486EA1" w:rsidRPr="00977884" w:rsidRDefault="007F0103" w:rsidP="007F0103">
      <w:pPr>
        <w:spacing w:after="60"/>
        <w:jc w:val="both"/>
        <w:rPr>
          <w:sz w:val="20"/>
        </w:rPr>
      </w:pPr>
      <w:r w:rsidRPr="00977884">
        <w:rPr>
          <w:sz w:val="20"/>
        </w:rPr>
        <w:t xml:space="preserve">Europa-Parlamentets og Rådets forordning (EU) 2023/1542 af 12. juli 2023 om batterier og udtjente batterier, om ændring af direktiv 2008/98/EF og forordning (EU) 2019/1020 og om ophævelse af direktiv 2006/66/EF (EUT L 191 af 28.7.2023, s. 1). Heri henvises der til, at retsakten er baseret på </w:t>
      </w:r>
      <w:r w:rsidRPr="00977884">
        <w:rPr>
          <w:i/>
          <w:iCs/>
          <w:sz w:val="20"/>
        </w:rPr>
        <w:t>"traktaten om Den Europæiske Unions funktionsmåde, særlig artikel 114 og artikel 192, stk. 1, med hensyn til denne forordnings artikel 54</w:t>
      </w:r>
      <w:r w:rsidRPr="00977884">
        <w:rPr>
          <w:i/>
          <w:iCs/>
          <w:sz w:val="20"/>
        </w:rPr>
        <w:noBreakHyphen/>
        <w:t>76".</w:t>
      </w:r>
      <w:r w:rsidRPr="00977884">
        <w:rPr>
          <w:sz w:val="20"/>
        </w:rPr>
        <w:t xml:space="preserve"> Ligeledes den forgænger Europa-Parlamentets og Rådets direktiv 2006/66/EF af 6. september 2006 om batterier og akkumulatorer og udtjente batterier og akkumulatorer samt om ophævelse af direktiv 91/157/EØF (EUT L 266 af 26.9.2006, s. 1). Heri henvises der til </w:t>
      </w:r>
      <w:r w:rsidRPr="00977884">
        <w:rPr>
          <w:i/>
          <w:iCs/>
          <w:sz w:val="20"/>
        </w:rPr>
        <w:t xml:space="preserve">"traktaten om oprettelse af Det Europæiske Fællesskab, særlig artikel 175, stk. 1, og artikel 95, stk. 1, for </w:t>
      </w:r>
      <w:r w:rsidRPr="00977884">
        <w:rPr>
          <w:i/>
          <w:iCs/>
          <w:sz w:val="20"/>
        </w:rPr>
        <w:t>så vidt angår artikel 4, 6 og 21 i dette direktiv".</w:t>
      </w:r>
      <w:r w:rsidRPr="00977884">
        <w:rPr>
          <w:sz w:val="20"/>
        </w:rPr>
        <w:t xml:space="preserve"> </w:t>
      </w:r>
    </w:p>
    <w:p w14:paraId="4EBF9C14" w14:textId="77777777" w:rsidR="00486EA1" w:rsidRPr="00977884" w:rsidRDefault="007F0103" w:rsidP="007F0103">
      <w:pPr>
        <w:spacing w:after="60"/>
        <w:jc w:val="both"/>
        <w:rPr>
          <w:sz w:val="20"/>
        </w:rPr>
      </w:pPr>
      <w:r w:rsidRPr="00977884">
        <w:rPr>
          <w:sz w:val="20"/>
        </w:rPr>
        <w:t xml:space="preserve">Europa-Parlamentets og Rådets forordning (EF) nr. 842/2006 af 17. maj 2006 om visse fluorholdige drivhusgasser (EFT L 161, 14.6.2006, s. 1). Heri henvises der til </w:t>
      </w:r>
      <w:r w:rsidRPr="00977884">
        <w:rPr>
          <w:i/>
          <w:iCs/>
          <w:sz w:val="20"/>
        </w:rPr>
        <w:t>"til traktaten om oprettelse af Det Europæiske Fællesskab, særlig artikel 175, stk. 1, og artikel 95 med hensyn til artikel 7, 8 og 9 i denne forordning".</w:t>
      </w:r>
      <w:r w:rsidRPr="00977884">
        <w:rPr>
          <w:sz w:val="20"/>
        </w:rPr>
        <w:t xml:space="preserve"> </w:t>
      </w:r>
    </w:p>
    <w:p w14:paraId="27D3839C" w14:textId="77777777" w:rsidR="00486EA1" w:rsidRPr="00977884" w:rsidRDefault="007F0103" w:rsidP="007F0103">
      <w:pPr>
        <w:spacing w:after="60"/>
        <w:jc w:val="both"/>
        <w:rPr>
          <w:sz w:val="20"/>
        </w:rPr>
      </w:pPr>
      <w:r w:rsidRPr="00977884">
        <w:rPr>
          <w:sz w:val="20"/>
        </w:rPr>
        <w:t xml:space="preserve">Europa-Parlamentets og Rådets direktiv 2009/28/EF af 23. april 2009 om fremme af anvendelsen af energi fra vedvarende energikilder og om ændring og senere ophævelse af direktiv 2001/77/EF og 2003/30/EF (EUT L 140 af 5.6.2009, s. 16). Heri henvises der til </w:t>
      </w:r>
      <w:r w:rsidRPr="00977884">
        <w:rPr>
          <w:i/>
          <w:iCs/>
          <w:sz w:val="20"/>
        </w:rPr>
        <w:t>"traktaten om oprettelse af Det Europæiske Fællesskab, særlig artikel 175, stk. 1, samt artikel 95 med hensyn til artikel 17, 18 og 19 i dette direktiv".</w:t>
      </w:r>
    </w:p>
    <w:p w14:paraId="786CB110" w14:textId="77777777" w:rsidR="00486EA1" w:rsidRPr="00977884" w:rsidRDefault="007F0103" w:rsidP="007F0103">
      <w:pPr>
        <w:spacing w:after="60"/>
        <w:jc w:val="both"/>
        <w:rPr>
          <w:sz w:val="20"/>
        </w:rPr>
      </w:pPr>
      <w:r w:rsidRPr="00977884">
        <w:rPr>
          <w:sz w:val="20"/>
        </w:rPr>
        <w:t xml:space="preserve">Europa-Parlamentets og Rådets direktiv 2009/30/EF af 23. april 2009 om ændring af direktiv 98/70/EF for så vidt angår specifikationerne for benzin, diesel og gasolie og om indførelse af en mekanisme for overvågning og reduktion af emissionerne af drivhusgasser og om ændring af Rådets direktiv 1999/32/EF for så vidt angår specifikationerne for brændstof, der benyttes i fartøjer til sejlads på indre vandveje, og om ophævelse af direktiv 93/12/EØF (EUT L 140 af 5.6.2009, s. 88). Heri henvises der til </w:t>
      </w:r>
      <w:r w:rsidRPr="00977884">
        <w:rPr>
          <w:i/>
          <w:iCs/>
          <w:sz w:val="20"/>
        </w:rPr>
        <w:t>"traktaten om oprettelse af Det Europæiske Fællesskab, særlig artikel 95 og artikel 175, stk. 1, for så vidt angår artikel 1, nr. 5, og artikel 2 i dette direktiv"</w:t>
      </w:r>
      <w:r w:rsidRPr="00977884">
        <w:rPr>
          <w:sz w:val="20"/>
        </w:rPr>
        <w:t>.</w:t>
      </w:r>
    </w:p>
  </w:footnote>
  <w:footnote w:id="14">
    <w:p w14:paraId="7CD1B842" w14:textId="77777777" w:rsidR="00486EA1" w:rsidRPr="00977884" w:rsidRDefault="007F0103" w:rsidP="007F0103">
      <w:pPr>
        <w:spacing w:after="60"/>
        <w:jc w:val="both"/>
        <w:rPr>
          <w:sz w:val="20"/>
        </w:rPr>
      </w:pPr>
      <w:r w:rsidRPr="00977884">
        <w:rPr>
          <w:sz w:val="20"/>
          <w:vertAlign w:val="superscript"/>
        </w:rPr>
        <w:footnoteRef/>
      </w:r>
      <w:r w:rsidRPr="00977884">
        <w:rPr>
          <w:sz w:val="20"/>
        </w:rPr>
        <w:t xml:space="preserve"> Til stede ved den endelige afstemning:</w:t>
      </w:r>
      <w:r w:rsidRPr="00977884">
        <w:rPr>
          <w:sz w:val="20"/>
        </w:rPr>
        <w:t xml:space="preserve"> Ilhan Kyuchyuk (formand), Marion Walsmann (næstformand), Mario Mantovani (næstformand), Lara Wolters, Emil Radev (næstformand), Maravillas Abadía Jover, José Cepeda, Ton Diepeveen, Mario Furore, Sergey Lagodinsky, Reinhold Lopatka (på vegne af Lukas Mandl, jf. forretningsordenens artikel 216, stk. 7), Isabella Lövin (på vegne af Kira Marie Peter</w:t>
      </w:r>
      <w:r w:rsidRPr="00977884">
        <w:rPr>
          <w:sz w:val="20"/>
        </w:rPr>
        <w:noBreakHyphen/>
        <w:t>Hansen, jf. forretningsordenens artikel 216, stk. 7), Pascale Piera, René Repasi, Eric Sargiacomo, Volker Schnurrbusch (på v</w:t>
      </w:r>
      <w:r w:rsidRPr="00977884">
        <w:rPr>
          <w:sz w:val="20"/>
        </w:rPr>
        <w:t>egne af Mary Khan, jf. forretningsordenens artikel 216, stk. 7), Lukas Sieper, Krzysztof Śmiszek, Axel Voss, Adrián Vázquez Lázara, Michał Wawrykiewicz, Tiemo Wölken,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43B6" w14:textId="77777777" w:rsidR="00977884" w:rsidRDefault="00977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33C1" w14:textId="77777777" w:rsidR="00977884" w:rsidRDefault="009778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FD47" w14:textId="77777777" w:rsidR="00977884" w:rsidRDefault="00977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85029208">
    <w:abstractNumId w:val="9"/>
  </w:num>
  <w:num w:numId="2" w16cid:durableId="863323309">
    <w:abstractNumId w:val="9"/>
  </w:num>
  <w:num w:numId="3" w16cid:durableId="238055768">
    <w:abstractNumId w:val="7"/>
  </w:num>
  <w:num w:numId="4" w16cid:durableId="1617982397">
    <w:abstractNumId w:val="7"/>
  </w:num>
  <w:num w:numId="5" w16cid:durableId="864058981">
    <w:abstractNumId w:val="6"/>
  </w:num>
  <w:num w:numId="6" w16cid:durableId="1070345866">
    <w:abstractNumId w:val="6"/>
  </w:num>
  <w:num w:numId="7" w16cid:durableId="1605188186">
    <w:abstractNumId w:val="5"/>
  </w:num>
  <w:num w:numId="8" w16cid:durableId="604773592">
    <w:abstractNumId w:val="5"/>
  </w:num>
  <w:num w:numId="9" w16cid:durableId="1824812237">
    <w:abstractNumId w:val="4"/>
  </w:num>
  <w:num w:numId="10" w16cid:durableId="839151710">
    <w:abstractNumId w:val="4"/>
  </w:num>
  <w:num w:numId="11" w16cid:durableId="1691376264">
    <w:abstractNumId w:val="8"/>
  </w:num>
  <w:num w:numId="12" w16cid:durableId="390428279">
    <w:abstractNumId w:val="8"/>
  </w:num>
  <w:num w:numId="13" w16cid:durableId="1481001420">
    <w:abstractNumId w:val="3"/>
  </w:num>
  <w:num w:numId="14" w16cid:durableId="486627684">
    <w:abstractNumId w:val="3"/>
  </w:num>
  <w:num w:numId="15" w16cid:durableId="1539775751">
    <w:abstractNumId w:val="2"/>
  </w:num>
  <w:num w:numId="16" w16cid:durableId="1215652613">
    <w:abstractNumId w:val="2"/>
  </w:num>
  <w:num w:numId="17" w16cid:durableId="187909129">
    <w:abstractNumId w:val="1"/>
  </w:num>
  <w:num w:numId="18" w16cid:durableId="115416024">
    <w:abstractNumId w:val="1"/>
  </w:num>
  <w:num w:numId="19" w16cid:durableId="1120413465">
    <w:abstractNumId w:val="0"/>
  </w:num>
  <w:num w:numId="20" w16cid:durableId="1652638955">
    <w:abstractNumId w:val="0"/>
  </w:num>
  <w:num w:numId="21" w16cid:durableId="1765686376">
    <w:abstractNumId w:val="9"/>
  </w:num>
  <w:num w:numId="22" w16cid:durableId="1764261717">
    <w:abstractNumId w:val="7"/>
  </w:num>
  <w:num w:numId="23" w16cid:durableId="1207521685">
    <w:abstractNumId w:val="6"/>
  </w:num>
  <w:num w:numId="24" w16cid:durableId="1765147124">
    <w:abstractNumId w:val="5"/>
  </w:num>
  <w:num w:numId="25" w16cid:durableId="2091849576">
    <w:abstractNumId w:val="4"/>
  </w:num>
  <w:num w:numId="26" w16cid:durableId="334772779">
    <w:abstractNumId w:val="8"/>
  </w:num>
  <w:num w:numId="27" w16cid:durableId="1986664953">
    <w:abstractNumId w:val="3"/>
  </w:num>
  <w:num w:numId="28" w16cid:durableId="1453401905">
    <w:abstractNumId w:val="2"/>
  </w:num>
  <w:num w:numId="29" w16cid:durableId="1402754331">
    <w:abstractNumId w:val="1"/>
  </w:num>
  <w:num w:numId="30" w16cid:durableId="1966883435">
    <w:abstractNumId w:val="0"/>
  </w:num>
  <w:num w:numId="31" w16cid:durableId="1377781681">
    <w:abstractNumId w:val="9"/>
  </w:num>
  <w:num w:numId="32" w16cid:durableId="585765942">
    <w:abstractNumId w:val="7"/>
  </w:num>
  <w:num w:numId="33" w16cid:durableId="1666977549">
    <w:abstractNumId w:val="6"/>
  </w:num>
  <w:num w:numId="34" w16cid:durableId="833912337">
    <w:abstractNumId w:val="5"/>
  </w:num>
  <w:num w:numId="35" w16cid:durableId="438575145">
    <w:abstractNumId w:val="4"/>
  </w:num>
  <w:num w:numId="36" w16cid:durableId="2085057830">
    <w:abstractNumId w:val="8"/>
  </w:num>
  <w:num w:numId="37" w16cid:durableId="515123101">
    <w:abstractNumId w:val="3"/>
  </w:num>
  <w:num w:numId="38" w16cid:durableId="827064382">
    <w:abstractNumId w:val="2"/>
  </w:num>
  <w:num w:numId="39" w16cid:durableId="2113472249">
    <w:abstractNumId w:val="1"/>
  </w:num>
  <w:num w:numId="40" w16cid:durableId="1052115770">
    <w:abstractNumId w:val="0"/>
  </w:num>
  <w:num w:numId="41" w16cid:durableId="2024696845">
    <w:abstractNumId w:val="10"/>
  </w:num>
  <w:num w:numId="42" w16cid:durableId="1552108840">
    <w:abstractNumId w:val="13"/>
  </w:num>
  <w:num w:numId="43" w16cid:durableId="1468931508">
    <w:abstractNumId w:val="12"/>
  </w:num>
  <w:num w:numId="44" w16cid:durableId="2916437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OMKEY" w:val="ENVI"/>
    <w:docVar w:name="DOCREFMNU" w:val=" 1"/>
    <w:docVar w:name="LastEditedSection" w:val=" 1"/>
    <w:docVar w:name="strDocTypeID" w:val="AL_JURI"/>
    <w:docVar w:name="strSubDir" w:val="1341"/>
    <w:docVar w:name="TXTLANGUE" w:val="DA"/>
    <w:docVar w:name="TXTLANGUEMIN" w:val="da"/>
    <w:docVar w:name="TXTNRC" w:val="0308/2023"/>
    <w:docVar w:name="TXTNRCOM" w:val="(2023)0451"/>
    <w:docVar w:name="TXTNRPE" w:val="787.750"/>
    <w:docVar w:name="TXTNRPROC" w:val="2023/0284"/>
    <w:docVar w:name="TXTPEorAP" w:val="PE"/>
    <w:docVar w:name="TXTROUTE" w:val="AL\1341994DA.docx"/>
    <w:docVar w:name="TXTVERSION" w:val="01-00"/>
  </w:docVars>
  <w:rsids>
    <w:rsidRoot w:val="001313E9"/>
    <w:rsid w:val="00000C7D"/>
    <w:rsid w:val="0000696F"/>
    <w:rsid w:val="00035402"/>
    <w:rsid w:val="000C3F41"/>
    <w:rsid w:val="0012665B"/>
    <w:rsid w:val="001313E9"/>
    <w:rsid w:val="001422AE"/>
    <w:rsid w:val="001701D6"/>
    <w:rsid w:val="001927FC"/>
    <w:rsid w:val="001D1646"/>
    <w:rsid w:val="00250DDD"/>
    <w:rsid w:val="00305BCA"/>
    <w:rsid w:val="00332170"/>
    <w:rsid w:val="003666DE"/>
    <w:rsid w:val="003763A3"/>
    <w:rsid w:val="003C6D88"/>
    <w:rsid w:val="00463119"/>
    <w:rsid w:val="00482DA5"/>
    <w:rsid w:val="00486EA1"/>
    <w:rsid w:val="00493031"/>
    <w:rsid w:val="004D0D33"/>
    <w:rsid w:val="004D0D4E"/>
    <w:rsid w:val="004E5B27"/>
    <w:rsid w:val="004F676F"/>
    <w:rsid w:val="00501E47"/>
    <w:rsid w:val="00521E77"/>
    <w:rsid w:val="00595C9D"/>
    <w:rsid w:val="007179A7"/>
    <w:rsid w:val="007545BA"/>
    <w:rsid w:val="007829F6"/>
    <w:rsid w:val="007E6351"/>
    <w:rsid w:val="007F0103"/>
    <w:rsid w:val="00802D65"/>
    <w:rsid w:val="008249C6"/>
    <w:rsid w:val="0084209A"/>
    <w:rsid w:val="00853AFA"/>
    <w:rsid w:val="0089677B"/>
    <w:rsid w:val="008A7815"/>
    <w:rsid w:val="008E2161"/>
    <w:rsid w:val="00977884"/>
    <w:rsid w:val="009957FA"/>
    <w:rsid w:val="009D564F"/>
    <w:rsid w:val="009F796C"/>
    <w:rsid w:val="00A04228"/>
    <w:rsid w:val="00A35D19"/>
    <w:rsid w:val="00A37F67"/>
    <w:rsid w:val="00AC0580"/>
    <w:rsid w:val="00AE6929"/>
    <w:rsid w:val="00BE5F47"/>
    <w:rsid w:val="00BE65BC"/>
    <w:rsid w:val="00C127ED"/>
    <w:rsid w:val="00C85D0F"/>
    <w:rsid w:val="00CA5373"/>
    <w:rsid w:val="00CE1655"/>
    <w:rsid w:val="00D478EA"/>
    <w:rsid w:val="00D77B8C"/>
    <w:rsid w:val="00D92A83"/>
    <w:rsid w:val="00E71F4C"/>
    <w:rsid w:val="00F501D2"/>
    <w:rsid w:val="00F637AD"/>
    <w:rsid w:val="00F70D50"/>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412A3"/>
  <w15:chartTrackingRefBased/>
  <w15:docId w15:val="{D98DA896-93CC-49A0-B88C-6A72ED19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Default">
    <w:name w:val="Default"/>
    <w:rsid w:val="00486EA1"/>
    <w:pPr>
      <w:autoSpaceDE w:val="0"/>
      <w:autoSpaceDN w:val="0"/>
      <w:adjustRightInd w:val="0"/>
    </w:pPr>
    <w:rPr>
      <w:rFonts w:ascii="Arial" w:hAnsi="Arial" w:cs="Arial"/>
      <w:color w:val="000000"/>
      <w:sz w:val="24"/>
      <w:szCs w:val="24"/>
    </w:rPr>
  </w:style>
  <w:style w:type="paragraph" w:customStyle="1" w:styleId="Pointabc">
    <w:name w:val="Point abc"/>
    <w:basedOn w:val="Normal"/>
    <w:rsid w:val="00486EA1"/>
    <w:pPr>
      <w:widowControl/>
      <w:numPr>
        <w:ilvl w:val="1"/>
        <w:numId w:val="44"/>
      </w:numPr>
      <w:tabs>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486EA1"/>
    <w:pPr>
      <w:widowControl/>
      <w:numPr>
        <w:ilvl w:val="3"/>
        <w:numId w:val="44"/>
      </w:numPr>
      <w:tabs>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486EA1"/>
    <w:pPr>
      <w:widowControl/>
      <w:numPr>
        <w:ilvl w:val="5"/>
        <w:numId w:val="44"/>
      </w:numPr>
      <w:tabs>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486EA1"/>
    <w:pPr>
      <w:widowControl/>
      <w:numPr>
        <w:ilvl w:val="7"/>
        <w:numId w:val="44"/>
      </w:numPr>
      <w:tabs>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486EA1"/>
    <w:pPr>
      <w:widowControl/>
      <w:numPr>
        <w:ilvl w:val="8"/>
        <w:numId w:val="44"/>
      </w:numPr>
      <w:tabs>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486EA1"/>
    <w:pPr>
      <w:widowControl/>
      <w:numPr>
        <w:numId w:val="44"/>
      </w:numPr>
      <w:tabs>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486EA1"/>
    <w:pPr>
      <w:widowControl/>
      <w:numPr>
        <w:ilvl w:val="2"/>
        <w:numId w:val="44"/>
      </w:numPr>
      <w:tabs>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486EA1"/>
    <w:pPr>
      <w:widowControl/>
      <w:numPr>
        <w:ilvl w:val="4"/>
        <w:numId w:val="44"/>
      </w:numPr>
      <w:tabs>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486EA1"/>
    <w:pPr>
      <w:widowControl/>
      <w:numPr>
        <w:ilvl w:val="6"/>
        <w:numId w:val="44"/>
      </w:numPr>
      <w:tabs>
        <w:tab w:val="num" w:pos="360"/>
      </w:tabs>
      <w:spacing w:before="120" w:after="120" w:line="360" w:lineRule="auto"/>
      <w:ind w:left="0" w:firstLine="0"/>
    </w:pPr>
    <w:rPr>
      <w:rFonts w:eastAsia="Calibri"/>
      <w:szCs w:val="22"/>
      <w:lang w:eastAsia="en-US"/>
    </w:rPr>
  </w:style>
  <w:style w:type="character" w:customStyle="1" w:styleId="Nessuno">
    <w:name w:val="Nessuno"/>
    <w:rsid w:val="00486EA1"/>
  </w:style>
  <w:style w:type="character" w:customStyle="1" w:styleId="outputecliaff">
    <w:name w:val="outputecliaff"/>
    <w:rsid w:val="00486EA1"/>
  </w:style>
  <w:style w:type="character" w:customStyle="1" w:styleId="affairetitle">
    <w:name w:val="affaire_title"/>
    <w:rsid w:val="00486EA1"/>
  </w:style>
  <w:style w:type="paragraph" w:styleId="Footer">
    <w:name w:val="footer"/>
    <w:basedOn w:val="Normal"/>
    <w:link w:val="FooterChar"/>
    <w:semiHidden/>
    <w:rsid w:val="00BE5F47"/>
    <w:pPr>
      <w:tabs>
        <w:tab w:val="center" w:pos="4513"/>
        <w:tab w:val="right" w:pos="9026"/>
      </w:tabs>
    </w:pPr>
  </w:style>
  <w:style w:type="character" w:customStyle="1" w:styleId="FooterChar">
    <w:name w:val="Footer Char"/>
    <w:basedOn w:val="DefaultParagraphFont"/>
    <w:link w:val="Footer"/>
    <w:semiHidden/>
    <w:rsid w:val="00BE5F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2497</Words>
  <Characters>14815</Characters>
  <Application>Microsoft Office Word</Application>
  <DocSecurity>0</DocSecurity>
  <Lines>256</Lines>
  <Paragraphs>70</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HEINSOEE Katja</cp:lastModifiedBy>
  <cp:revision>2</cp:revision>
  <cp:lastPrinted>2004-06-24T10:04:00Z</cp:lastPrinted>
  <dcterms:created xsi:type="dcterms:W3CDTF">2026-06-17T07:31:00Z</dcterms:created>
  <dcterms:modified xsi:type="dcterms:W3CDTF">2026-06-17T07:31:00Z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1341994</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\\eiciBRUpr1\pdocep$\DocEP\TRANSFIL\EN\AL_JURI.EN(02/03/2026 12:54:06)</vt:lpwstr>
  </property>
  <property fmtid="{D5CDD505-2E9C-101B-9397-08002B2CF9AE}" pid="7" name="&lt;Type&gt;">
    <vt:lpwstr>AL</vt:lpwstr>
  </property>
  <property fmtid="{D5CDD505-2E9C-101B-9397-08002B2CF9AE}" pid="8" name="Created with">
    <vt:lpwstr>10.3.0 Build [20260401]</vt:lpwstr>
  </property>
  <property fmtid="{D5CDD505-2E9C-101B-9397-08002B2CF9AE}" pid="9" name="FooterPath">
    <vt:lpwstr>AL\1341994DA.docx</vt:lpwstr>
  </property>
  <property fmtid="{D5CDD505-2E9C-101B-9397-08002B2CF9AE}" pid="10" name="LastEdited with">
    <vt:lpwstr>10.3.0 Build [20260401]</vt:lpwstr>
  </property>
  <property fmtid="{D5CDD505-2E9C-101B-9397-08002B2CF9AE}" pid="11" name="PE number">
    <vt:lpwstr>787.750</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- 2026/04/22 11:52</vt:lpwstr>
  </property>
  <property fmtid="{D5CDD505-2E9C-101B-9397-08002B2CF9AE}" pid="15" name="Bookout">
    <vt:lpwstr>OK - 2026/06/17 09:31</vt:lpwstr>
  </property>
</Properties>
</file>