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1D33196"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3666DE" w:rsidRPr="00650E1B" w:rsidP="00C85D0F" w14:paraId="208B08B0" w14:textId="77777777">
            <w:pPr>
              <w:pStyle w:val="EPName"/>
            </w:pPr>
            <w:r w:rsidRPr="00650E1B">
              <w:t>Европейски парламент</w:t>
            </w:r>
          </w:p>
          <w:p w:rsidR="003666DE" w:rsidRPr="00650E1B" w:rsidP="00C85D0F" w14:paraId="10D901EF" w14:textId="77777777">
            <w:pPr>
              <w:pStyle w:val="EPTerm"/>
            </w:pPr>
            <w:r w:rsidRPr="00650E1B">
              <w:t>2024-2029</w:t>
            </w:r>
          </w:p>
        </w:tc>
        <w:tc>
          <w:tcPr>
            <w:tcW w:w="2268" w:type="dxa"/>
            <w:shd w:val="clear" w:color="auto" w:fill="auto"/>
          </w:tcPr>
          <w:p w:rsidR="003666DE" w:rsidRPr="00650E1B" w:rsidP="00C85D0F" w14:paraId="702BF7ED" w14:textId="77777777">
            <w:pPr>
              <w:pStyle w:val="EPLogo"/>
            </w:pPr>
            <w:r w:rsidRPr="00650E1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456818"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00C7D" w:rsidRPr="00650E1B" w:rsidP="00000C7D" w14:paraId="7E22364F" w14:textId="77777777">
      <w:pPr>
        <w:pStyle w:val="LineTop"/>
      </w:pPr>
    </w:p>
    <w:p w:rsidR="00000C7D" w:rsidRPr="00650E1B" w:rsidP="00000C7D" w14:paraId="018A6758" w14:textId="77777777">
      <w:pPr>
        <w:pStyle w:val="EPBody"/>
      </w:pPr>
      <w:r w:rsidRPr="00650E1B">
        <w:rPr>
          <w:rStyle w:val="HideTWBExt"/>
        </w:rPr>
        <w:t>&lt;</w:t>
      </w:r>
      <w:r w:rsidRPr="00650E1B">
        <w:rPr>
          <w:rStyle w:val="HideTWBExt"/>
          <w:i w:val="0"/>
        </w:rPr>
        <w:t>Commission</w:t>
      </w:r>
      <w:r w:rsidRPr="00650E1B">
        <w:rPr>
          <w:rStyle w:val="HideTWBExt"/>
        </w:rPr>
        <w:t>&gt;</w:t>
      </w:r>
      <w:r w:rsidRPr="00650E1B">
        <w:rPr>
          <w:rStyle w:val="HideTWBInt"/>
          <w:color w:val="auto"/>
        </w:rPr>
        <w:t>{JURI}</w:t>
      </w:r>
      <w:r w:rsidRPr="00650E1B">
        <w:t>Комисия по правни въпроси</w:t>
      </w:r>
      <w:r w:rsidRPr="00650E1B">
        <w:rPr>
          <w:rStyle w:val="HideTWBExt"/>
        </w:rPr>
        <w:t>&lt;/</w:t>
      </w:r>
      <w:r w:rsidRPr="00650E1B">
        <w:rPr>
          <w:rStyle w:val="HideTWBExt"/>
          <w:i w:val="0"/>
        </w:rPr>
        <w:t>Commission</w:t>
      </w:r>
      <w:r w:rsidRPr="00650E1B">
        <w:rPr>
          <w:rStyle w:val="HideTWBExt"/>
        </w:rPr>
        <w:t>&gt;</w:t>
      </w:r>
    </w:p>
    <w:p w:rsidR="00000C7D" w:rsidRPr="00650E1B" w:rsidP="00000C7D" w14:paraId="35AB4B26" w14:textId="77777777">
      <w:pPr>
        <w:pStyle w:val="EPBody"/>
      </w:pPr>
      <w:r w:rsidRPr="00650E1B">
        <w:t>Председателят</w:t>
      </w:r>
    </w:p>
    <w:p w:rsidR="00000C7D" w:rsidRPr="00650E1B" w:rsidP="00000C7D" w14:paraId="076EC2C8" w14:textId="77777777">
      <w:pPr>
        <w:pStyle w:val="LineBottom"/>
      </w:pPr>
    </w:p>
    <w:p w:rsidR="00E71F4C" w:rsidRPr="00650E1B" w:rsidP="00A04228" w14:paraId="3F3326A8" w14:textId="77777777">
      <w:pPr>
        <w:pStyle w:val="LetterDate"/>
      </w:pPr>
      <w:r w:rsidRPr="00650E1B">
        <w:rPr>
          <w:rStyle w:val="HideTWBExt"/>
        </w:rPr>
        <w:t>&lt;Date&gt;</w:t>
      </w:r>
      <w:r w:rsidRPr="00650E1B">
        <w:rPr>
          <w:rStyle w:val="HideTWBInt"/>
          <w:color w:val="auto"/>
        </w:rPr>
        <w:t>{23/07/2026}</w:t>
      </w:r>
      <w:r w:rsidRPr="00650E1B">
        <w:t>23.7.2026</w:t>
      </w:r>
      <w:r w:rsidRPr="00650E1B">
        <w:rPr>
          <w:rStyle w:val="HideTWBExt"/>
        </w:rPr>
        <w:t>&lt;/Date&gt;</w:t>
      </w:r>
    </w:p>
    <w:p w:rsidR="007179A7" w:rsidRPr="00650E1B" w14:paraId="285ED71F" w14:textId="77777777">
      <w:r w:rsidRPr="00650E1B">
        <w:t>г-жа Ли Андерсон</w:t>
      </w:r>
    </w:p>
    <w:p w:rsidR="007179A7" w:rsidRPr="00650E1B" w14:paraId="596F7CCD" w14:textId="77777777">
      <w:r w:rsidRPr="00650E1B">
        <w:t>Председател</w:t>
      </w:r>
    </w:p>
    <w:p w:rsidR="007179A7" w:rsidRPr="00650E1B" w14:paraId="2513BBAF" w14:textId="77777777">
      <w:r w:rsidRPr="00650E1B">
        <w:t>Комисия по заетост и социални въпроси</w:t>
      </w:r>
    </w:p>
    <w:p w:rsidR="007179A7" w:rsidRPr="00650E1B" w14:paraId="0114020B" w14:textId="77777777">
      <w:r w:rsidRPr="00650E1B">
        <w:t>БРЮКСЕЛ</w:t>
      </w:r>
    </w:p>
    <w:p w:rsidR="009F796C" w:rsidRPr="00650E1B" w:rsidP="009F796C" w14:paraId="779F0ED3" w14:textId="77777777">
      <w:pPr>
        <w:pStyle w:val="LetterSubject"/>
      </w:pPr>
      <w:r w:rsidRPr="00650E1B">
        <w:t>Относно:</w:t>
      </w:r>
      <w:r w:rsidRPr="00650E1B">
        <w:tab/>
      </w:r>
      <w:r w:rsidRPr="00650E1B">
        <w:rPr>
          <w:rStyle w:val="HideTWBExt"/>
        </w:rPr>
        <w:t>&lt;Titre&gt;</w:t>
      </w:r>
      <w:r w:rsidRPr="00650E1B">
        <w:t xml:space="preserve">Становище </w:t>
      </w:r>
      <w:r w:rsidRPr="00650E1B">
        <w:t>относно правното основание на препоръките към Комисията относно психосоциалния риск, стреса и психичното здраве на работното място</w:t>
      </w:r>
      <w:r w:rsidRPr="00650E1B">
        <w:rPr>
          <w:rStyle w:val="HideTWBExt"/>
        </w:rPr>
        <w:t>&lt;/Titre&gt;&lt;DocRef&gt;</w:t>
      </w:r>
      <w:r w:rsidRPr="00650E1B">
        <w:t>(2026/2023(INL))</w:t>
      </w:r>
      <w:r w:rsidRPr="00650E1B">
        <w:rPr>
          <w:rStyle w:val="HideTWBExt"/>
        </w:rPr>
        <w:t>&lt;/DocRef&gt;</w:t>
      </w:r>
    </w:p>
    <w:p w:rsidR="00621E55" w:rsidRPr="00650E1B" w:rsidP="00621E55" w14:paraId="2C08A2A6" w14:textId="77777777">
      <w:pPr>
        <w:pStyle w:val="LetterSalutation"/>
      </w:pPr>
      <w:r w:rsidRPr="00650E1B">
        <w:t>Уважаема госпожо Председател,</w:t>
      </w:r>
    </w:p>
    <w:p w:rsidR="00621E55" w:rsidRPr="00650E1B" w:rsidP="00621E55" w14:paraId="62549232" w14:textId="77777777">
      <w:pPr>
        <w:jc w:val="both"/>
      </w:pPr>
      <w:r w:rsidRPr="00650E1B">
        <w:t xml:space="preserve">На 21 ноември 2025 г. комисията по заетост и </w:t>
      </w:r>
      <w:r w:rsidRPr="00650E1B">
        <w:t xml:space="preserve">социални въпроси (EMPL) поиска разрешение за изготвяне по член 47 от Правилника за дейността на законодателен доклад по собствена инициатива съгласно член 225 от Договора за функционирането на Европейския съюз (ДФЕС), озаглавен „Психосоциален риск, стрес и психично здраве на работното място“ („предложението за законодателен доклад по собствена инициатива“). На 4 март 2026 г. Председателският съвет предостави разрешение на комисията EMPL. </w:t>
      </w:r>
    </w:p>
    <w:p w:rsidR="00621E55" w:rsidRPr="00650E1B" w:rsidP="00621E55" w14:paraId="61796479" w14:textId="77777777">
      <w:pPr>
        <w:pStyle w:val="Default"/>
        <w:jc w:val="both"/>
        <w:rPr>
          <w:rFonts w:ascii="Times New Roman" w:hAnsi="Times New Roman" w:cs="Times New Roman"/>
        </w:rPr>
      </w:pPr>
    </w:p>
    <w:p w:rsidR="00621E55" w:rsidRPr="00650E1B" w:rsidP="00621E55" w14:paraId="09106DC5" w14:textId="77777777">
      <w:pPr>
        <w:jc w:val="both"/>
      </w:pPr>
      <w:r w:rsidRPr="00650E1B">
        <w:t>С писмо от 27 март 2026 г. комисията EMPL поиска от комисията по правни въпроси (JURI) да представи становище съгласно член 47, параграф 3 относно целесъобразността на правното основание за доклада по собствена инициатива, а именно член 153, параграф 2, буква б) във връзка с член 153, параграф 1, буква а) от Договора за функционирането на Европейския съюз (ДФЕС).</w:t>
      </w:r>
    </w:p>
    <w:p w:rsidR="00621E55" w:rsidRPr="00650E1B" w:rsidP="00621E55" w14:paraId="564FE30D" w14:textId="77777777">
      <w:pPr>
        <w:pStyle w:val="Default"/>
        <w:jc w:val="both"/>
        <w:rPr>
          <w:rFonts w:ascii="Times New Roman" w:hAnsi="Times New Roman" w:cs="Times New Roman"/>
        </w:rPr>
      </w:pPr>
    </w:p>
    <w:p w:rsidR="007179A7" w:rsidP="00BE7963" w14:paraId="3E377BB1" w14:textId="56B26756">
      <w:pPr>
        <w:pStyle w:val="Default"/>
        <w:jc w:val="both"/>
        <w:rPr>
          <w:rFonts w:ascii="Times New Roman" w:hAnsi="Times New Roman"/>
          <w:lang w:val="en-GB"/>
        </w:rPr>
      </w:pPr>
      <w:r w:rsidRPr="00650E1B">
        <w:rPr>
          <w:rFonts w:ascii="Times New Roman" w:hAnsi="Times New Roman"/>
        </w:rPr>
        <w:t>На своето заседание от 15 юли 2026 г. комисията JURI разгледа въпроса за целесъобразността на правното основание, предложено във въпросния проект на законодателен доклад по собствена инициатива.</w:t>
      </w:r>
    </w:p>
    <w:p w:rsidR="00BE7963" w:rsidRPr="00BE7963" w:rsidP="00BE7963" w14:paraId="68EE4445" w14:textId="77777777">
      <w:pPr>
        <w:pStyle w:val="Default"/>
        <w:jc w:val="both"/>
        <w:rPr>
          <w:lang w:val="en-GB"/>
        </w:rPr>
      </w:pPr>
    </w:p>
    <w:p w:rsidR="00621E55" w:rsidRPr="00650E1B" w:rsidP="00621E55" w14:paraId="71910BD7" w14:textId="77777777">
      <w:pPr>
        <w:jc w:val="both"/>
        <w:rPr>
          <w:b/>
          <w:bCs/>
          <w:u w:val="single"/>
        </w:rPr>
      </w:pPr>
      <w:r w:rsidRPr="00650E1B">
        <w:rPr>
          <w:b/>
          <w:u w:val="single"/>
        </w:rPr>
        <w:t>I</w:t>
      </w:r>
      <w:r w:rsidRPr="00650E1B">
        <w:rPr>
          <w:b/>
          <w:u w:val="single"/>
        </w:rPr>
        <w:t xml:space="preserve"> – Контекст</w:t>
      </w:r>
    </w:p>
    <w:p w:rsidR="00621E55" w:rsidRPr="00650E1B" w:rsidP="00621E55" w14:paraId="64802F70" w14:textId="77777777">
      <w:pPr>
        <w:jc w:val="both"/>
      </w:pPr>
    </w:p>
    <w:p w:rsidR="00621E55" w:rsidRPr="00650E1B" w:rsidP="00621E55" w14:paraId="24A8D11A" w14:textId="77777777">
      <w:pPr>
        <w:jc w:val="both"/>
      </w:pPr>
      <w:r w:rsidRPr="00650E1B">
        <w:t xml:space="preserve">Искането за разрешение за изготвяне на законодателния доклад по собствена инициатива беше отправено съгласно глава VIII, точка 3 от приложение VI към Правилника за дейността, с която на комисията EMPL се предоставя компетентност в областта на </w:t>
      </w:r>
      <w:r w:rsidRPr="00650E1B">
        <w:t xml:space="preserve">мерките за здраве и безопасност на работното място. </w:t>
      </w:r>
    </w:p>
    <w:p w:rsidR="00621E55" w:rsidRPr="00650E1B" w:rsidP="00621E55" w14:paraId="7B6A9E1F" w14:textId="77777777">
      <w:pPr>
        <w:jc w:val="both"/>
      </w:pPr>
    </w:p>
    <w:p w:rsidR="007172C8" w:rsidP="00BE7963" w14:paraId="0B4289EF" w14:textId="5524F4A4">
      <w:pPr>
        <w:jc w:val="both"/>
        <w:rPr>
          <w:lang w:val="en-GB"/>
        </w:rPr>
      </w:pPr>
      <w:r w:rsidRPr="00650E1B">
        <w:t xml:space="preserve">Целта на предложението за законодателен доклад по собствена инициатива е да се прикани Комисията да направи законодателно предложение относно психосоциалния риск и благосъстоянието на работното място, насочено към ефективна превенция на психосоциалния риск на работното място, например тревожност, депресия, професионално изчерпване и стрес, включително рискове, причинени от структурни проблеми като организацията на труда (т.е. лошо управление, лошо планиране на работата или неправилно съчетаване на знанията </w:t>
      </w:r>
      <w:r w:rsidRPr="00650E1B">
        <w:t xml:space="preserve">и способностите на работниците с възложените задачи). Парламентът прикани Комисията да представи такова предложение по време на обсъждане в пленарна зала през май 2025 г. </w:t>
      </w:r>
    </w:p>
    <w:p w:rsidR="00BE7963" w:rsidRPr="00BE7963" w:rsidP="00BE7963" w14:paraId="384F5666" w14:textId="77777777">
      <w:pPr>
        <w:jc w:val="both"/>
        <w:rPr>
          <w:lang w:val="en-GB"/>
        </w:rPr>
      </w:pPr>
    </w:p>
    <w:p w:rsidR="00621E55" w:rsidRPr="00650E1B" w:rsidP="00621E55" w14:paraId="12B24A94" w14:textId="77777777">
      <w:pPr>
        <w:jc w:val="both"/>
        <w:rPr>
          <w:rStyle w:val="Nessuno"/>
          <w:b/>
          <w:bCs/>
        </w:rPr>
      </w:pPr>
      <w:r w:rsidRPr="00650E1B">
        <w:rPr>
          <w:b/>
          <w:u w:val="single"/>
        </w:rPr>
        <w:t>I</w:t>
      </w:r>
      <w:r w:rsidRPr="00650E1B">
        <w:rPr>
          <w:b/>
          <w:u w:val="single"/>
        </w:rPr>
        <w:t>I – Относими членове от Договора</w:t>
      </w:r>
    </w:p>
    <w:p w:rsidR="00621E55" w:rsidRPr="00650E1B" w:rsidP="00621E55" w14:paraId="5CE3BE72" w14:textId="77777777">
      <w:pPr>
        <w:tabs>
          <w:tab w:val="left" w:pos="7014"/>
        </w:tabs>
        <w:rPr>
          <w:rStyle w:val="Nessuno"/>
          <w:bCs/>
        </w:rPr>
      </w:pPr>
    </w:p>
    <w:p w:rsidR="00621E55" w:rsidRPr="00650E1B" w:rsidP="00621E55" w14:paraId="280DFB79" w14:textId="77777777">
      <w:pPr>
        <w:tabs>
          <w:tab w:val="left" w:pos="7014"/>
        </w:tabs>
        <w:rPr>
          <w:rStyle w:val="Nessuno"/>
          <w:bCs/>
          <w:i/>
        </w:rPr>
      </w:pPr>
      <w:r w:rsidRPr="00650E1B">
        <w:rPr>
          <w:rStyle w:val="Nessuno"/>
          <w:i/>
        </w:rPr>
        <w:t xml:space="preserve">Част </w:t>
      </w:r>
      <w:r w:rsidRPr="00650E1B">
        <w:rPr>
          <w:rStyle w:val="Nessuno"/>
          <w:i/>
        </w:rPr>
        <w:t>трета, дял X от ДФЕС („Социална политика“) гласи, наред с другото (подчертаването е добавено):</w:t>
      </w:r>
    </w:p>
    <w:p w:rsidR="00621E55" w:rsidRPr="00650E1B" w:rsidP="00621E55" w14:paraId="3B75258D" w14:textId="77777777">
      <w:pPr>
        <w:tabs>
          <w:tab w:val="left" w:pos="7014"/>
        </w:tabs>
        <w:rPr>
          <w:rStyle w:val="Nessuno"/>
          <w:bCs/>
          <w:i/>
        </w:rPr>
      </w:pPr>
    </w:p>
    <w:p w:rsidR="00621E55" w:rsidRPr="00650E1B" w:rsidP="00621E55" w14:paraId="182E6ED6" w14:textId="77777777">
      <w:pPr>
        <w:tabs>
          <w:tab w:val="left" w:pos="7014"/>
        </w:tabs>
        <w:jc w:val="center"/>
      </w:pPr>
      <w:r w:rsidRPr="00650E1B">
        <w:rPr>
          <w:i/>
        </w:rPr>
        <w:t>Член 153</w:t>
      </w:r>
    </w:p>
    <w:p w:rsidR="00621E55" w:rsidRPr="00650E1B" w:rsidP="00621E55" w14:paraId="485ECEB3" w14:textId="77777777">
      <w:pPr>
        <w:tabs>
          <w:tab w:val="left" w:pos="7014"/>
        </w:tabs>
        <w:jc w:val="center"/>
        <w:rPr>
          <w:bCs/>
          <w:i/>
        </w:rPr>
      </w:pPr>
      <w:r w:rsidRPr="00650E1B">
        <w:rPr>
          <w:i/>
        </w:rPr>
        <w:t xml:space="preserve">(предишен член 137 от ДЕО) </w:t>
      </w:r>
    </w:p>
    <w:p w:rsidR="00621E55" w:rsidRPr="00650E1B" w:rsidP="00621E55" w14:paraId="782C8363" w14:textId="77777777">
      <w:pPr>
        <w:tabs>
          <w:tab w:val="left" w:pos="7014"/>
        </w:tabs>
        <w:jc w:val="center"/>
        <w:rPr>
          <w:rStyle w:val="Nessuno"/>
        </w:rPr>
      </w:pPr>
    </w:p>
    <w:p w:rsidR="00621E55" w:rsidRPr="00650E1B" w:rsidP="00621E55" w14:paraId="5EB96F6A" w14:textId="77777777">
      <w:pPr>
        <w:spacing w:after="240"/>
        <w:ind w:left="567" w:hanging="567"/>
        <w:jc w:val="both"/>
        <w:rPr>
          <w:b/>
        </w:rPr>
      </w:pPr>
      <w:r w:rsidRPr="00650E1B">
        <w:rPr>
          <w:b/>
          <w:i/>
        </w:rPr>
        <w:t>1.</w:t>
      </w:r>
      <w:r w:rsidRPr="00650E1B">
        <w:rPr>
          <w:b/>
          <w:i/>
        </w:rPr>
        <w:tab/>
        <w:t>С оглед постигането на целите на член 151, Съюзът подкрепя и допълва дейностите на държавите-членки в следните области:</w:t>
      </w:r>
      <w:r w:rsidRPr="00650E1B">
        <w:rPr>
          <w:b/>
          <w:i/>
          <w:vanish/>
        </w:rPr>
        <w:t xml:space="preserve">(a) </w:t>
      </w:r>
      <w:r w:rsidRPr="00650E1B">
        <w:rPr>
          <w:b/>
          <w:i/>
          <w:vanish/>
        </w:rPr>
        <w:tab/>
        <w:t>improvement in particular of the working environment to protect workers’ health and safety;</w:t>
      </w:r>
    </w:p>
    <w:p w:rsidR="00621E55" w:rsidRPr="00650E1B" w:rsidP="00621E55" w14:paraId="0AF4187E" w14:textId="77777777">
      <w:pPr>
        <w:ind w:left="1134" w:hanging="567"/>
        <w:rPr>
          <w:b/>
          <w:bCs/>
          <w:i/>
          <w:iCs/>
        </w:rPr>
      </w:pPr>
      <w:r w:rsidRPr="00650E1B">
        <w:rPr>
          <w:b/>
          <w:i/>
        </w:rPr>
        <w:t xml:space="preserve">a) </w:t>
      </w:r>
      <w:r w:rsidRPr="00650E1B">
        <w:rPr>
          <w:b/>
          <w:i/>
        </w:rPr>
        <w:tab/>
        <w:t>подобряване в частност на работната среда с цел закрилата на здравето и безопасността на работниците;</w:t>
      </w:r>
    </w:p>
    <w:p w:rsidR="00621E55" w:rsidRPr="00650E1B" w:rsidP="00621E55" w14:paraId="515C4B3A" w14:textId="77777777">
      <w:pPr>
        <w:ind w:left="1134" w:hanging="567"/>
        <w:rPr>
          <w:i/>
          <w:iCs/>
        </w:rPr>
      </w:pPr>
    </w:p>
    <w:p w:rsidR="00621E55" w:rsidRPr="00650E1B" w:rsidP="00621E55" w14:paraId="5CBEC56A" w14:textId="77777777">
      <w:pPr>
        <w:ind w:left="1134" w:hanging="567"/>
        <w:rPr>
          <w:i/>
          <w:iCs/>
        </w:rPr>
      </w:pPr>
      <w:r w:rsidRPr="00650E1B">
        <w:rPr>
          <w:i/>
        </w:rPr>
        <w:t xml:space="preserve">б) </w:t>
      </w:r>
      <w:r w:rsidRPr="00650E1B">
        <w:rPr>
          <w:i/>
        </w:rPr>
        <w:tab/>
        <w:t xml:space="preserve">условия на труд; </w:t>
      </w:r>
    </w:p>
    <w:p w:rsidR="00621E55" w:rsidRPr="00650E1B" w:rsidP="00621E55" w14:paraId="1DA84914" w14:textId="77777777">
      <w:pPr>
        <w:ind w:left="1134" w:hanging="567"/>
        <w:rPr>
          <w:i/>
          <w:iCs/>
        </w:rPr>
      </w:pPr>
    </w:p>
    <w:p w:rsidR="00621E55" w:rsidRPr="00650E1B" w:rsidP="00621E55" w14:paraId="5C084860" w14:textId="77777777">
      <w:pPr>
        <w:ind w:left="1134" w:hanging="567"/>
        <w:rPr>
          <w:i/>
          <w:iCs/>
        </w:rPr>
      </w:pPr>
      <w:r w:rsidRPr="00650E1B">
        <w:rPr>
          <w:i/>
        </w:rPr>
        <w:t xml:space="preserve">в) </w:t>
      </w:r>
      <w:r w:rsidRPr="00650E1B">
        <w:rPr>
          <w:i/>
        </w:rPr>
        <w:tab/>
        <w:t xml:space="preserve">социална </w:t>
      </w:r>
      <w:r w:rsidRPr="00650E1B">
        <w:rPr>
          <w:i/>
        </w:rPr>
        <w:t xml:space="preserve">сигурност и социална закрила на работниците; </w:t>
      </w:r>
    </w:p>
    <w:p w:rsidR="00621E55" w:rsidRPr="00650E1B" w:rsidP="00621E55" w14:paraId="44CD68FC" w14:textId="77777777">
      <w:pPr>
        <w:ind w:left="1134" w:hanging="567"/>
        <w:rPr>
          <w:i/>
          <w:iCs/>
        </w:rPr>
      </w:pPr>
    </w:p>
    <w:p w:rsidR="00621E55" w:rsidRPr="00650E1B" w:rsidP="00621E55" w14:paraId="17416AC9" w14:textId="77777777">
      <w:pPr>
        <w:ind w:left="1134" w:hanging="567"/>
        <w:rPr>
          <w:i/>
          <w:iCs/>
        </w:rPr>
      </w:pPr>
      <w:r w:rsidRPr="00650E1B">
        <w:rPr>
          <w:i/>
        </w:rPr>
        <w:t xml:space="preserve">г) </w:t>
      </w:r>
      <w:r w:rsidRPr="00650E1B">
        <w:rPr>
          <w:i/>
        </w:rPr>
        <w:tab/>
        <w:t xml:space="preserve">закрила на работниците при прекратяване на трудовия договор; </w:t>
      </w:r>
    </w:p>
    <w:p w:rsidR="00621E55" w:rsidRPr="00650E1B" w:rsidP="00621E55" w14:paraId="43AA4F53" w14:textId="77777777">
      <w:pPr>
        <w:ind w:left="1134" w:hanging="567"/>
        <w:rPr>
          <w:i/>
          <w:iCs/>
        </w:rPr>
      </w:pPr>
    </w:p>
    <w:p w:rsidR="00621E55" w:rsidRPr="00650E1B" w:rsidP="00621E55" w14:paraId="77B206BB" w14:textId="77777777">
      <w:pPr>
        <w:ind w:left="1134" w:hanging="567"/>
        <w:rPr>
          <w:i/>
          <w:iCs/>
        </w:rPr>
      </w:pPr>
      <w:r w:rsidRPr="00650E1B">
        <w:rPr>
          <w:i/>
        </w:rPr>
        <w:t xml:space="preserve">д) </w:t>
      </w:r>
      <w:r w:rsidRPr="00650E1B">
        <w:rPr>
          <w:i/>
        </w:rPr>
        <w:tab/>
        <w:t>информиране и консултиране на работниците;</w:t>
      </w:r>
    </w:p>
    <w:p w:rsidR="00621E55" w:rsidRPr="00650E1B" w:rsidP="00621E55" w14:paraId="03B91D23" w14:textId="77777777">
      <w:pPr>
        <w:ind w:left="1134" w:hanging="567"/>
        <w:rPr>
          <w:i/>
          <w:iCs/>
        </w:rPr>
      </w:pPr>
    </w:p>
    <w:p w:rsidR="00621E55" w:rsidRPr="00650E1B" w:rsidP="00621E55" w14:paraId="6F9F7C16" w14:textId="77777777">
      <w:pPr>
        <w:ind w:left="1134" w:hanging="567"/>
        <w:rPr>
          <w:i/>
          <w:iCs/>
        </w:rPr>
      </w:pPr>
      <w:r w:rsidRPr="00650E1B">
        <w:rPr>
          <w:i/>
        </w:rPr>
        <w:t xml:space="preserve">e) </w:t>
      </w:r>
      <w:r w:rsidRPr="00650E1B">
        <w:rPr>
          <w:i/>
        </w:rPr>
        <w:tab/>
        <w:t xml:space="preserve">представителство и колективна защита на интересите на работниците и работодателите, включително съвместно вземане на решения при спазване на параграф 5; </w:t>
      </w:r>
    </w:p>
    <w:p w:rsidR="00621E55" w:rsidRPr="00650E1B" w:rsidP="00621E55" w14:paraId="546856EB" w14:textId="77777777">
      <w:pPr>
        <w:ind w:left="1134" w:hanging="567"/>
        <w:rPr>
          <w:i/>
          <w:iCs/>
        </w:rPr>
      </w:pPr>
    </w:p>
    <w:p w:rsidR="00621E55" w:rsidRPr="00650E1B" w:rsidP="00621E55" w14:paraId="41DB6A2F" w14:textId="77777777">
      <w:pPr>
        <w:ind w:left="1134" w:hanging="567"/>
        <w:rPr>
          <w:i/>
          <w:iCs/>
        </w:rPr>
      </w:pPr>
      <w:r w:rsidRPr="00650E1B">
        <w:rPr>
          <w:i/>
        </w:rPr>
        <w:t xml:space="preserve">ж) </w:t>
      </w:r>
      <w:r w:rsidRPr="00650E1B">
        <w:rPr>
          <w:i/>
        </w:rPr>
        <w:tab/>
        <w:t xml:space="preserve">условия за заетост на граждани на трети страни, законно пребиваващи на територията на Съюза; </w:t>
      </w:r>
    </w:p>
    <w:p w:rsidR="00621E55" w:rsidRPr="00650E1B" w:rsidP="00621E55" w14:paraId="19856DBC" w14:textId="77777777">
      <w:pPr>
        <w:ind w:left="1134" w:hanging="567"/>
        <w:rPr>
          <w:i/>
          <w:iCs/>
        </w:rPr>
      </w:pPr>
    </w:p>
    <w:p w:rsidR="00621E55" w:rsidRPr="00650E1B" w:rsidP="00621E55" w14:paraId="2ECF84EA" w14:textId="77777777">
      <w:pPr>
        <w:ind w:left="1134" w:hanging="567"/>
        <w:rPr>
          <w:i/>
          <w:iCs/>
        </w:rPr>
      </w:pPr>
      <w:r w:rsidRPr="00650E1B">
        <w:rPr>
          <w:i/>
        </w:rPr>
        <w:t xml:space="preserve">з) </w:t>
      </w:r>
      <w:r w:rsidRPr="00650E1B">
        <w:rPr>
          <w:i/>
        </w:rPr>
        <w:tab/>
        <w:t xml:space="preserve">интегриране на лицата, изключени от пазара на труда, без да се засяга член 166; </w:t>
      </w:r>
    </w:p>
    <w:p w:rsidR="00621E55" w:rsidRPr="00650E1B" w:rsidP="00621E55" w14:paraId="6A2AC0A6" w14:textId="77777777">
      <w:pPr>
        <w:ind w:left="1134" w:hanging="567"/>
        <w:rPr>
          <w:i/>
          <w:iCs/>
        </w:rPr>
      </w:pPr>
    </w:p>
    <w:p w:rsidR="00621E55" w:rsidRPr="00650E1B" w:rsidP="00621E55" w14:paraId="052D90A0" w14:textId="77777777">
      <w:pPr>
        <w:ind w:left="1134" w:hanging="567"/>
        <w:rPr>
          <w:i/>
          <w:iCs/>
        </w:rPr>
      </w:pPr>
      <w:r w:rsidRPr="00650E1B">
        <w:rPr>
          <w:i/>
        </w:rPr>
        <w:t xml:space="preserve">и) </w:t>
      </w:r>
      <w:r w:rsidRPr="00650E1B">
        <w:rPr>
          <w:i/>
        </w:rPr>
        <w:tab/>
        <w:t xml:space="preserve">равенство между мъже и жени по отношение на възможностите на пазара на труда и третирането при работа; </w:t>
      </w:r>
    </w:p>
    <w:p w:rsidR="00621E55" w:rsidRPr="00650E1B" w:rsidP="00621E55" w14:paraId="40120851" w14:textId="77777777">
      <w:pPr>
        <w:ind w:left="1134" w:hanging="567"/>
        <w:rPr>
          <w:i/>
          <w:iCs/>
        </w:rPr>
      </w:pPr>
    </w:p>
    <w:p w:rsidR="00621E55" w:rsidRPr="00650E1B" w:rsidP="00621E55" w14:paraId="0ED5DC20" w14:textId="77777777">
      <w:pPr>
        <w:ind w:left="1134" w:hanging="567"/>
        <w:rPr>
          <w:i/>
          <w:iCs/>
        </w:rPr>
      </w:pPr>
      <w:r w:rsidRPr="00650E1B">
        <w:rPr>
          <w:i/>
        </w:rPr>
        <w:t xml:space="preserve">й) </w:t>
      </w:r>
      <w:r w:rsidRPr="00650E1B">
        <w:rPr>
          <w:i/>
        </w:rPr>
        <w:tab/>
        <w:t xml:space="preserve">борба срещу социалното изключване; </w:t>
      </w:r>
    </w:p>
    <w:p w:rsidR="00621E55" w:rsidRPr="00650E1B" w:rsidP="00621E55" w14:paraId="3D6A8327" w14:textId="77777777">
      <w:pPr>
        <w:ind w:left="1134" w:hanging="567"/>
        <w:rPr>
          <w:i/>
          <w:iCs/>
        </w:rPr>
      </w:pPr>
    </w:p>
    <w:p w:rsidR="00621E55" w:rsidRPr="00650E1B" w:rsidP="00621E55" w14:paraId="3A364C9B" w14:textId="77777777">
      <w:pPr>
        <w:ind w:left="1134" w:hanging="567"/>
        <w:rPr>
          <w:i/>
          <w:iCs/>
        </w:rPr>
      </w:pPr>
      <w:r w:rsidRPr="00650E1B">
        <w:rPr>
          <w:i/>
        </w:rPr>
        <w:t>к) модернизация на системите за социална закрила, без да се засяга буква в).</w:t>
      </w:r>
    </w:p>
    <w:p w:rsidR="00621E55" w:rsidRPr="00650E1B" w:rsidP="00621E55" w14:paraId="50259D31" w14:textId="77777777">
      <w:pPr>
        <w:tabs>
          <w:tab w:val="left" w:pos="7014"/>
        </w:tabs>
        <w:jc w:val="both"/>
        <w:rPr>
          <w:bCs/>
          <w:i/>
        </w:rPr>
      </w:pPr>
    </w:p>
    <w:p w:rsidR="00621E55" w:rsidRPr="00650E1B" w:rsidP="00621E55" w14:paraId="4E0C3432" w14:textId="77777777">
      <w:pPr>
        <w:tabs>
          <w:tab w:val="left" w:pos="7014"/>
        </w:tabs>
        <w:spacing w:after="240"/>
        <w:ind w:left="567" w:hanging="567"/>
        <w:jc w:val="both"/>
        <w:rPr>
          <w:b/>
          <w:i/>
        </w:rPr>
      </w:pPr>
      <w:r w:rsidRPr="00650E1B">
        <w:rPr>
          <w:b/>
          <w:i/>
        </w:rPr>
        <w:t xml:space="preserve">2. </w:t>
      </w:r>
      <w:r w:rsidRPr="00650E1B">
        <w:rPr>
          <w:b/>
          <w:i/>
        </w:rPr>
        <w:tab/>
        <w:t>За целта Европейският парламент и Съветът:</w:t>
      </w:r>
    </w:p>
    <w:p w:rsidR="00621E55" w:rsidRPr="00650E1B" w:rsidP="00621E55" w14:paraId="453B425F" w14:textId="77777777">
      <w:pPr>
        <w:tabs>
          <w:tab w:val="left" w:pos="7014"/>
        </w:tabs>
        <w:spacing w:after="240"/>
        <w:ind w:left="1134" w:hanging="567"/>
        <w:jc w:val="both"/>
        <w:rPr>
          <w:bCs/>
          <w:i/>
        </w:rPr>
      </w:pPr>
      <w:r w:rsidRPr="00650E1B">
        <w:rPr>
          <w:i/>
        </w:rPr>
        <w:t xml:space="preserve">a) </w:t>
      </w:r>
      <w:r w:rsidRPr="00650E1B">
        <w:rPr>
          <w:i/>
        </w:rPr>
        <w:tab/>
        <w:t xml:space="preserve">могат да предприемат мерки, насочени към насърчаване на сътрудничеството между държавите-членки чрез инициативи, имащи за цел да подобрят познанието, да развият обмена на информация и на най-добри практики, да поощряват </w:t>
      </w:r>
      <w:r w:rsidRPr="00650E1B">
        <w:rPr>
          <w:i/>
        </w:rPr>
        <w:t>новаторски подходи и да оценяват опита, без хармонизиране на законовите и подзаконовите разпоредби на държавите-членки;</w:t>
      </w:r>
    </w:p>
    <w:p w:rsidR="00621E55" w:rsidRPr="00650E1B" w:rsidP="00621E55" w14:paraId="0D6E190C" w14:textId="77777777">
      <w:pPr>
        <w:tabs>
          <w:tab w:val="left" w:pos="7014"/>
        </w:tabs>
        <w:spacing w:after="240"/>
        <w:ind w:left="1134" w:hanging="567"/>
        <w:jc w:val="both"/>
        <w:rPr>
          <w:b/>
          <w:i/>
        </w:rPr>
      </w:pPr>
      <w:r w:rsidRPr="00650E1B">
        <w:rPr>
          <w:b/>
          <w:i/>
        </w:rPr>
        <w:t>б)</w:t>
      </w:r>
      <w:r w:rsidRPr="00650E1B">
        <w:rPr>
          <w:b/>
          <w:i/>
        </w:rPr>
        <w:tab/>
        <w:t>могат да приемат в областите, изброени в параграф 1, букви а) – и), посредством директиви, минимални изисквания, които следва да бъдат приложени постепенно, като се имат предвид условията и техническите правила във всяка държава-членка. Тези директиви избягват налагането на административни, финансови и правни ограничения по начин, който би попречил на създаването и развитието на малки и средни предприятия.</w:t>
      </w:r>
    </w:p>
    <w:p w:rsidR="00621E55" w:rsidRPr="00650E1B" w:rsidP="00621E55" w14:paraId="53C38F5D" w14:textId="77777777">
      <w:pPr>
        <w:tabs>
          <w:tab w:val="left" w:pos="7014"/>
        </w:tabs>
        <w:spacing w:after="240"/>
        <w:jc w:val="both"/>
        <w:rPr>
          <w:bCs/>
          <w:i/>
          <w:vanish/>
        </w:rPr>
      </w:pPr>
    </w:p>
    <w:p w:rsidR="00621E55" w:rsidRPr="00650E1B" w:rsidP="00621E55" w14:paraId="105FD0DC" w14:textId="77777777">
      <w:pPr>
        <w:tabs>
          <w:tab w:val="left" w:pos="7014"/>
        </w:tabs>
        <w:spacing w:after="240"/>
        <w:ind w:left="567"/>
        <w:jc w:val="both"/>
        <w:rPr>
          <w:bCs/>
          <w:i/>
        </w:rPr>
      </w:pPr>
      <w:r w:rsidRPr="00650E1B">
        <w:rPr>
          <w:i/>
        </w:rPr>
        <w:t>Европейският парламент и Съветът действат в съответствие с обикновената законодателна процедура след консултация с Икономическия и социален комитет и Комитета на регионите.</w:t>
      </w:r>
    </w:p>
    <w:p w:rsidR="00621E55" w:rsidRPr="00650E1B" w:rsidP="00621E55" w14:paraId="46DC34E1" w14:textId="77777777">
      <w:pPr>
        <w:tabs>
          <w:tab w:val="left" w:pos="7014"/>
        </w:tabs>
        <w:spacing w:after="240"/>
        <w:ind w:left="567"/>
        <w:jc w:val="both"/>
        <w:rPr>
          <w:bCs/>
          <w:i/>
        </w:rPr>
      </w:pPr>
      <w:r w:rsidRPr="00650E1B">
        <w:rPr>
          <w:i/>
        </w:rPr>
        <w:t xml:space="preserve">В областите, посочени в параграф 1, букви в), г), е) и ж), </w:t>
      </w:r>
      <w:r w:rsidRPr="00650E1B">
        <w:rPr>
          <w:i/>
        </w:rPr>
        <w:t>Съветът действа в съответствие със специална законодателна процедура, с единодушие, след консултация с Европейския парламент и посочените комитети.</w:t>
      </w:r>
    </w:p>
    <w:p w:rsidR="00621E55" w:rsidRPr="00650E1B" w:rsidP="00621E55" w14:paraId="08E574FB" w14:textId="77777777">
      <w:pPr>
        <w:tabs>
          <w:tab w:val="left" w:pos="7014"/>
        </w:tabs>
        <w:spacing w:after="240"/>
        <w:ind w:left="567"/>
        <w:jc w:val="both"/>
        <w:rPr>
          <w:bCs/>
          <w:i/>
        </w:rPr>
      </w:pPr>
      <w:r w:rsidRPr="00650E1B">
        <w:rPr>
          <w:i/>
        </w:rPr>
        <w:t>Съветът с единодушие, по предложение на Комисията, след като се консултира с Европейския парламент, може да вземе решение, обикновената законодателна процедура да бъде приложена към параграф 1, букви г), е) и ж).</w:t>
      </w:r>
    </w:p>
    <w:p w:rsidR="00621E55" w:rsidRPr="00650E1B" w:rsidP="00621E55" w14:paraId="65C58178" w14:textId="77777777">
      <w:pPr>
        <w:tabs>
          <w:tab w:val="left" w:pos="7014"/>
        </w:tabs>
        <w:spacing w:after="240"/>
        <w:ind w:left="567" w:hanging="567"/>
        <w:jc w:val="both"/>
        <w:rPr>
          <w:bCs/>
          <w:i/>
        </w:rPr>
      </w:pPr>
      <w:r w:rsidRPr="00650E1B">
        <w:rPr>
          <w:i/>
        </w:rPr>
        <w:t>3.</w:t>
      </w:r>
      <w:r w:rsidRPr="00650E1B">
        <w:rPr>
          <w:i/>
        </w:rPr>
        <w:tab/>
        <w:t>Държава-членка може да възложи на социалните партньори по тяхно съвместно искане прилагането на директивите, приети в съответствие с параграф 2 или, при необходимост, изпълнението на решение на Съвета, прието съгласно член 155.</w:t>
      </w:r>
    </w:p>
    <w:p w:rsidR="00621E55" w:rsidRPr="00650E1B" w:rsidP="00621E55" w14:paraId="6504D2F3" w14:textId="77777777">
      <w:pPr>
        <w:tabs>
          <w:tab w:val="left" w:pos="7014"/>
        </w:tabs>
        <w:spacing w:after="240"/>
        <w:ind w:left="567" w:hanging="567"/>
        <w:jc w:val="both"/>
        <w:rPr>
          <w:bCs/>
          <w:i/>
        </w:rPr>
      </w:pPr>
      <w:r w:rsidRPr="00650E1B">
        <w:rPr>
          <w:i/>
        </w:rPr>
        <w:tab/>
        <w:t>В този случай тя е длъжна да осигури не по-късно от датата, до която директивата или решението трябва да бъдат транспонирани или изпълнени, социалните партньори да са въвели необходимите мерки по споразумението, като от заинтересованата държава-членка се изисква да предприеме необходимите мерки, които да й позволят по всяко време да бъде в състояние да гарантира резултатите, изисквани от тази директива или това решение.</w:t>
      </w:r>
    </w:p>
    <w:p w:rsidR="00621E55" w:rsidRPr="00650E1B" w:rsidP="00621E55" w14:paraId="051DA5DF" w14:textId="77777777">
      <w:pPr>
        <w:tabs>
          <w:tab w:val="left" w:pos="7014"/>
        </w:tabs>
        <w:spacing w:after="240"/>
        <w:ind w:left="567" w:hanging="567"/>
        <w:jc w:val="both"/>
        <w:rPr>
          <w:bCs/>
          <w:i/>
        </w:rPr>
      </w:pPr>
      <w:r w:rsidRPr="00650E1B">
        <w:rPr>
          <w:i/>
        </w:rPr>
        <w:t>4.</w:t>
      </w:r>
      <w:r w:rsidRPr="00650E1B">
        <w:rPr>
          <w:i/>
        </w:rPr>
        <w:tab/>
        <w:t>Разпоредбите, приети в съответствие с настоящия член:</w:t>
      </w:r>
    </w:p>
    <w:p w:rsidR="00621E55" w:rsidRPr="00650E1B" w:rsidP="00621E55" w14:paraId="5D711D93" w14:textId="77777777">
      <w:pPr>
        <w:tabs>
          <w:tab w:val="left" w:pos="7014"/>
        </w:tabs>
        <w:spacing w:after="240"/>
        <w:ind w:left="1134" w:hanging="567"/>
        <w:jc w:val="both"/>
        <w:rPr>
          <w:bCs/>
          <w:i/>
        </w:rPr>
      </w:pPr>
      <w:r w:rsidRPr="00650E1B">
        <w:rPr>
          <w:i/>
        </w:rPr>
        <w:t xml:space="preserve">- </w:t>
      </w:r>
      <w:r w:rsidRPr="00650E1B">
        <w:rPr>
          <w:i/>
        </w:rPr>
        <w:tab/>
        <w:t xml:space="preserve">не засягат правото на държавите-членки да определят основните принципи </w:t>
      </w:r>
      <w:r w:rsidRPr="00650E1B">
        <w:rPr>
          <w:i/>
        </w:rPr>
        <w:t>на техните системи за социална сигурност и не могат да оказват съществено влияние върху финансовото равновесие на тези системи;</w:t>
      </w:r>
    </w:p>
    <w:p w:rsidR="00621E55" w:rsidRPr="00650E1B" w:rsidP="00621E55" w14:paraId="578867C5" w14:textId="77777777">
      <w:pPr>
        <w:tabs>
          <w:tab w:val="left" w:pos="7014"/>
        </w:tabs>
        <w:spacing w:after="240"/>
        <w:ind w:left="1134" w:hanging="567"/>
        <w:jc w:val="both"/>
        <w:rPr>
          <w:bCs/>
          <w:i/>
        </w:rPr>
      </w:pPr>
      <w:r w:rsidRPr="00650E1B">
        <w:rPr>
          <w:i/>
        </w:rPr>
        <w:t>-</w:t>
      </w:r>
      <w:r w:rsidRPr="00650E1B">
        <w:rPr>
          <w:i/>
        </w:rPr>
        <w:tab/>
        <w:t>не са пречка за държавите-членки, които желаят да запазят или въведат по-строги предпазни мерки, съвместими с Договорите.</w:t>
      </w:r>
    </w:p>
    <w:p w:rsidR="00621E55" w:rsidRPr="00650E1B" w:rsidP="00621E55" w14:paraId="2701C277" w14:textId="77777777">
      <w:pPr>
        <w:tabs>
          <w:tab w:val="left" w:pos="7014"/>
        </w:tabs>
        <w:spacing w:after="240"/>
        <w:jc w:val="both"/>
        <w:rPr>
          <w:bCs/>
          <w:i/>
          <w:vanish/>
        </w:rPr>
      </w:pPr>
    </w:p>
    <w:p w:rsidR="00621E55" w:rsidRPr="00650E1B" w:rsidP="00621E55" w14:paraId="098E172A" w14:textId="27098795">
      <w:pPr>
        <w:tabs>
          <w:tab w:val="left" w:pos="7014"/>
        </w:tabs>
        <w:spacing w:after="120"/>
        <w:ind w:left="567" w:hanging="567"/>
        <w:jc w:val="both"/>
        <w:rPr>
          <w:bCs/>
          <w:i/>
        </w:rPr>
      </w:pPr>
      <w:r w:rsidRPr="00650E1B">
        <w:rPr>
          <w:i/>
        </w:rPr>
        <w:t>5.</w:t>
      </w:r>
      <w:r>
        <w:rPr>
          <w:i/>
        </w:rPr>
        <w:t xml:space="preserve"> </w:t>
      </w:r>
      <w:r w:rsidRPr="00650E1B">
        <w:rPr>
          <w:i/>
        </w:rPr>
        <w:tab/>
        <w:t>Разпоредбите на настоящия член не се прилагат спрямо заплащането, правото на сдружаване или правото да се налага локаут.</w:t>
      </w:r>
    </w:p>
    <w:p w:rsidR="007172C8" w:rsidRPr="00650E1B" w:rsidP="007172C8" w14:paraId="2B1B681F" w14:textId="77777777">
      <w:pPr>
        <w:pStyle w:val="Normal12a"/>
        <w:spacing w:after="120"/>
        <w:rPr>
          <w:b/>
          <w:u w:val="single"/>
        </w:rPr>
      </w:pPr>
    </w:p>
    <w:p w:rsidR="00621E55" w:rsidRPr="00650E1B" w:rsidP="00621E55" w14:paraId="55763A23" w14:textId="77777777">
      <w:pPr>
        <w:spacing w:after="240"/>
        <w:jc w:val="both"/>
        <w:rPr>
          <w:b/>
          <w:u w:val="single"/>
        </w:rPr>
      </w:pPr>
      <w:r w:rsidRPr="00650E1B">
        <w:rPr>
          <w:b/>
          <w:u w:val="single"/>
        </w:rPr>
        <w:t>III – Практика на Съда на ЕС относно избора на правно основание</w:t>
      </w:r>
    </w:p>
    <w:p w:rsidR="00621E55" w:rsidRPr="00650E1B" w:rsidP="00621E55" w14:paraId="33A1387E" w14:textId="77777777">
      <w:pPr>
        <w:pStyle w:val="Point123"/>
        <w:numPr>
          <w:ilvl w:val="0"/>
          <w:numId w:val="0"/>
        </w:numPr>
        <w:tabs>
          <w:tab w:val="left" w:pos="720"/>
        </w:tabs>
        <w:spacing w:before="0" w:after="0" w:line="240" w:lineRule="auto"/>
        <w:jc w:val="both"/>
      </w:pPr>
      <w:r w:rsidRPr="00650E1B">
        <w:t xml:space="preserve">Съдът на Европейския съюз традиционно разглежда въпроса за целесъобразността на правното основание като въпрос от първостепенно значение, който гарантира спазването на принципа на </w:t>
      </w:r>
      <w:r w:rsidRPr="00650E1B">
        <w:t>предоставената компетентност (член 5 от Договора за Европейския съюз) и определя естеството и обхвата на компетентността на Съюза</w:t>
      </w:r>
      <w:r>
        <w:rPr>
          <w:vertAlign w:val="superscript"/>
        </w:rPr>
        <w:footnoteReference w:id="2"/>
      </w:r>
      <w:r w:rsidRPr="00650E1B">
        <w:t>.</w:t>
      </w:r>
    </w:p>
    <w:p w:rsidR="00621E55" w:rsidRPr="00650E1B" w:rsidP="00621E55" w14:paraId="4B010334" w14:textId="77777777">
      <w:pPr>
        <w:pStyle w:val="Point123"/>
        <w:numPr>
          <w:ilvl w:val="0"/>
          <w:numId w:val="0"/>
        </w:numPr>
        <w:tabs>
          <w:tab w:val="left" w:pos="720"/>
        </w:tabs>
        <w:spacing w:before="0" w:after="0" w:line="240" w:lineRule="auto"/>
        <w:jc w:val="both"/>
      </w:pPr>
    </w:p>
    <w:p w:rsidR="00621E55" w:rsidRPr="00650E1B" w:rsidP="00621E55" w14:paraId="00E4BC09" w14:textId="77777777">
      <w:pPr>
        <w:pStyle w:val="Point123"/>
        <w:numPr>
          <w:ilvl w:val="0"/>
          <w:numId w:val="0"/>
        </w:numPr>
        <w:tabs>
          <w:tab w:val="left" w:pos="720"/>
        </w:tabs>
        <w:spacing w:before="0" w:after="0" w:line="240" w:lineRule="auto"/>
        <w:jc w:val="both"/>
        <w:rPr>
          <w:rFonts w:asciiTheme="majorBidi" w:hAnsiTheme="majorBidi" w:cstheme="majorBidi"/>
          <w:vertAlign w:val="superscript"/>
        </w:rPr>
      </w:pPr>
      <w:r w:rsidRPr="00650E1B">
        <w:t>Съгласно утвърдената съдебна практика правното основание на акт на Съюза не зависи от убедеността на дадена институция в преследваната цел, а трябва да се определи съобразно обективни критерии, които подлежат на съдебен контрол, в т.ч. по-специално целта и съдържанието на мярката</w:t>
      </w:r>
      <w:r>
        <w:rPr>
          <w:vertAlign w:val="superscript"/>
        </w:rPr>
        <w:footnoteReference w:id="3"/>
      </w:r>
      <w:r w:rsidRPr="00650E1B">
        <w:t>.</w:t>
      </w:r>
      <w:r w:rsidRPr="00650E1B">
        <w:rPr>
          <w:rFonts w:asciiTheme="majorBidi" w:hAnsiTheme="majorBidi"/>
          <w:vertAlign w:val="superscript"/>
        </w:rPr>
        <w:t xml:space="preserve"> </w:t>
      </w:r>
    </w:p>
    <w:p w:rsidR="00621E55" w:rsidRPr="00650E1B" w:rsidP="00621E55" w14:paraId="620E4616" w14:textId="77777777">
      <w:pPr>
        <w:pStyle w:val="Point123"/>
        <w:numPr>
          <w:ilvl w:val="0"/>
          <w:numId w:val="0"/>
        </w:numPr>
        <w:tabs>
          <w:tab w:val="left" w:pos="720"/>
        </w:tabs>
        <w:spacing w:before="0" w:after="0" w:line="240" w:lineRule="auto"/>
        <w:jc w:val="both"/>
        <w:rPr>
          <w:rFonts w:asciiTheme="majorBidi" w:hAnsiTheme="majorBidi" w:cstheme="majorBidi"/>
          <w:vertAlign w:val="superscript"/>
        </w:rPr>
      </w:pPr>
    </w:p>
    <w:p w:rsidR="007172C8" w:rsidP="00BE7963" w14:paraId="19A14A88" w14:textId="53FFAA73">
      <w:pPr>
        <w:pStyle w:val="Point123"/>
        <w:numPr>
          <w:ilvl w:val="0"/>
          <w:numId w:val="0"/>
        </w:numPr>
        <w:tabs>
          <w:tab w:val="left" w:pos="720"/>
        </w:tabs>
        <w:spacing w:before="0" w:after="0" w:line="240" w:lineRule="auto"/>
        <w:jc w:val="both"/>
        <w:rPr>
          <w:lang w:val="en-GB"/>
        </w:rPr>
      </w:pPr>
      <w:r w:rsidRPr="00650E1B">
        <w:t>Ако при проверката на съответния акт се установи, че той има двойна цел или че е съставен от две части, едната от които може да бъде определена като основна или преобладаваща, докато другата е само акцесорна, актът трябва да има едно-единствено правно основание, а именно правното основание, изисквано от основната или преобладаващата цел или съставна част</w:t>
      </w:r>
      <w:r>
        <w:rPr>
          <w:vertAlign w:val="superscript"/>
        </w:rPr>
        <w:footnoteReference w:id="4"/>
      </w:r>
      <w:r w:rsidRPr="00650E1B">
        <w:t>. Единствено по изключение и ако е установено, че актът има едновременно няколко цели, неделими една от друга, като никоя от тях не е вторична или косвена спрямо другата, той може да има съответни различни правни основания</w:t>
      </w:r>
      <w:r>
        <w:rPr>
          <w:vertAlign w:val="superscript"/>
        </w:rPr>
        <w:footnoteReference w:id="5"/>
      </w:r>
      <w:r w:rsidRPr="00650E1B">
        <w:t>. Това обаче би било възможно само ако процедурите, предвидени за съответните правни основания, не са несъвместими с правото на Европейския парламент и не го накърняват</w:t>
      </w:r>
      <w:r>
        <w:rPr>
          <w:vertAlign w:val="superscript"/>
        </w:rPr>
        <w:footnoteReference w:id="6"/>
      </w:r>
      <w:r w:rsidRPr="00650E1B">
        <w:t>.</w:t>
      </w:r>
    </w:p>
    <w:p w:rsidR="00BE7963" w:rsidRPr="00BE7963" w:rsidP="00BE7963" w14:paraId="7554E6BE" w14:textId="77777777">
      <w:pPr>
        <w:pStyle w:val="Point123"/>
        <w:numPr>
          <w:ilvl w:val="0"/>
          <w:numId w:val="0"/>
        </w:numPr>
        <w:tabs>
          <w:tab w:val="left" w:pos="720"/>
        </w:tabs>
        <w:spacing w:before="0" w:after="0" w:line="240" w:lineRule="auto"/>
        <w:jc w:val="both"/>
        <w:rPr>
          <w:lang w:val="en-GB"/>
        </w:rPr>
      </w:pPr>
    </w:p>
    <w:p w:rsidR="00621E55" w:rsidRPr="00650E1B" w:rsidP="00621E55" w14:paraId="5BB4F90E" w14:textId="77777777">
      <w:pPr>
        <w:pStyle w:val="Point123"/>
        <w:numPr>
          <w:ilvl w:val="0"/>
          <w:numId w:val="0"/>
        </w:numPr>
        <w:tabs>
          <w:tab w:val="left" w:pos="720"/>
        </w:tabs>
        <w:spacing w:before="0" w:after="0" w:line="240" w:lineRule="auto"/>
        <w:jc w:val="both"/>
        <w:rPr>
          <w:b/>
          <w:u w:val="single"/>
        </w:rPr>
      </w:pPr>
      <w:r w:rsidRPr="00650E1B">
        <w:rPr>
          <w:b/>
          <w:u w:val="single"/>
        </w:rPr>
        <w:t>I</w:t>
      </w:r>
      <w:r w:rsidRPr="00650E1B">
        <w:rPr>
          <w:b/>
          <w:u w:val="single"/>
        </w:rPr>
        <w:t xml:space="preserve">V – Цел и съдържание на законодателния доклад по собствена инициатива </w:t>
      </w:r>
    </w:p>
    <w:p w:rsidR="00621E55" w:rsidRPr="00650E1B" w:rsidP="00621E55" w14:paraId="48C36A06" w14:textId="77777777">
      <w:pPr>
        <w:pStyle w:val="Point123"/>
        <w:numPr>
          <w:ilvl w:val="0"/>
          <w:numId w:val="0"/>
        </w:numPr>
        <w:tabs>
          <w:tab w:val="left" w:pos="720"/>
        </w:tabs>
        <w:spacing w:before="0" w:after="0" w:line="240" w:lineRule="auto"/>
        <w:jc w:val="both"/>
      </w:pPr>
    </w:p>
    <w:p w:rsidR="00621E55" w:rsidRPr="00650E1B" w:rsidP="00621E55" w14:paraId="0BC73D27" w14:textId="77777777">
      <w:pPr>
        <w:jc w:val="both"/>
      </w:pPr>
      <w:bookmarkStart w:id="0" w:name="_Ref232764548"/>
      <w:r w:rsidRPr="00650E1B">
        <w:t xml:space="preserve">След последната налична версия на компромисните изменения от 22 юни 2026 г. предложените правни основания на законодателното предложение, за което призовава комисията EMPL, а именно член 153, параграф 2, буква б) и член 153, параграф 1, буква а), са посочени в съображенията на проекта на резолюция. </w:t>
      </w:r>
    </w:p>
    <w:p w:rsidR="00621E55" w:rsidRPr="00650E1B" w:rsidP="00621E55" w14:paraId="7581B3E4" w14:textId="77777777">
      <w:pPr>
        <w:jc w:val="both"/>
      </w:pPr>
    </w:p>
    <w:p w:rsidR="00621E55" w:rsidRPr="00650E1B" w:rsidP="00621E55" w14:paraId="0BDF30E9" w14:textId="77777777">
      <w:pPr>
        <w:jc w:val="both"/>
      </w:pPr>
      <w:r w:rsidRPr="00650E1B">
        <w:t>Що се отнася до целта на исканата мярка, първоначално в член 1 от приложението към проекта на доклада се посочва, че „[н]астоящата директива определя минимални изисквания за предотвратяване, премахване или, когато това не е възможно, намаляване на свързания с работата психосоциален риск“. В компромисните изменения от 22 юни 2026 г., в първата препоръка до Комисията, отново се посочва, че „Целта на предложението следва да бъде определянето на минимални изисквания за предотвратяване, премахване или, когато то</w:t>
      </w:r>
      <w:r w:rsidRPr="00650E1B">
        <w:t>ва не е възможно, намаляване на свързания с работата психосоциален риск и евентуалните последици от тях […]“.</w:t>
      </w:r>
      <w:bookmarkEnd w:id="0"/>
      <w:r w:rsidRPr="00650E1B">
        <w:t xml:space="preserve"> </w:t>
      </w:r>
    </w:p>
    <w:p w:rsidR="00621E55" w:rsidRPr="00650E1B" w:rsidP="00621E55" w14:paraId="0C641085" w14:textId="77777777">
      <w:pPr>
        <w:jc w:val="both"/>
      </w:pPr>
    </w:p>
    <w:p w:rsidR="00621E55" w:rsidRPr="00650E1B" w:rsidP="00621E55" w14:paraId="75DA88CB" w14:textId="77777777">
      <w:pPr>
        <w:jc w:val="both"/>
      </w:pPr>
      <w:r w:rsidRPr="00650E1B">
        <w:t>Втората препоръка разглежда действието по отношение на лицата на исканата мярка, т.е. „работници, определени като всяко лице, наето от работодател, включително обучаващите се и чиракуващите, във всички сектори на икономическа дейност, както публични, така и частни“. Следователно предвиденото приложно поле на исканата мярка би съвпаднало с посоченото в член 153 от ДФЕС.</w:t>
      </w:r>
    </w:p>
    <w:p w:rsidR="00621E55" w:rsidRPr="00650E1B" w:rsidP="00621E55" w14:paraId="5BBEC2B7" w14:textId="77777777">
      <w:pPr>
        <w:jc w:val="both"/>
      </w:pPr>
    </w:p>
    <w:p w:rsidR="00621E55" w:rsidRPr="00650E1B" w:rsidP="00621E55" w14:paraId="4040C0C5" w14:textId="77777777">
      <w:pPr>
        <w:jc w:val="both"/>
      </w:pPr>
      <w:r w:rsidRPr="00650E1B">
        <w:t>В препоръки 4, 5 и 6 се описват подробно задълженията, които следва да бъдат наложени на работодателите с исканата мярка, а именно общо задължение за превенция, задължение за редовно извършване на оценка на риска и за приемане на план за действие, както и задължение за извършване на оценка на риска след реорганизация на работата или въвеждане на автоматизирани системи за вземане на решения и автоматизирани системи за наблюдение.</w:t>
      </w:r>
    </w:p>
    <w:p w:rsidR="00621E55" w:rsidRPr="00650E1B" w:rsidP="00621E55" w14:paraId="0F301AB0" w14:textId="77777777">
      <w:pPr>
        <w:jc w:val="both"/>
      </w:pPr>
    </w:p>
    <w:p w:rsidR="00621E55" w:rsidRPr="00650E1B" w:rsidP="00621E55" w14:paraId="437C929A" w14:textId="77777777">
      <w:pPr>
        <w:jc w:val="both"/>
      </w:pPr>
      <w:r w:rsidRPr="00650E1B">
        <w:t>Следващите препоръки, номерирани от 7 до 11, насочват акцента към правата, които исканата мярка следва да предостави на работниците. По-специално седмата препоръка утвърждава правото на работниците на психологически безопасна работна среда. Осмата и деветата препоръка са съсредоточени върху правата на работниците при завръщане на работа след продължително отсъствие или повтарящи се отсъствия, вследствие на увреждане на здравето, произтичащо от свързан с работата психосоциален риск. Десетата препоръка утвърж</w:t>
      </w:r>
      <w:r w:rsidRPr="00650E1B">
        <w:t xml:space="preserve">дава правото на работниците да докладват за психосоциални рискови фактори, без срещу тях да бъдат насочвани ответни действия с цел отмъщение. В единадесетата препоръка се установява забрана да се изисква от работниците да извършват свързана с работата комуникация или задачи извън работно време („право на откъсване от работната среда“). </w:t>
      </w:r>
    </w:p>
    <w:p w:rsidR="00621E55" w:rsidRPr="00650E1B" w:rsidP="00621E55" w14:paraId="1D10EE6C" w14:textId="77777777">
      <w:pPr>
        <w:jc w:val="both"/>
      </w:pPr>
    </w:p>
    <w:p w:rsidR="00621E55" w:rsidRPr="00650E1B" w:rsidP="00621E55" w14:paraId="2D975BDC" w14:textId="77777777">
      <w:pPr>
        <w:jc w:val="both"/>
      </w:pPr>
      <w:r w:rsidRPr="00650E1B">
        <w:t xml:space="preserve">Препоръки 12 и 13 са с оглед на организационните мерки, насочени към предотвратяване на свързания с работата психосоциален риск. По-специално в тях се препоръчва исканата мярка да включва разпоредби относно определянето на служби за защита и превенция, специфични за психосоциалния риск, и информирането, консултирането и участието на работниците в оценката на риска и дейностите по управление на риска, свързани с психосоциалния риск. </w:t>
      </w:r>
    </w:p>
    <w:p w:rsidR="00621E55" w:rsidRPr="00650E1B" w:rsidP="00621E55" w14:paraId="22ABCA5C" w14:textId="77777777">
      <w:pPr>
        <w:jc w:val="both"/>
      </w:pPr>
    </w:p>
    <w:p w:rsidR="00621E55" w:rsidRPr="00650E1B" w:rsidP="00621E55" w14:paraId="337EF12E" w14:textId="77777777">
      <w:pPr>
        <w:jc w:val="both"/>
      </w:pPr>
      <w:r w:rsidRPr="00650E1B">
        <w:t xml:space="preserve">В последващия набор от препоръки, номерирани от 14 до 18, се посочват </w:t>
      </w:r>
      <w:r w:rsidRPr="00650E1B">
        <w:t xml:space="preserve">няколко задължения, които оспорваната мярка следва да наложи на държавите членки. Те включват подкрепа за работата на инспекциите по труда по отношение на свързания с работата психосоциален риск; въвеждане на оборима законова презумпция, която да обхваща причинно-следствената връзка между фактите и вредата, когато работникът установи факти, сочещи излагане на психосоциален риск, и вреда, съвместима с такова </w:t>
      </w:r>
      <w:r w:rsidRPr="00650E1B">
        <w:t xml:space="preserve">излагане; разработване на програми за образование и обучение по тази тема; наблюдение на тенденциите </w:t>
      </w:r>
      <w:r w:rsidRPr="00650E1B">
        <w:t xml:space="preserve">и събиране на данни, свързани с психосоциалния риск, и предвиждане на ефективни, пропорционални и възпиращи санкции, приложими при нарушения на исканата мярка. </w:t>
      </w:r>
    </w:p>
    <w:p w:rsidR="00621E55" w:rsidRPr="00650E1B" w:rsidP="00621E55" w14:paraId="27F74FAC" w14:textId="77777777">
      <w:pPr>
        <w:jc w:val="both"/>
      </w:pPr>
    </w:p>
    <w:p w:rsidR="00621E55" w:rsidRPr="00650E1B" w:rsidP="00621E55" w14:paraId="55B84AC8" w14:textId="77777777">
      <w:pPr>
        <w:jc w:val="both"/>
      </w:pPr>
      <w:r w:rsidRPr="00650E1B">
        <w:t xml:space="preserve">В препоръка 19 се пояснява, че исканата мярка не следва да засяга правомощието на държавите членки да запазят или въведат правила, които защитават в по-голяма степен здравето и безопасността на работниците. Следователно изглежда, че исканата мярка трябва да определи „минимални изисквания“ съгласно разпоредбата на член 153, параграф 2, буква б). </w:t>
      </w:r>
    </w:p>
    <w:p w:rsidR="00621E55" w:rsidRPr="00650E1B" w:rsidP="00621E55" w14:paraId="1A19B792" w14:textId="77777777">
      <w:pPr>
        <w:ind w:left="567" w:hanging="567"/>
      </w:pPr>
    </w:p>
    <w:p w:rsidR="007172C8" w:rsidRPr="00650E1B" w:rsidP="00621E55" w14:paraId="67A41881" w14:textId="00282036">
      <w:pPr>
        <w:pStyle w:val="Normal12a"/>
        <w:jc w:val="both"/>
      </w:pPr>
      <w:r w:rsidRPr="00650E1B">
        <w:t>И накрая, препоръка 20 насърчава участието на социалните партньори в прилагането на исканата мярка.</w:t>
      </w:r>
      <w:r>
        <w:t xml:space="preserve"> </w:t>
      </w:r>
    </w:p>
    <w:p w:rsidR="00621E55" w:rsidRPr="00650E1B" w:rsidP="00621E55" w14:paraId="1D4CFD1C" w14:textId="77777777">
      <w:pPr>
        <w:spacing w:after="240"/>
        <w:jc w:val="both"/>
        <w:rPr>
          <w:b/>
          <w:u w:val="single"/>
        </w:rPr>
      </w:pPr>
      <w:r w:rsidRPr="00650E1B">
        <w:rPr>
          <w:b/>
          <w:u w:val="single"/>
        </w:rPr>
        <w:t xml:space="preserve">V – Анализ </w:t>
      </w:r>
    </w:p>
    <w:p w:rsidR="00621E55" w:rsidRPr="00650E1B" w:rsidP="00621E55" w14:paraId="2D96D265" w14:textId="77777777">
      <w:pPr>
        <w:jc w:val="both"/>
      </w:pPr>
      <w:r w:rsidRPr="00650E1B">
        <w:t>Съгласно съдебната практика на Съда понятията „работна среда“, „безопасност“ и „здраве“, използвани в член 153, параграф 1, буква а), обхващат всички фактори, физически или други, които могат да засегнат здравето и безопасността на работниците в тяхната работна среда</w:t>
      </w:r>
      <w:r>
        <w:rPr>
          <w:color w:val="000000"/>
          <w:vertAlign w:val="superscript"/>
        </w:rPr>
        <w:footnoteReference w:id="7"/>
      </w:r>
      <w:r w:rsidRPr="00650E1B">
        <w:t>.</w:t>
      </w:r>
      <w:r w:rsidRPr="00650E1B">
        <w:rPr>
          <w:color w:val="000000"/>
        </w:rPr>
        <w:t xml:space="preserve"> </w:t>
      </w:r>
      <w:r w:rsidRPr="00650E1B">
        <w:t xml:space="preserve">Съответно съществуващото законодателство на ЕС, създадено на това правно основание, вече се прилага към </w:t>
      </w:r>
      <w:r w:rsidRPr="00650E1B">
        <w:t xml:space="preserve">психосоциалния риск, макар и без да го разглежда конкретно. </w:t>
      </w:r>
    </w:p>
    <w:p w:rsidR="00621E55" w:rsidRPr="00650E1B" w:rsidP="00621E55" w14:paraId="0E124183" w14:textId="77777777">
      <w:pPr>
        <w:autoSpaceDE w:val="0"/>
        <w:autoSpaceDN w:val="0"/>
        <w:adjustRightInd w:val="0"/>
        <w:jc w:val="both"/>
        <w:rPr>
          <w:color w:val="000000"/>
        </w:rPr>
      </w:pPr>
    </w:p>
    <w:p w:rsidR="00621E55" w:rsidRPr="00650E1B" w:rsidP="00621E55" w14:paraId="6D6809BE" w14:textId="77777777">
      <w:pPr>
        <w:jc w:val="both"/>
      </w:pPr>
      <w:r w:rsidRPr="00650E1B">
        <w:t>Следва да се изтъкне, че правата и задълженията, определени в Директива 89/391/ЕИО на Съвета от 12 юни 1989 г. за въвеждане на мерки за насърчаване подобряването на безопасността и здравето на работниците на работното място</w:t>
      </w:r>
      <w:r>
        <w:rPr>
          <w:vertAlign w:val="superscript"/>
        </w:rPr>
        <w:footnoteReference w:id="8"/>
      </w:r>
      <w:r w:rsidRPr="00650E1B">
        <w:t xml:space="preserve"> („Рамковата директива за ЗБУТ“), се прилагат за всички професионални рискове, включително психосоциалния риск. В член 6, параграф 2, буква ж) от посочената директива се посочва, че цялостната политика за превенция, разработена от всеки работодател, следва да обхваща, наред с другото, „социалните отношения“, като по този начин се позовава на значението на професионалния психосоциален риск в структурата на Рамковата директива за ЗБУТ.</w:t>
      </w:r>
    </w:p>
    <w:p w:rsidR="00621E55" w:rsidRPr="00650E1B" w:rsidP="00621E55" w14:paraId="4B4A9EFB" w14:textId="77777777">
      <w:pPr>
        <w:jc w:val="both"/>
      </w:pPr>
    </w:p>
    <w:p w:rsidR="00621E55" w:rsidRPr="00650E1B" w:rsidP="00621E55" w14:paraId="08C1DED3" w14:textId="77777777">
      <w:pPr>
        <w:jc w:val="both"/>
      </w:pPr>
      <w:r w:rsidRPr="00650E1B">
        <w:t>Основната цел на предложението за законодателен доклад по собствена инициатива, както е посочено в първата препоръка, пояснява, че мярката, поискана в предложението за законодателен доклад по собствена инициатива, следва да е насочена към подобряване на работната среда с оглед на защитата на здравето и безопасността на работниците в съответствие с член 153, параграф 1, буква а) от ДФЕС. Съдържанието на предложението, особено на основните му препоръки, свързани с правата и задълженията, които ще бъдат наложе</w:t>
      </w:r>
      <w:r w:rsidRPr="00650E1B">
        <w:t>ни на работниците и работодателите, до голяма степен съответства на тази цел.</w:t>
      </w:r>
    </w:p>
    <w:p w:rsidR="00621E55" w:rsidRPr="00650E1B" w:rsidP="00621E55" w14:paraId="108DFDC0" w14:textId="77777777">
      <w:pPr>
        <w:jc w:val="both"/>
      </w:pPr>
    </w:p>
    <w:p w:rsidR="00621E55" w:rsidRPr="00650E1B" w:rsidP="00621E55" w14:paraId="324C71F6" w14:textId="77777777">
      <w:pPr>
        <w:jc w:val="both"/>
      </w:pPr>
      <w:r w:rsidRPr="00650E1B">
        <w:t>Някои аспекти на препоръките обаче изглежда понякога се отдалечават от тясното понятие за здравословни и безопасни условия на труд, включително мерки, които биха могли да бъдат от значение и в други съседни области на политиката, за които съществува специфично правно основание, а именно:</w:t>
      </w:r>
    </w:p>
    <w:p w:rsidR="00621E55" w:rsidRPr="00650E1B" w:rsidP="00621E55" w14:paraId="39BCC196" w14:textId="77777777">
      <w:pPr>
        <w:jc w:val="both"/>
      </w:pPr>
    </w:p>
    <w:p w:rsidR="00621E55" w:rsidRPr="00650E1B" w:rsidP="00621E55" w14:paraId="195B5B74" w14:textId="77777777">
      <w:pPr>
        <w:ind w:left="567" w:hanging="567"/>
        <w:jc w:val="both"/>
      </w:pPr>
      <w:r w:rsidRPr="00650E1B">
        <w:t>-</w:t>
      </w:r>
      <w:r w:rsidRPr="00650E1B">
        <w:tab/>
        <w:t>препоръката планът за действие да включва мерки за управление на свързания с работата психосоциален риск по отношение на обработването на данни на работниците за профилиране или за други цели (препоръка 5, параграф 4б, буква д), които също биха могли да се считат за израз на целта за защита на физическите лица по отношение на обработването на лични данни, залегнала в член 16 от ДФЕС;</w:t>
      </w:r>
    </w:p>
    <w:p w:rsidR="00621E55" w:rsidRPr="00650E1B" w:rsidP="00621E55" w14:paraId="60D04150" w14:textId="77777777">
      <w:pPr>
        <w:jc w:val="both"/>
      </w:pPr>
    </w:p>
    <w:p w:rsidR="00621E55" w:rsidRPr="00650E1B" w:rsidP="00621E55" w14:paraId="3066818A" w14:textId="77777777">
      <w:pPr>
        <w:ind w:left="567" w:hanging="567"/>
        <w:jc w:val="both"/>
      </w:pPr>
      <w:r w:rsidRPr="00650E1B">
        <w:t>-</w:t>
      </w:r>
      <w:r w:rsidRPr="00650E1B">
        <w:tab/>
        <w:t>препоръката държавите членки да гарантират непрекъснатост на грижите и достъп до подкрепа за психичното здраве за работниците, изложени на психосоциален риск, дори след прекратяване на трудовото правоотношение (препоръка 7, трета алинея), която, тъй като се отнася до социалната сигурност на работниците, би могла да бъде включена в правното основание на член 153, параграф 1, буква в).</w:t>
      </w:r>
    </w:p>
    <w:p w:rsidR="00621E55" w:rsidRPr="00650E1B" w:rsidP="00621E55" w14:paraId="67845F0D" w14:textId="77777777">
      <w:pPr>
        <w:jc w:val="both"/>
      </w:pPr>
    </w:p>
    <w:p w:rsidR="007172C8" w:rsidP="00BE7963" w14:paraId="065FFC05" w14:textId="4531775D">
      <w:pPr>
        <w:jc w:val="both"/>
        <w:rPr>
          <w:lang w:val="en-GB"/>
        </w:rPr>
      </w:pPr>
      <w:r w:rsidRPr="00650E1B">
        <w:t>Въпреки това относителната тежест на тези аспекти в рамките на съответните препоръки и в рамките на цялостната структура на исканата мярка не е такава, че да постави под съмнение факта, че целта на исканата мярка остава подобряването на работната среда с оглед на защитата на безопасността и здравето на работниците.</w:t>
      </w:r>
    </w:p>
    <w:p w:rsidR="00BE7963" w:rsidRPr="00BE7963" w:rsidP="00BE7963" w14:paraId="0E61AB92" w14:textId="77777777">
      <w:pPr>
        <w:jc w:val="both"/>
        <w:rPr>
          <w:lang w:val="en-GB"/>
        </w:rPr>
      </w:pPr>
    </w:p>
    <w:p w:rsidR="00621E55" w:rsidRPr="00650E1B" w:rsidP="00621E55" w14:paraId="2B53FC72" w14:textId="77777777">
      <w:pPr>
        <w:pStyle w:val="Normal12a"/>
      </w:pPr>
      <w:r w:rsidRPr="00650E1B">
        <w:rPr>
          <w:b/>
          <w:u w:val="single"/>
        </w:rPr>
        <w:t>V</w:t>
      </w:r>
      <w:r w:rsidRPr="00650E1B">
        <w:rPr>
          <w:b/>
          <w:u w:val="single"/>
        </w:rPr>
        <w:t>I – Заключение</w:t>
      </w:r>
    </w:p>
    <w:p w:rsidR="00621E55" w:rsidRPr="00650E1B" w:rsidP="00621E55" w14:paraId="500876D5" w14:textId="77777777">
      <w:pPr>
        <w:pStyle w:val="Normal12a"/>
      </w:pPr>
      <w:r w:rsidRPr="00650E1B">
        <w:t xml:space="preserve">На заседанието си от 15 юли 2026 г. комисията по правни въпроси заключи с 22 гласа „за“, </w:t>
      </w:r>
      <w:r w:rsidRPr="00650E1B">
        <w:t>нито един „против“ и 3 гласа „въздържал се“, че предложението за законодателен доклад по собствена инициатива преследва целите, обхванати от понятията „работна среда“, „безопасност“ и „здраве“, посочени в член 153, параграф 1, буква а) от ДФЕС, и че следователно член 153, параграф 2, буква б) във връзка с член 153, параграф 1, буква а) от ДФЕС изглежда са подходящите правни основания.</w:t>
      </w:r>
    </w:p>
    <w:p w:rsidR="00621E55" w:rsidRPr="00650E1B" w:rsidP="00621E55" w14:paraId="6FC3A5EA" w14:textId="77777777">
      <w:pPr>
        <w:pStyle w:val="Normal12a"/>
        <w:spacing w:after="480"/>
      </w:pPr>
      <w:r w:rsidRPr="00650E1B">
        <w:t>С уважение,</w:t>
      </w:r>
    </w:p>
    <w:p w:rsidR="00621E55" w:rsidRPr="00650E1B" w:rsidP="00621E55" w14:paraId="3FC0E85C" w14:textId="77777777">
      <w:pPr>
        <w:pStyle w:val="Normal12a"/>
      </w:pPr>
      <w:r w:rsidRPr="00650E1B">
        <w:t>Илхан Кючюк</w:t>
      </w:r>
    </w:p>
    <w:p w:rsidR="00426BB2" w:rsidRPr="00650E1B" w14:paraId="669EF00E" w14:textId="77777777">
      <w:pPr>
        <w:widowControl/>
        <w:sectPr w:rsidSect="00650E1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426BB2" w:rsidRPr="00650E1B" w14:paraId="7A6C32BB" w14:textId="77777777">
      <w:pPr>
        <w:widowControl/>
      </w:pPr>
    </w:p>
    <w:p w:rsidR="00426BB2" w:rsidRPr="00650E1B" w:rsidP="002B2C72" w14:paraId="23E3347C" w14:textId="77777777">
      <w:pPr>
        <w:pStyle w:val="PageHeadingNotTOC"/>
        <w:rPr>
          <w:noProof/>
        </w:rPr>
      </w:pPr>
      <w:bookmarkStart w:id="1" w:name="FootprintPageAL"/>
      <w:r w:rsidRPr="00650E1B">
        <w:t>ПРИЛОЖЕНИЕ: ДЕКЛАРАЦИЯ ЗА ИЗТОЧНИЦИТЕ НА ИНФОРМАЦИЯ</w:t>
      </w:r>
    </w:p>
    <w:p w:rsidR="00426BB2" w:rsidRPr="00650E1B" w:rsidP="00037518" w14:paraId="5E6138F6" w14:textId="77777777">
      <w:pPr>
        <w:pStyle w:val="Normal24a"/>
      </w:pPr>
      <w:r w:rsidRPr="00650E1B">
        <w:rPr>
          <w:rStyle w:val="HideTWBExt"/>
        </w:rPr>
        <w:t>&lt;FootprintIntro&gt;</w:t>
      </w:r>
      <w:r w:rsidRPr="00650E1B">
        <w:t>В рамките на своята изключителна отговорност докладчикът по становище декларира, че в становището не е включена информация, предоставена от представители на интереси, попадащи в обхвата на Междуинституционалното споразумение за задължителен регистър за прозрачност</w:t>
      </w:r>
      <w:r>
        <w:rPr>
          <w:vertAlign w:val="superscript"/>
        </w:rPr>
        <w:footnoteReference w:id="9"/>
      </w:r>
      <w:r w:rsidRPr="00650E1B">
        <w:t>, или от представители на публични органи на трети държави, включително техните дипломатически мисии и посолства, които трябва да бъдат изброени в настоящото приложение съгласно член 8 от приложение I към Правилника за дейността.</w:t>
      </w:r>
      <w:r w:rsidRPr="00650E1B">
        <w:rPr>
          <w:rStyle w:val="HideTWBExt"/>
        </w:rPr>
        <w:t>&lt;/FootprintIntro&gt;</w:t>
      </w:r>
    </w:p>
    <w:p w:rsidR="00426BB2" w:rsidRPr="00650E1B" w:rsidP="00426BB2" w14:paraId="52D30CE2" w14:textId="77777777"/>
    <w:bookmarkEnd w:id="1"/>
    <w:p w:rsidR="00426BB2" w:rsidRPr="00650E1B" w:rsidP="00EC3D76" w14:paraId="05A219F0" w14:textId="77777777">
      <w:pPr>
        <w:pStyle w:val="Normal12a"/>
        <w:sectPr w:rsidSect="00426BB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179A7" w:rsidRPr="00650E1B" w:rsidP="00EC3D76" w14:paraId="36C9CBE1" w14:textId="77777777">
      <w:pPr>
        <w:pStyle w:val="Normal12a"/>
      </w:pPr>
    </w:p>
    <w:p w:rsidR="00EC3D76" w:rsidRPr="00650E1B" w:rsidP="00C36610" w14:paraId="769F3959" w14:textId="77777777">
      <w:pPr>
        <w:pStyle w:val="PageHeadingNotTOC"/>
      </w:pPr>
      <w:bookmarkStart w:id="2" w:name="RollCallPageAL"/>
      <w:r w:rsidRPr="00650E1B">
        <w:t>ПОИМЕННО ОКОНЧАТЕЛНО ГЛАСУВАНЕ В ПОДПОМАГАЩАТА КОМИСИЯ</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9D04FA1"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C3D76" w:rsidRPr="00650E1B" w:rsidP="003858C5" w14:paraId="5567F787" w14:textId="77777777">
            <w:pPr>
              <w:pStyle w:val="RollCallVotes"/>
            </w:pPr>
            <w:r w:rsidRPr="00650E1B">
              <w:t>22</w:t>
            </w:r>
          </w:p>
        </w:tc>
        <w:tc>
          <w:tcPr>
            <w:tcW w:w="7371" w:type="dxa"/>
            <w:shd w:val="pct10" w:color="000000" w:fill="FFFFFF"/>
          </w:tcPr>
          <w:p w:rsidR="00EC3D76" w:rsidRPr="00650E1B" w:rsidP="003858C5" w14:paraId="108FDAF9" w14:textId="77777777">
            <w:pPr>
              <w:pStyle w:val="RollCallSymbols14pt"/>
            </w:pPr>
            <w:r w:rsidRPr="00650E1B">
              <w:t>+</w:t>
            </w:r>
          </w:p>
        </w:tc>
      </w:tr>
      <w:tr w14:paraId="74A056A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C3D76" w:rsidRPr="00650E1B" w:rsidP="003858C5" w14:paraId="478BD723" w14:textId="77777777">
            <w:pPr>
              <w:pStyle w:val="RollCallTable"/>
            </w:pPr>
            <w:r w:rsidRPr="00650E1B">
              <w:t>ESN</w:t>
            </w:r>
          </w:p>
        </w:tc>
        <w:tc>
          <w:tcPr>
            <w:tcW w:w="7371" w:type="dxa"/>
            <w:shd w:val="clear" w:color="auto" w:fill="FFFFFF"/>
          </w:tcPr>
          <w:p w:rsidR="00EC3D76" w:rsidRPr="00650E1B" w:rsidP="003858C5" w14:paraId="5AC93919" w14:textId="77777777">
            <w:pPr>
              <w:pStyle w:val="RollCallTable"/>
            </w:pPr>
            <w:r w:rsidRPr="00650E1B">
              <w:t>Mary Khan</w:t>
            </w:r>
          </w:p>
        </w:tc>
      </w:tr>
      <w:tr w14:paraId="2596A8CE"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C3D76" w:rsidRPr="00650E1B" w:rsidP="003858C5" w14:paraId="462A7946" w14:textId="77777777">
            <w:pPr>
              <w:pStyle w:val="RollCallTable"/>
            </w:pPr>
            <w:r w:rsidRPr="00650E1B">
              <w:t>PPE</w:t>
            </w:r>
          </w:p>
        </w:tc>
        <w:tc>
          <w:tcPr>
            <w:tcW w:w="7371" w:type="dxa"/>
            <w:shd w:val="clear" w:color="auto" w:fill="FFFFFF"/>
          </w:tcPr>
          <w:p w:rsidR="00EC3D76" w:rsidRPr="00650E1B" w:rsidP="003858C5" w14:paraId="667B5C74" w14:textId="77777777">
            <w:pPr>
              <w:pStyle w:val="RollCallTable"/>
            </w:pPr>
            <w:r w:rsidRPr="00650E1B">
              <w:t>Henrik Dahl, Angelika Niebler, Emil Radev, Sven Simon, Axel Voss, Marion Walsmann, Michał Wawrykiewicz</w:t>
            </w:r>
          </w:p>
        </w:tc>
      </w:tr>
      <w:tr w14:paraId="21830DB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C3D76" w:rsidRPr="00650E1B" w:rsidP="003858C5" w14:paraId="1FD6B86F" w14:textId="77777777">
            <w:pPr>
              <w:pStyle w:val="RollCallTable"/>
            </w:pPr>
            <w:r w:rsidRPr="00650E1B">
              <w:t>PfE</w:t>
            </w:r>
          </w:p>
        </w:tc>
        <w:tc>
          <w:tcPr>
            <w:tcW w:w="7371" w:type="dxa"/>
            <w:shd w:val="clear" w:color="auto" w:fill="FFFFFF"/>
          </w:tcPr>
          <w:p w:rsidR="00EC3D76" w:rsidRPr="00650E1B" w:rsidP="003858C5" w14:paraId="0B6E4CC0" w14:textId="77777777">
            <w:pPr>
              <w:pStyle w:val="RollCallTable"/>
            </w:pPr>
            <w:r w:rsidRPr="00650E1B">
              <w:t>Ton Diepeveen, Juan Carlos Girauta Vidal, Philippe Olivier</w:t>
            </w:r>
          </w:p>
        </w:tc>
      </w:tr>
      <w:tr w14:paraId="5350A17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C3D76" w:rsidRPr="00650E1B" w:rsidP="003858C5" w14:paraId="3BB2B0AD" w14:textId="77777777">
            <w:pPr>
              <w:pStyle w:val="RollCallTable"/>
            </w:pPr>
            <w:r w:rsidRPr="00650E1B">
              <w:t>Renew</w:t>
            </w:r>
          </w:p>
        </w:tc>
        <w:tc>
          <w:tcPr>
            <w:tcW w:w="7371" w:type="dxa"/>
            <w:shd w:val="clear" w:color="auto" w:fill="FFFFFF"/>
          </w:tcPr>
          <w:p w:rsidR="00EC3D76" w:rsidRPr="00650E1B" w:rsidP="003858C5" w14:paraId="5130AC59" w14:textId="77777777">
            <w:pPr>
              <w:pStyle w:val="RollCallTable"/>
            </w:pPr>
            <w:r w:rsidRPr="00650E1B">
              <w:t xml:space="preserve">Ilhan </w:t>
            </w:r>
            <w:r w:rsidRPr="00650E1B">
              <w:t>Kyuchyuk, Lukas Sieper, Dainius Žalimas</w:t>
            </w:r>
          </w:p>
        </w:tc>
      </w:tr>
      <w:tr w14:paraId="1DE62B7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C3D76" w:rsidRPr="00650E1B" w:rsidP="003858C5" w14:paraId="574ED826" w14:textId="77777777">
            <w:pPr>
              <w:pStyle w:val="RollCallTable"/>
            </w:pPr>
            <w:r w:rsidRPr="00650E1B">
              <w:t>S&amp;D</w:t>
            </w:r>
          </w:p>
        </w:tc>
        <w:tc>
          <w:tcPr>
            <w:tcW w:w="7371" w:type="dxa"/>
            <w:shd w:val="clear" w:color="auto" w:fill="FFFFFF"/>
          </w:tcPr>
          <w:p w:rsidR="00EC3D76" w:rsidRPr="00650E1B" w:rsidP="003858C5" w14:paraId="06C7110F" w14:textId="77777777">
            <w:pPr>
              <w:pStyle w:val="RollCallTable"/>
            </w:pPr>
            <w:r w:rsidRPr="00650E1B">
              <w:t>José Cepeda, Matthias Ecke, Marit Maij, René Repasi, Krzysztof Śmiszek</w:t>
            </w:r>
          </w:p>
        </w:tc>
      </w:tr>
      <w:tr w14:paraId="1CDC427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C3D76" w:rsidRPr="00650E1B" w:rsidP="003858C5" w14:paraId="221E44DB" w14:textId="77777777">
            <w:pPr>
              <w:pStyle w:val="RollCallTable"/>
            </w:pPr>
            <w:r w:rsidRPr="00650E1B">
              <w:t>The Left</w:t>
            </w:r>
          </w:p>
        </w:tc>
        <w:tc>
          <w:tcPr>
            <w:tcW w:w="7371" w:type="dxa"/>
            <w:shd w:val="clear" w:color="auto" w:fill="FFFFFF"/>
          </w:tcPr>
          <w:p w:rsidR="00EC3D76" w:rsidRPr="00650E1B" w:rsidP="003858C5" w14:paraId="7E444A1D" w14:textId="77777777">
            <w:pPr>
              <w:pStyle w:val="RollCallTable"/>
            </w:pPr>
            <w:r w:rsidRPr="00650E1B">
              <w:t>Mario Furore</w:t>
            </w:r>
          </w:p>
        </w:tc>
      </w:tr>
      <w:tr w14:paraId="6A6621F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C3D76" w:rsidRPr="00650E1B" w:rsidP="003858C5" w14:paraId="48EE4929" w14:textId="77777777">
            <w:pPr>
              <w:pStyle w:val="RollCallTable"/>
            </w:pPr>
            <w:r w:rsidRPr="00650E1B">
              <w:t>Verts/ALE</w:t>
            </w:r>
          </w:p>
        </w:tc>
        <w:tc>
          <w:tcPr>
            <w:tcW w:w="7371" w:type="dxa"/>
            <w:shd w:val="clear" w:color="auto" w:fill="FFFFFF"/>
          </w:tcPr>
          <w:p w:rsidR="00EC3D76" w:rsidRPr="00650E1B" w:rsidP="003858C5" w14:paraId="78798EBF" w14:textId="77777777">
            <w:pPr>
              <w:pStyle w:val="RollCallTable"/>
            </w:pPr>
            <w:r w:rsidRPr="00650E1B">
              <w:t>Sergey Lagodinsky, Kira Marie Peter-Hansen</w:t>
            </w:r>
          </w:p>
        </w:tc>
      </w:tr>
    </w:tbl>
    <w:p w:rsidR="00EC3D76" w:rsidRPr="00650E1B" w:rsidP="00147FBF" w14:paraId="6B31957C"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E65B57F"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C3D76" w:rsidRPr="00650E1B" w:rsidP="003858C5" w14:paraId="68409BF2" w14:textId="77777777">
            <w:pPr>
              <w:pStyle w:val="RollCallVotes"/>
            </w:pPr>
            <w:r w:rsidRPr="00650E1B">
              <w:t>0</w:t>
            </w:r>
          </w:p>
        </w:tc>
        <w:tc>
          <w:tcPr>
            <w:tcW w:w="7371" w:type="dxa"/>
            <w:shd w:val="pct10" w:color="000000" w:fill="FFFFFF"/>
          </w:tcPr>
          <w:p w:rsidR="00EC3D76" w:rsidRPr="00650E1B" w:rsidP="003858C5" w14:paraId="11AB9452" w14:textId="77777777">
            <w:pPr>
              <w:pStyle w:val="RollCallSymbols14pt"/>
            </w:pPr>
            <w:r w:rsidRPr="00650E1B">
              <w:t>-</w:t>
            </w:r>
          </w:p>
        </w:tc>
      </w:tr>
      <w:tr w14:paraId="4268D1F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C3D76" w:rsidRPr="00650E1B" w:rsidP="003858C5" w14:paraId="1EF0D3AE" w14:textId="77777777">
            <w:pPr>
              <w:pStyle w:val="RollCallTable"/>
            </w:pPr>
          </w:p>
        </w:tc>
        <w:tc>
          <w:tcPr>
            <w:tcW w:w="7371" w:type="dxa"/>
            <w:shd w:val="clear" w:color="auto" w:fill="FFFFFF"/>
          </w:tcPr>
          <w:p w:rsidR="00EC3D76" w:rsidRPr="00650E1B" w:rsidP="003858C5" w14:paraId="17F58E82" w14:textId="77777777">
            <w:pPr>
              <w:pStyle w:val="RollCallTable"/>
            </w:pPr>
          </w:p>
        </w:tc>
      </w:tr>
    </w:tbl>
    <w:p w:rsidR="00EC3D76" w:rsidRPr="00650E1B" w:rsidP="00147FBF" w14:paraId="4A4BC82C"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4B639F6"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C3D76" w:rsidRPr="00650E1B" w:rsidP="003858C5" w14:paraId="584B18D9" w14:textId="77777777">
            <w:pPr>
              <w:pStyle w:val="RollCallVotes"/>
            </w:pPr>
            <w:r w:rsidRPr="00650E1B">
              <w:t>3</w:t>
            </w:r>
          </w:p>
        </w:tc>
        <w:tc>
          <w:tcPr>
            <w:tcW w:w="7371" w:type="dxa"/>
            <w:shd w:val="pct10" w:color="000000" w:fill="FFFFFF"/>
          </w:tcPr>
          <w:p w:rsidR="00EC3D76" w:rsidRPr="00650E1B" w:rsidP="003858C5" w14:paraId="54052701" w14:textId="77777777">
            <w:pPr>
              <w:pStyle w:val="RollCallSymbols14pt"/>
            </w:pPr>
            <w:r w:rsidRPr="00650E1B">
              <w:t>0</w:t>
            </w:r>
          </w:p>
        </w:tc>
      </w:tr>
      <w:tr w14:paraId="35126B9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C3D76" w:rsidRPr="00650E1B" w:rsidP="003858C5" w14:paraId="3DDA8216" w14:textId="77777777">
            <w:pPr>
              <w:pStyle w:val="RollCallTable"/>
            </w:pPr>
            <w:r w:rsidRPr="00650E1B">
              <w:t>ECR</w:t>
            </w:r>
          </w:p>
        </w:tc>
        <w:tc>
          <w:tcPr>
            <w:tcW w:w="7371" w:type="dxa"/>
            <w:shd w:val="clear" w:color="auto" w:fill="FFFFFF"/>
          </w:tcPr>
          <w:p w:rsidR="00EC3D76" w:rsidRPr="00650E1B" w:rsidP="003858C5" w14:paraId="02BD592B" w14:textId="77777777">
            <w:pPr>
              <w:pStyle w:val="RollCallTable"/>
            </w:pPr>
            <w:r w:rsidRPr="00650E1B">
              <w:t xml:space="preserve">Tobiasz Bocheński, Mario </w:t>
            </w:r>
            <w:r w:rsidRPr="00650E1B">
              <w:t>Mantovani, Dominik Tarczyński</w:t>
            </w:r>
          </w:p>
        </w:tc>
      </w:tr>
    </w:tbl>
    <w:p w:rsidR="00EC3D76" w:rsidRPr="00650E1B" w:rsidP="00147FBF" w14:paraId="1EB53BD9" w14:textId="77777777">
      <w:pPr>
        <w:pStyle w:val="Normal12a"/>
      </w:pPr>
    </w:p>
    <w:p w:rsidR="00EC3D76" w:rsidRPr="00650E1B" w:rsidP="00B735E3" w14:paraId="29C5B7B8" w14:textId="77777777">
      <w:r w:rsidRPr="00650E1B">
        <w:t>Легенда на използваните знаци:</w:t>
      </w:r>
    </w:p>
    <w:p w:rsidR="00EC3D76" w:rsidRPr="00650E1B" w:rsidP="003858C5" w14:paraId="2125D70D" w14:textId="77777777">
      <w:pPr>
        <w:pStyle w:val="RollCallTabs"/>
      </w:pPr>
      <w:r w:rsidRPr="00650E1B">
        <w:t>+</w:t>
      </w:r>
      <w:r w:rsidRPr="00650E1B">
        <w:tab/>
        <w:t>:</w:t>
      </w:r>
      <w:r w:rsidRPr="00650E1B">
        <w:tab/>
        <w:t>,,за“</w:t>
      </w:r>
    </w:p>
    <w:p w:rsidR="00EC3D76" w:rsidRPr="00650E1B" w:rsidP="003858C5" w14:paraId="43B7D2F5" w14:textId="77777777">
      <w:pPr>
        <w:pStyle w:val="RollCallTabs"/>
      </w:pPr>
      <w:r w:rsidRPr="00650E1B">
        <w:t>-</w:t>
      </w:r>
      <w:r w:rsidRPr="00650E1B">
        <w:tab/>
        <w:t>:</w:t>
      </w:r>
      <w:r w:rsidRPr="00650E1B">
        <w:tab/>
        <w:t>„против“</w:t>
      </w:r>
    </w:p>
    <w:p w:rsidR="009D564F" w:rsidRPr="00650E1B" w:rsidP="00BE7963" w14:paraId="65FAED01" w14:textId="4EC0600B">
      <w:pPr>
        <w:pStyle w:val="RollCallTabs"/>
      </w:pPr>
      <w:r w:rsidRPr="00650E1B">
        <w:t>0</w:t>
      </w:r>
      <w:r w:rsidRPr="00650E1B">
        <w:tab/>
        <w:t>:</w:t>
      </w:r>
      <w:r w:rsidRPr="00650E1B">
        <w:tab/>
        <w:t>„въздържал се“</w:t>
      </w:r>
      <w:bookmarkEnd w:id="2"/>
    </w:p>
    <w:sectPr w:rsidSect="00426BB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Warnock Pro">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E1B" w:rsidRPr="00650E1B" w:rsidP="00650E1B" w14:paraId="0BC0350C" w14:textId="77777777">
    <w:pPr>
      <w:pStyle w:val="EPFooter"/>
    </w:pPr>
    <w:r w:rsidRPr="00650E1B">
      <w:t>PE</w:t>
    </w:r>
    <w:r w:rsidRPr="00650E1B">
      <w:rPr>
        <w:rStyle w:val="HideTWBExt"/>
      </w:rPr>
      <w:t>&lt;NoPE&gt;</w:t>
    </w:r>
    <w:r w:rsidRPr="00650E1B">
      <w:t>791.076</w:t>
    </w:r>
    <w:r w:rsidRPr="00650E1B">
      <w:rPr>
        <w:rStyle w:val="HideTWBExt"/>
      </w:rPr>
      <w:t>&lt;/NoPE&gt;&lt;Version&gt;</w:t>
    </w:r>
    <w:r w:rsidRPr="00650E1B">
      <w:t>v02-00</w:t>
    </w:r>
    <w:r w:rsidRPr="00650E1B">
      <w:rPr>
        <w:rStyle w:val="HideTWBExt"/>
      </w:rPr>
      <w:t>&lt;/Version&gt;</w:t>
    </w:r>
    <w:r w:rsidRPr="00650E1B">
      <w:tab/>
    </w:r>
    <w:r w:rsidRPr="00650E1B">
      <w:fldChar w:fldCharType="begin"/>
    </w:r>
    <w:r w:rsidRPr="00650E1B">
      <w:instrText xml:space="preserve"> PAGE  \* MERGEFORMAT </w:instrText>
    </w:r>
    <w:r w:rsidRPr="00650E1B">
      <w:fldChar w:fldCharType="separate"/>
    </w:r>
    <w:r w:rsidRPr="00650E1B">
      <w:rPr>
        <w:noProof/>
      </w:rPr>
      <w:t>2</w:t>
    </w:r>
    <w:r w:rsidRPr="00650E1B">
      <w:fldChar w:fldCharType="end"/>
    </w:r>
    <w:r w:rsidRPr="00650E1B">
      <w:t>/</w:t>
    </w:r>
    <w:r>
      <w:fldChar w:fldCharType="begin"/>
    </w:r>
    <w:r>
      <w:instrText xml:space="preserve"> NUMPAGES  \* MERGEFORMAT </w:instrText>
    </w:r>
    <w:r>
      <w:fldChar w:fldCharType="separate"/>
    </w:r>
    <w:r w:rsidRPr="00650E1B">
      <w:rPr>
        <w:noProof/>
      </w:rPr>
      <w:t>9</w:t>
    </w:r>
    <w:r w:rsidRPr="00650E1B">
      <w:rPr>
        <w:noProof/>
      </w:rPr>
      <w:fldChar w:fldCharType="end"/>
    </w:r>
    <w:r w:rsidRPr="00650E1B">
      <w:tab/>
    </w:r>
    <w:r w:rsidRPr="00650E1B">
      <w:rPr>
        <w:rStyle w:val="HideTWBExt"/>
      </w:rPr>
      <w:t>&lt;PathFdR&gt;</w:t>
    </w:r>
    <w:r w:rsidRPr="00650E1B">
      <w:t>AL\1349553BG.docx</w:t>
    </w:r>
    <w:r w:rsidRPr="00650E1B">
      <w:rPr>
        <w:rStyle w:val="HideTWBExt"/>
      </w:rPr>
      <w:t>&lt;/PathFdR&gt;</w:t>
    </w:r>
  </w:p>
  <w:p w:rsidR="00000C7D" w:rsidRPr="00650E1B" w:rsidP="00650E1B" w14:paraId="7D05967A" w14:textId="33574C82">
    <w:pPr>
      <w:pStyle w:val="EPFooter2"/>
    </w:pPr>
    <w:r w:rsidRPr="00650E1B">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E1B" w:rsidRPr="00650E1B" w:rsidP="00650E1B" w14:paraId="581736B2" w14:textId="77777777">
    <w:pPr>
      <w:pStyle w:val="EPFooter"/>
    </w:pPr>
    <w:r w:rsidRPr="00650E1B">
      <w:rPr>
        <w:rStyle w:val="HideTWBExt"/>
      </w:rPr>
      <w:t>&lt;PathFdR&gt;</w:t>
    </w:r>
    <w:r w:rsidRPr="00650E1B">
      <w:t>AL\1349553BG.docx</w:t>
    </w:r>
    <w:r w:rsidRPr="00650E1B">
      <w:rPr>
        <w:rStyle w:val="HideTWBExt"/>
      </w:rPr>
      <w:t>&lt;/PathFdR&gt;</w:t>
    </w:r>
    <w:r w:rsidRPr="00650E1B">
      <w:tab/>
    </w:r>
    <w:r w:rsidRPr="00650E1B">
      <w:fldChar w:fldCharType="begin"/>
    </w:r>
    <w:r w:rsidRPr="00650E1B">
      <w:instrText xml:space="preserve"> PAGE  \* MERGEFORMAT </w:instrText>
    </w:r>
    <w:r w:rsidRPr="00650E1B">
      <w:fldChar w:fldCharType="separate"/>
    </w:r>
    <w:r w:rsidRPr="00650E1B">
      <w:rPr>
        <w:noProof/>
      </w:rPr>
      <w:t>9</w:t>
    </w:r>
    <w:r w:rsidRPr="00650E1B">
      <w:fldChar w:fldCharType="end"/>
    </w:r>
    <w:r w:rsidRPr="00650E1B">
      <w:t>/</w:t>
    </w:r>
    <w:r>
      <w:fldChar w:fldCharType="begin"/>
    </w:r>
    <w:r>
      <w:instrText xml:space="preserve"> NUMPAGES  \* MERGEFORMAT </w:instrText>
    </w:r>
    <w:r>
      <w:fldChar w:fldCharType="separate"/>
    </w:r>
    <w:r w:rsidRPr="00650E1B">
      <w:rPr>
        <w:noProof/>
      </w:rPr>
      <w:t>9</w:t>
    </w:r>
    <w:r w:rsidRPr="00650E1B">
      <w:rPr>
        <w:noProof/>
      </w:rPr>
      <w:fldChar w:fldCharType="end"/>
    </w:r>
    <w:r w:rsidRPr="00650E1B">
      <w:tab/>
      <w:t>PE</w:t>
    </w:r>
    <w:r w:rsidRPr="00650E1B">
      <w:rPr>
        <w:rStyle w:val="HideTWBExt"/>
      </w:rPr>
      <w:t>&lt;NoPE&gt;</w:t>
    </w:r>
    <w:r w:rsidRPr="00650E1B">
      <w:t>791.076</w:t>
    </w:r>
    <w:r w:rsidRPr="00650E1B">
      <w:rPr>
        <w:rStyle w:val="HideTWBExt"/>
      </w:rPr>
      <w:t>&lt;/NoPE&gt;&lt;Version&gt;</w:t>
    </w:r>
    <w:r w:rsidRPr="00650E1B">
      <w:t>v02-00</w:t>
    </w:r>
    <w:r w:rsidRPr="00650E1B">
      <w:rPr>
        <w:rStyle w:val="HideTWBExt"/>
      </w:rPr>
      <w:t>&lt;/Version&gt;</w:t>
    </w:r>
  </w:p>
  <w:p w:rsidR="00000C7D" w:rsidRPr="00650E1B" w:rsidP="00650E1B" w14:paraId="79A07B15" w14:textId="29B9EFAD">
    <w:pPr>
      <w:pStyle w:val="EPFooter2"/>
    </w:pPr>
    <w:r w:rsidRPr="00650E1B">
      <w:tab/>
    </w:r>
    <w:r w:rsidRPr="00650E1B">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E1B" w:rsidRPr="00650E1B" w:rsidP="00650E1B" w14:paraId="12081CF2" w14:textId="77777777">
    <w:pPr>
      <w:pStyle w:val="EPFooter"/>
    </w:pPr>
    <w:r w:rsidRPr="00650E1B">
      <w:rPr>
        <w:rStyle w:val="HideTWBExt"/>
      </w:rPr>
      <w:t>&lt;PathFdR&gt;</w:t>
    </w:r>
    <w:r w:rsidRPr="00650E1B">
      <w:t>AL\1349553BG.docx</w:t>
    </w:r>
    <w:r w:rsidRPr="00650E1B">
      <w:rPr>
        <w:rStyle w:val="HideTWBExt"/>
      </w:rPr>
      <w:t>&lt;/PathFdR&gt;</w:t>
    </w:r>
    <w:r w:rsidRPr="00650E1B">
      <w:tab/>
    </w:r>
    <w:r w:rsidRPr="00650E1B">
      <w:tab/>
      <w:t>PE</w:t>
    </w:r>
    <w:r w:rsidRPr="00650E1B">
      <w:rPr>
        <w:rStyle w:val="HideTWBExt"/>
      </w:rPr>
      <w:t>&lt;NoPE&gt;</w:t>
    </w:r>
    <w:r w:rsidRPr="00650E1B">
      <w:t>791.076</w:t>
    </w:r>
    <w:r w:rsidRPr="00650E1B">
      <w:rPr>
        <w:rStyle w:val="HideTWBExt"/>
      </w:rPr>
      <w:t>&lt;/NoPE&gt;&lt;Version&gt;</w:t>
    </w:r>
    <w:r w:rsidRPr="00650E1B">
      <w:t>v02-00</w:t>
    </w:r>
    <w:r w:rsidRPr="00650E1B">
      <w:rPr>
        <w:rStyle w:val="HideTWBExt"/>
      </w:rPr>
      <w:t>&lt;/Version&gt;</w:t>
    </w:r>
  </w:p>
  <w:p w:rsidR="00000C7D" w:rsidRPr="00650E1B" w:rsidP="00650E1B" w14:paraId="4FAABE5F" w14:textId="13C7CAEA">
    <w:pPr>
      <w:pStyle w:val="EPFooter2"/>
    </w:pPr>
    <w:r w:rsidRPr="00650E1B">
      <w:t>BG</w:t>
    </w:r>
    <w:r w:rsidRPr="00650E1B">
      <w:tab/>
    </w:r>
    <w:r w:rsidRPr="00650E1B">
      <w:rPr>
        <w:b w:val="0"/>
        <w:i/>
        <w:color w:val="C0C0C0"/>
        <w:sz w:val="22"/>
      </w:rPr>
      <w:t>Единство в многообразието</w:t>
    </w:r>
    <w:r w:rsidRPr="00650E1B">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232F3" w:rsidRPr="00650E1B" w14:paraId="120BDB3E" w14:textId="77777777">
      <w:r w:rsidRPr="00650E1B">
        <w:separator/>
      </w:r>
    </w:p>
  </w:footnote>
  <w:footnote w:type="continuationSeparator" w:id="1">
    <w:p w:rsidR="00F232F3" w:rsidRPr="00650E1B" w14:paraId="099909B3" w14:textId="77777777">
      <w:r w:rsidRPr="00650E1B">
        <w:continuationSeparator/>
      </w:r>
    </w:p>
  </w:footnote>
  <w:footnote w:id="2">
    <w:p w:rsidR="00621E55" w:rsidRPr="00BE7963" w:rsidP="00621E55" w14:paraId="6BF40F77" w14:textId="77777777">
      <w:pPr>
        <w:ind w:left="284" w:hanging="284"/>
        <w:rPr>
          <w:sz w:val="20"/>
        </w:rPr>
      </w:pPr>
      <w:r w:rsidRPr="00BE7963">
        <w:rPr>
          <w:sz w:val="20"/>
          <w:vertAlign w:val="superscript"/>
        </w:rPr>
        <w:footnoteRef/>
      </w:r>
      <w:r w:rsidRPr="00BE7963">
        <w:rPr>
          <w:sz w:val="20"/>
        </w:rPr>
        <w:tab/>
      </w:r>
      <w:r w:rsidRPr="00BE7963">
        <w:rPr>
          <w:i/>
          <w:iCs/>
          <w:sz w:val="20"/>
        </w:rPr>
        <w:t>Становище 2/00, („Протокол от Картахена“)</w:t>
      </w:r>
      <w:r w:rsidRPr="00BE7963">
        <w:rPr>
          <w:sz w:val="20"/>
        </w:rPr>
        <w:t>, ECLI:EU:C:2001:664, точка 5.</w:t>
      </w:r>
    </w:p>
  </w:footnote>
  <w:footnote w:id="3">
    <w:p w:rsidR="00621E55" w:rsidRPr="00BE7963" w:rsidP="00621E55" w14:paraId="0D02272B" w14:textId="77777777">
      <w:pPr>
        <w:ind w:left="284" w:hanging="284"/>
        <w:rPr>
          <w:sz w:val="20"/>
        </w:rPr>
      </w:pPr>
      <w:r w:rsidRPr="00BE7963">
        <w:rPr>
          <w:sz w:val="20"/>
          <w:vertAlign w:val="superscript"/>
        </w:rPr>
        <w:footnoteRef/>
      </w:r>
      <w:r w:rsidRPr="00BE7963">
        <w:rPr>
          <w:sz w:val="20"/>
        </w:rPr>
        <w:t xml:space="preserve"> </w:t>
      </w:r>
      <w:r w:rsidRPr="00BE7963">
        <w:rPr>
          <w:sz w:val="20"/>
        </w:rPr>
        <w:tab/>
        <w:t xml:space="preserve">Дело C-300/89, </w:t>
      </w:r>
      <w:r w:rsidRPr="00BE7963">
        <w:rPr>
          <w:i/>
          <w:iCs/>
          <w:sz w:val="20"/>
        </w:rPr>
        <w:t>Комисия/Съвет („Titanium dioxide“)</w:t>
      </w:r>
      <w:r w:rsidRPr="00BE7963">
        <w:rPr>
          <w:sz w:val="20"/>
        </w:rPr>
        <w:t>, ECLI:</w:t>
      </w:r>
      <w:r w:rsidRPr="00BE7963">
        <w:rPr>
          <w:rStyle w:val="outputecliaff"/>
          <w:sz w:val="20"/>
        </w:rPr>
        <w:t>EU:C:1991:244,</w:t>
      </w:r>
      <w:r w:rsidRPr="00BE7963">
        <w:rPr>
          <w:sz w:val="20"/>
        </w:rPr>
        <w:t xml:space="preserve"> точка 10.</w:t>
      </w:r>
    </w:p>
  </w:footnote>
  <w:footnote w:id="4">
    <w:p w:rsidR="00621E55" w:rsidRPr="00BE7963" w:rsidP="00621E55" w14:paraId="26A5557E" w14:textId="77777777">
      <w:pPr>
        <w:ind w:left="284" w:hanging="284"/>
        <w:rPr>
          <w:sz w:val="20"/>
        </w:rPr>
      </w:pPr>
      <w:r w:rsidRPr="00BE7963">
        <w:rPr>
          <w:sz w:val="20"/>
          <w:vertAlign w:val="superscript"/>
        </w:rPr>
        <w:footnoteRef/>
      </w:r>
      <w:r w:rsidRPr="00BE7963">
        <w:rPr>
          <w:sz w:val="20"/>
        </w:rPr>
        <w:t xml:space="preserve"> </w:t>
      </w:r>
      <w:r w:rsidRPr="00BE7963">
        <w:rPr>
          <w:sz w:val="20"/>
        </w:rPr>
        <w:tab/>
        <w:t xml:space="preserve">Дело C-137/12, </w:t>
      </w:r>
      <w:r w:rsidRPr="00BE7963">
        <w:rPr>
          <w:rStyle w:val="affairetitle"/>
          <w:i/>
          <w:iCs/>
          <w:sz w:val="20"/>
        </w:rPr>
        <w:t>Комисия/Съвет,</w:t>
      </w:r>
      <w:r w:rsidRPr="00BE7963">
        <w:rPr>
          <w:rStyle w:val="affairetitle"/>
          <w:sz w:val="20"/>
        </w:rPr>
        <w:t xml:space="preserve"> ECLI:</w:t>
      </w:r>
      <w:r w:rsidRPr="00BE7963">
        <w:rPr>
          <w:rStyle w:val="outputecliaff"/>
          <w:sz w:val="20"/>
        </w:rPr>
        <w:t>EU:C:2013:675,</w:t>
      </w:r>
      <w:r w:rsidRPr="00BE7963">
        <w:rPr>
          <w:sz w:val="20"/>
        </w:rPr>
        <w:t xml:space="preserve"> точка 53 и цитираната съдебна практика.</w:t>
      </w:r>
    </w:p>
  </w:footnote>
  <w:footnote w:id="5">
    <w:p w:rsidR="00621E55" w:rsidRPr="00BE7963" w:rsidP="00621E55" w14:paraId="2FCD9772" w14:textId="77777777">
      <w:pPr>
        <w:ind w:left="284" w:hanging="284"/>
        <w:rPr>
          <w:sz w:val="20"/>
        </w:rPr>
      </w:pPr>
      <w:r w:rsidRPr="00BE7963">
        <w:rPr>
          <w:sz w:val="20"/>
          <w:vertAlign w:val="superscript"/>
        </w:rPr>
        <w:footnoteRef/>
      </w:r>
      <w:r w:rsidRPr="00BE7963">
        <w:rPr>
          <w:sz w:val="20"/>
        </w:rPr>
        <w:t xml:space="preserve"> </w:t>
      </w:r>
      <w:r w:rsidRPr="00BE7963">
        <w:rPr>
          <w:sz w:val="20"/>
        </w:rPr>
        <w:tab/>
        <w:t xml:space="preserve">Дело C-300/89, точки 13 и 17. Дело C-42/97, </w:t>
      </w:r>
      <w:r w:rsidRPr="00BE7963">
        <w:rPr>
          <w:rStyle w:val="affairetitle"/>
          <w:i/>
          <w:iCs/>
          <w:sz w:val="20"/>
        </w:rPr>
        <w:t>Парламент/Съвет</w:t>
      </w:r>
      <w:r w:rsidRPr="00BE7963">
        <w:rPr>
          <w:rStyle w:val="affairetitle"/>
          <w:sz w:val="20"/>
        </w:rPr>
        <w:t>, ECLI:</w:t>
      </w:r>
      <w:r w:rsidRPr="00BE7963">
        <w:rPr>
          <w:rStyle w:val="outputecliaff"/>
          <w:sz w:val="20"/>
        </w:rPr>
        <w:t>EU:C:1999:81,</w:t>
      </w:r>
      <w:r w:rsidRPr="00BE7963">
        <w:rPr>
          <w:sz w:val="20"/>
        </w:rPr>
        <w:t xml:space="preserve"> точка 38; </w:t>
      </w:r>
      <w:r w:rsidRPr="00BE7963">
        <w:rPr>
          <w:i/>
          <w:iCs/>
          <w:sz w:val="20"/>
        </w:rPr>
        <w:t>Становище 2/00</w:t>
      </w:r>
      <w:r w:rsidRPr="00BE7963">
        <w:rPr>
          <w:sz w:val="20"/>
        </w:rPr>
        <w:t xml:space="preserve">, точка 23; </w:t>
      </w:r>
      <w:r w:rsidRPr="00BE7963">
        <w:rPr>
          <w:sz w:val="20"/>
        </w:rPr>
        <w:t xml:space="preserve">Дело C-94/03, </w:t>
      </w:r>
      <w:r w:rsidRPr="00BE7963">
        <w:rPr>
          <w:rStyle w:val="affairetitle"/>
          <w:i/>
          <w:iCs/>
          <w:sz w:val="20"/>
        </w:rPr>
        <w:t>Комисия/Съвет („Rotterdam Convention“)</w:t>
      </w:r>
      <w:r w:rsidRPr="00BE7963">
        <w:rPr>
          <w:rStyle w:val="affairetitle"/>
          <w:sz w:val="20"/>
        </w:rPr>
        <w:t>, ECLI:</w:t>
      </w:r>
      <w:r w:rsidRPr="00BE7963">
        <w:rPr>
          <w:rStyle w:val="outputecliaff"/>
          <w:sz w:val="20"/>
        </w:rPr>
        <w:t>EU:C:2006:2</w:t>
      </w:r>
      <w:r w:rsidRPr="00BE7963">
        <w:rPr>
          <w:sz w:val="20"/>
        </w:rPr>
        <w:t xml:space="preserve"> и дело C-178/03, </w:t>
      </w:r>
      <w:r w:rsidRPr="00BE7963">
        <w:rPr>
          <w:rStyle w:val="affairetitle"/>
          <w:i/>
          <w:iCs/>
          <w:sz w:val="20"/>
        </w:rPr>
        <w:t>Комисия/Парламент и Съвет</w:t>
      </w:r>
      <w:r w:rsidRPr="00BE7963">
        <w:rPr>
          <w:rStyle w:val="affairetitle"/>
          <w:sz w:val="20"/>
        </w:rPr>
        <w:t>, ECLI:</w:t>
      </w:r>
      <w:r w:rsidRPr="00BE7963">
        <w:rPr>
          <w:rStyle w:val="outputecliaff"/>
          <w:sz w:val="20"/>
        </w:rPr>
        <w:t>EU:C:2006:4,</w:t>
      </w:r>
      <w:r w:rsidRPr="00BE7963">
        <w:rPr>
          <w:sz w:val="20"/>
        </w:rPr>
        <w:t xml:space="preserve"> точки 36 и 43.</w:t>
      </w:r>
    </w:p>
  </w:footnote>
  <w:footnote w:id="6">
    <w:p w:rsidR="00621E55" w:rsidRPr="00BE7963" w:rsidP="00621E55" w14:paraId="7D37ADA1" w14:textId="77777777">
      <w:pPr>
        <w:ind w:left="284" w:hanging="284"/>
        <w:rPr>
          <w:sz w:val="20"/>
        </w:rPr>
      </w:pPr>
      <w:r w:rsidRPr="00BE7963">
        <w:rPr>
          <w:sz w:val="20"/>
          <w:vertAlign w:val="superscript"/>
        </w:rPr>
        <w:footnoteRef/>
      </w:r>
      <w:r w:rsidRPr="00BE7963">
        <w:rPr>
          <w:sz w:val="20"/>
        </w:rPr>
        <w:t xml:space="preserve"> </w:t>
      </w:r>
      <w:r w:rsidRPr="00BE7963">
        <w:rPr>
          <w:sz w:val="20"/>
        </w:rPr>
        <w:tab/>
        <w:t xml:space="preserve">Дело C-300/89, точки 17 – 25; Дело C-268/94, </w:t>
      </w:r>
      <w:r w:rsidRPr="00BE7963">
        <w:rPr>
          <w:i/>
          <w:iCs/>
          <w:sz w:val="20"/>
        </w:rPr>
        <w:t>Португалия/Съвет</w:t>
      </w:r>
      <w:r w:rsidRPr="00BE7963">
        <w:rPr>
          <w:sz w:val="20"/>
        </w:rPr>
        <w:t>, ECLI:EU:C:1996:461.</w:t>
      </w:r>
    </w:p>
  </w:footnote>
  <w:footnote w:id="7">
    <w:p w:rsidR="00621E55" w:rsidRPr="00BE7963" w:rsidP="00621E55" w14:paraId="5C0CE2B0" w14:textId="77777777">
      <w:pPr>
        <w:ind w:left="284" w:hanging="284"/>
        <w:rPr>
          <w:sz w:val="20"/>
        </w:rPr>
      </w:pPr>
      <w:r w:rsidRPr="00BE7963">
        <w:rPr>
          <w:sz w:val="20"/>
          <w:vertAlign w:val="superscript"/>
        </w:rPr>
        <w:footnoteRef/>
      </w:r>
      <w:r w:rsidRPr="00BE7963">
        <w:rPr>
          <w:sz w:val="20"/>
        </w:rPr>
        <w:t xml:space="preserve"> </w:t>
      </w:r>
      <w:r w:rsidRPr="00BE7963">
        <w:rPr>
          <w:sz w:val="20"/>
        </w:rPr>
        <w:tab/>
        <w:t xml:space="preserve">Решение от 12.11.1996 г., </w:t>
      </w:r>
      <w:r w:rsidRPr="00BE7963">
        <w:rPr>
          <w:i/>
          <w:iCs/>
          <w:sz w:val="20"/>
        </w:rPr>
        <w:t>Обединено кралство/Съвет</w:t>
      </w:r>
      <w:r w:rsidRPr="00BE7963">
        <w:rPr>
          <w:sz w:val="20"/>
        </w:rPr>
        <w:t>, C-84/94, ECLI:EU:C:1996:431.</w:t>
      </w:r>
    </w:p>
  </w:footnote>
  <w:footnote w:id="8">
    <w:p w:rsidR="00621E55" w:rsidRPr="00BE7963" w:rsidP="00621E55" w14:paraId="756154AC" w14:textId="77777777">
      <w:pPr>
        <w:ind w:left="284" w:hanging="284"/>
        <w:rPr>
          <w:sz w:val="20"/>
        </w:rPr>
      </w:pPr>
      <w:r w:rsidRPr="00BE7963">
        <w:rPr>
          <w:sz w:val="20"/>
          <w:vertAlign w:val="superscript"/>
        </w:rPr>
        <w:footnoteRef/>
      </w:r>
      <w:r w:rsidRPr="00BE7963">
        <w:rPr>
          <w:sz w:val="20"/>
        </w:rPr>
        <w:tab/>
        <w:t>ОВ L 183, 29.6.1989 г., стр. 1.</w:t>
      </w:r>
    </w:p>
  </w:footnote>
  <w:footnote w:id="9">
    <w:p w:rsidR="00621E55" w:rsidRPr="00650E1B" w:rsidP="00621E55" w14:paraId="31FA496A" w14:textId="274A9E7F">
      <w:r w:rsidRPr="00BE7963">
        <w:rPr>
          <w:vertAlign w:val="superscript"/>
        </w:rPr>
        <w:footnoteRef/>
      </w:r>
      <w:r w:rsidRPr="00650E1B">
        <w:t xml:space="preserve"> Междуинституционално споразумение от 20 май 2021 г. между Европейския парламент, Съвета на Европейския съюз и Европейската комисия за задължителен регистър за прозрачност (ОВ L 207, 11.6.2021 г., стр. 1, ELI: </w:t>
      </w:r>
      <w:hyperlink r:id="rId1" w:tooltip="http://data.europa.eu/eli/agree_interinstit/2021/611/oj" w:history="1">
        <w:r w:rsidRPr="00650E1B">
          <w:rPr>
            <w:rStyle w:val="Hyperlink"/>
          </w:rPr>
          <w:t>http://data.europa.eu/eli/agree_interinstit/2021/611/oj</w:t>
        </w:r>
      </w:hyperlink>
      <w:r w:rsidRPr="00650E1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7963" w14:paraId="6E19E66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7963" w14:paraId="3DEA1B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7963" w14:paraId="0FCFFEE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3">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3"/>
  </w:num>
  <w:num w:numId="43">
    <w:abstractNumId w:val="12"/>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2F3"/>
    <w:rsid w:val="00000C7D"/>
    <w:rsid w:val="0000696F"/>
    <w:rsid w:val="00035402"/>
    <w:rsid w:val="00037518"/>
    <w:rsid w:val="000B6751"/>
    <w:rsid w:val="000C3F41"/>
    <w:rsid w:val="000E7850"/>
    <w:rsid w:val="000F507D"/>
    <w:rsid w:val="0012665B"/>
    <w:rsid w:val="001422AE"/>
    <w:rsid w:val="00147FBF"/>
    <w:rsid w:val="001701D6"/>
    <w:rsid w:val="00171E4A"/>
    <w:rsid w:val="001D1646"/>
    <w:rsid w:val="00242B20"/>
    <w:rsid w:val="00250DDD"/>
    <w:rsid w:val="002B2C72"/>
    <w:rsid w:val="003001CD"/>
    <w:rsid w:val="00332170"/>
    <w:rsid w:val="003666DE"/>
    <w:rsid w:val="003763A3"/>
    <w:rsid w:val="00384E03"/>
    <w:rsid w:val="003858C5"/>
    <w:rsid w:val="003B144E"/>
    <w:rsid w:val="003C6D88"/>
    <w:rsid w:val="00405640"/>
    <w:rsid w:val="00426BB2"/>
    <w:rsid w:val="0043791A"/>
    <w:rsid w:val="00463119"/>
    <w:rsid w:val="00482DA5"/>
    <w:rsid w:val="00483D89"/>
    <w:rsid w:val="00493031"/>
    <w:rsid w:val="004D0D33"/>
    <w:rsid w:val="004D0D4E"/>
    <w:rsid w:val="004E156C"/>
    <w:rsid w:val="004E5B27"/>
    <w:rsid w:val="004F676F"/>
    <w:rsid w:val="00501E47"/>
    <w:rsid w:val="00595C9D"/>
    <w:rsid w:val="005A767B"/>
    <w:rsid w:val="00621E55"/>
    <w:rsid w:val="00650E1B"/>
    <w:rsid w:val="00655869"/>
    <w:rsid w:val="006A3698"/>
    <w:rsid w:val="006D0D34"/>
    <w:rsid w:val="007172C8"/>
    <w:rsid w:val="007179A7"/>
    <w:rsid w:val="007829F6"/>
    <w:rsid w:val="007E55EB"/>
    <w:rsid w:val="007E6351"/>
    <w:rsid w:val="00802D65"/>
    <w:rsid w:val="008249C6"/>
    <w:rsid w:val="0084209A"/>
    <w:rsid w:val="00853AFA"/>
    <w:rsid w:val="0089677B"/>
    <w:rsid w:val="008A7815"/>
    <w:rsid w:val="008B0FBF"/>
    <w:rsid w:val="008E2161"/>
    <w:rsid w:val="008F7F7D"/>
    <w:rsid w:val="009957FA"/>
    <w:rsid w:val="009B59C7"/>
    <w:rsid w:val="009D564F"/>
    <w:rsid w:val="009F796C"/>
    <w:rsid w:val="00A04228"/>
    <w:rsid w:val="00A37F67"/>
    <w:rsid w:val="00AB4A15"/>
    <w:rsid w:val="00AC0580"/>
    <w:rsid w:val="00AC0BEF"/>
    <w:rsid w:val="00AE6929"/>
    <w:rsid w:val="00B24A79"/>
    <w:rsid w:val="00B34714"/>
    <w:rsid w:val="00B735E3"/>
    <w:rsid w:val="00BE7963"/>
    <w:rsid w:val="00C127ED"/>
    <w:rsid w:val="00C36610"/>
    <w:rsid w:val="00C53DA0"/>
    <w:rsid w:val="00C85D0F"/>
    <w:rsid w:val="00CA76DD"/>
    <w:rsid w:val="00CE1655"/>
    <w:rsid w:val="00D07CDA"/>
    <w:rsid w:val="00D478EA"/>
    <w:rsid w:val="00D77B8C"/>
    <w:rsid w:val="00D91AC3"/>
    <w:rsid w:val="00D92A83"/>
    <w:rsid w:val="00E71F4C"/>
    <w:rsid w:val="00EC3D76"/>
    <w:rsid w:val="00EE3D45"/>
    <w:rsid w:val="00F232F3"/>
    <w:rsid w:val="00F501D2"/>
    <w:rsid w:val="00F70D50"/>
    <w:rsid w:val="00FD6D4B"/>
  </w:rsids>
  <w:docVars>
    <w:docVar w:name="ADDRESSMNU" w:val=" 2"/>
    <w:docVar w:name="AUTHORMFMNU" w:val=" 1"/>
    <w:docVar w:name="COMKEY" w:val="EMPL"/>
    <w:docVar w:name="CONTRIBUTIONMNU" w:val=" 2"/>
    <w:docVar w:name="DOCREFMNU" w:val=" 1"/>
    <w:docVar w:name="FONCTIONMNU" w:val=" 1"/>
    <w:docVar w:name="LastEditedSection" w:val=" 1"/>
    <w:docVar w:name="strDocTypeID" w:val="AL_JURI"/>
    <w:docVar w:name="strSubDir" w:val="1349"/>
    <w:docVar w:name="TXTLANGUE" w:val="EN"/>
    <w:docVar w:name="TXTLANGUEMIN" w:val="en"/>
    <w:docVar w:name="TXTNRC" w:val="xxx"/>
    <w:docVar w:name="TXTNRCOM" w:val="(2026)xxx"/>
    <w:docVar w:name="TXTNRPE" w:val="791.076"/>
    <w:docVar w:name="TXTNRPROC" w:val="2026//2023"/>
    <w:docVar w:name="TXTPEorAP" w:val="PE"/>
    <w:docVar w:name="TXTROUTE" w:val="AL\1349553EN.docx"/>
    <w:docVar w:name="TXTVERSION" w:val="02-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A63338B-FD38-47C7-A697-4C796E24C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Default">
    <w:name w:val="Default"/>
    <w:rsid w:val="007172C8"/>
    <w:pPr>
      <w:autoSpaceDE w:val="0"/>
      <w:autoSpaceDN w:val="0"/>
      <w:adjustRightInd w:val="0"/>
    </w:pPr>
    <w:rPr>
      <w:rFonts w:ascii="Warnock Pro" w:hAnsi="Warnock Pro" w:eastAsiaTheme="minorHAnsi" w:cs="Warnock Pro"/>
      <w:color w:val="000000"/>
      <w:sz w:val="24"/>
      <w:szCs w:val="24"/>
      <w:lang w:eastAsia="en-US"/>
    </w:rPr>
  </w:style>
  <w:style w:type="character" w:customStyle="1" w:styleId="Nessuno">
    <w:name w:val="Nessuno"/>
    <w:rsid w:val="007172C8"/>
  </w:style>
  <w:style w:type="paragraph" w:customStyle="1" w:styleId="Pointabc">
    <w:name w:val="Point abc"/>
    <w:basedOn w:val="Normal"/>
    <w:rsid w:val="007172C8"/>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7172C8"/>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7172C8"/>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7172C8"/>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7172C8"/>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7172C8"/>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7172C8"/>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7172C8"/>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7172C8"/>
    <w:pPr>
      <w:widowControl/>
      <w:numPr>
        <w:ilvl w:val="6"/>
        <w:numId w:val="44"/>
      </w:numPr>
      <w:spacing w:before="120" w:after="120" w:line="360" w:lineRule="auto"/>
    </w:pPr>
    <w:rPr>
      <w:rFonts w:eastAsiaTheme="minorHAnsi"/>
      <w:szCs w:val="22"/>
      <w:lang w:eastAsia="en-US"/>
    </w:rPr>
  </w:style>
  <w:style w:type="character" w:customStyle="1" w:styleId="outputecliaff">
    <w:name w:val="outputecliaff"/>
    <w:basedOn w:val="DefaultParagraphFont"/>
    <w:rsid w:val="007172C8"/>
  </w:style>
  <w:style w:type="character" w:customStyle="1" w:styleId="affairetitle">
    <w:name w:val="affaire_title"/>
    <w:basedOn w:val="DefaultParagraphFont"/>
    <w:rsid w:val="007172C8"/>
  </w:style>
  <w:style w:type="paragraph" w:customStyle="1" w:styleId="RollCallSymbols14pt">
    <w:name w:val="RollCallSymbols14pt"/>
    <w:basedOn w:val="Normal"/>
    <w:rsid w:val="00EC3D7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C3D76"/>
    <w:pPr>
      <w:tabs>
        <w:tab w:val="center" w:pos="284"/>
        <w:tab w:val="left" w:pos="426"/>
      </w:tabs>
    </w:pPr>
    <w:rPr>
      <w:snapToGrid w:val="0"/>
      <w:lang w:eastAsia="en-US"/>
    </w:rPr>
  </w:style>
  <w:style w:type="paragraph" w:customStyle="1" w:styleId="RollCallVotes">
    <w:name w:val="RollCallVotes"/>
    <w:basedOn w:val="Normal"/>
    <w:rsid w:val="00EC3D76"/>
    <w:pPr>
      <w:spacing w:before="120" w:after="120"/>
      <w:jc w:val="center"/>
    </w:pPr>
    <w:rPr>
      <w:b/>
      <w:bCs/>
      <w:snapToGrid w:val="0"/>
      <w:sz w:val="16"/>
      <w:lang w:eastAsia="en-US"/>
    </w:rPr>
  </w:style>
  <w:style w:type="paragraph" w:customStyle="1" w:styleId="PageHeadingNotTOC">
    <w:name w:val="PageHeadingNotTOC"/>
    <w:basedOn w:val="Normal"/>
    <w:rsid w:val="00EC3D76"/>
    <w:pPr>
      <w:keepNext/>
      <w:spacing w:after="480"/>
      <w:jc w:val="center"/>
    </w:pPr>
    <w:rPr>
      <w:rFonts w:ascii="Arial" w:hAnsi="Arial" w:cs="Arial"/>
      <w:b/>
    </w:rPr>
  </w:style>
  <w:style w:type="paragraph" w:customStyle="1" w:styleId="RollCallTable">
    <w:name w:val="RollCallTable"/>
    <w:basedOn w:val="Normal"/>
    <w:rsid w:val="00EC3D76"/>
    <w:pPr>
      <w:spacing w:before="120" w:after="120"/>
    </w:pPr>
    <w:rPr>
      <w:snapToGrid w:val="0"/>
      <w:sz w:val="16"/>
      <w:lang w:eastAsia="en-US"/>
    </w:rPr>
  </w:style>
  <w:style w:type="paragraph" w:customStyle="1" w:styleId="Normal24a">
    <w:name w:val="Normal24a"/>
    <w:basedOn w:val="Normal"/>
    <w:rsid w:val="00EC3D76"/>
    <w:pPr>
      <w:spacing w:after="480"/>
    </w:pPr>
    <w:rPr>
      <w:szCs w:val="24"/>
    </w:rPr>
  </w:style>
  <w:style w:type="paragraph" w:customStyle="1" w:styleId="NormalBoldCenter">
    <w:name w:val="NormalBoldCenter"/>
    <w:basedOn w:val="Normal"/>
    <w:rsid w:val="00EC3D76"/>
    <w:pPr>
      <w:jc w:val="center"/>
    </w:pPr>
    <w:rPr>
      <w:b/>
      <w:szCs w:val="24"/>
    </w:rPr>
  </w:style>
  <w:style w:type="paragraph" w:customStyle="1" w:styleId="NormalSingle">
    <w:name w:val="NormalSingle"/>
    <w:basedOn w:val="Normal"/>
    <w:qFormat/>
    <w:rsid w:val="00EC3D76"/>
    <w:rPr>
      <w:szCs w:val="24"/>
    </w:rPr>
  </w:style>
  <w:style w:type="paragraph" w:customStyle="1" w:styleId="Footprint12b">
    <w:name w:val="Footprint12b"/>
    <w:basedOn w:val="Normal"/>
    <w:rsid w:val="00EC3D76"/>
    <w:pPr>
      <w:spacing w:before="240"/>
    </w:pPr>
    <w:rPr>
      <w:szCs w:val="24"/>
    </w:rPr>
  </w:style>
  <w:style w:type="character" w:styleId="Hyperlink">
    <w:name w:val="Hyperlink"/>
    <w:basedOn w:val="DefaultParagraphFont"/>
    <w:rsid w:val="00EC3D76"/>
    <w:rPr>
      <w:color w:val="0563C1" w:themeColor="hyperlink"/>
      <w:u w:val="single"/>
    </w:rPr>
  </w:style>
  <w:style w:type="character" w:customStyle="1" w:styleId="UnresolvedMention">
    <w:name w:val="Unresolved Mention"/>
    <w:basedOn w:val="DefaultParagraphFont"/>
    <w:uiPriority w:val="99"/>
    <w:semiHidden/>
    <w:unhideWhenUsed/>
    <w:rsid w:val="00EC3D76"/>
    <w:rPr>
      <w:color w:val="605E5C"/>
      <w:shd w:val="clear" w:color="auto" w:fill="E1DFDD"/>
    </w:rPr>
  </w:style>
  <w:style w:type="paragraph" w:styleId="Footer">
    <w:name w:val="footer"/>
    <w:basedOn w:val="Normal"/>
    <w:link w:val="FooterChar"/>
    <w:semiHidden/>
    <w:rsid w:val="00242B20"/>
    <w:pPr>
      <w:tabs>
        <w:tab w:val="center" w:pos="4513"/>
        <w:tab w:val="right" w:pos="9026"/>
      </w:tabs>
    </w:pPr>
  </w:style>
  <w:style w:type="character" w:customStyle="1" w:styleId="FooterChar">
    <w:name w:val="Footer Char"/>
    <w:basedOn w:val="DefaultParagraphFont"/>
    <w:link w:val="Footer"/>
    <w:semiHidden/>
    <w:rsid w:val="00242B20"/>
    <w:rPr>
      <w:sz w:val="24"/>
    </w:rPr>
  </w:style>
  <w:style w:type="paragraph" w:styleId="Revision">
    <w:name w:val="Revision"/>
    <w:hidden/>
    <w:uiPriority w:val="99"/>
    <w:semiHidden/>
    <w:rsid w:val="00621E5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2456</Words>
  <Characters>14370</Characters>
  <Application>Microsoft Office Word</Application>
  <DocSecurity>0</DocSecurity>
  <Lines>334</Lines>
  <Paragraphs>121</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creator>European Parliament</dc:creator>
  <cp:lastModifiedBy>European Parliament</cp:lastModifiedBy>
  <cp:revision>2</cp:revision>
  <cp:lastPrinted>2026-07-20T15:19:00Z</cp:lastPrinted>
  <dcterms:created xsi:type="dcterms:W3CDTF">2026-08-28T07:33:00Z</dcterms:created>
  <dcterms:modified xsi:type="dcterms:W3CDTF">2026-08-28T07:33:00Z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1349553</vt:lpwstr>
  </property>
  <property fmtid="{D5CDD505-2E9C-101B-9397-08002B2CF9AE}" pid="4" name="&lt;Model&gt;">
    <vt:lpwstr>AL_JURI</vt:lpwstr>
  </property>
  <property fmtid="{D5CDD505-2E9C-101B-9397-08002B2CF9AE}" pid="5" name="&lt;ModelCod&gt;">
    <vt:lpwstr>\\eiciBRUpr1\pdocep$\DocEP\DOCS\General\AL\AL_JURI.dotx(20/01/2023 22:25:05)</vt:lpwstr>
  </property>
  <property fmtid="{D5CDD505-2E9C-101B-9397-08002B2CF9AE}" pid="6" name="&lt;ModelTra&gt;">
    <vt:lpwstr>\\eiciBRUpr1\pdocep$\DocEP\TRANSFIL\EN\AL_JURI.EN(04/05/2026 10:48:02)</vt:lpwstr>
  </property>
  <property fmtid="{D5CDD505-2E9C-101B-9397-08002B2CF9AE}" pid="7" name="&lt;Type&gt;">
    <vt:lpwstr>AL</vt:lpwstr>
  </property>
  <property fmtid="{D5CDD505-2E9C-101B-9397-08002B2CF9AE}" pid="8" name="Bookout">
    <vt:lpwstr>OK - 2026/08/28 09:33</vt:lpwstr>
  </property>
  <property fmtid="{D5CDD505-2E9C-101B-9397-08002B2CF9AE}" pid="9" name="Created with">
    <vt:lpwstr>10.3.0 Build [20260401]</vt:lpwstr>
  </property>
  <property fmtid="{D5CDD505-2E9C-101B-9397-08002B2CF9AE}" pid="10" name="FooterPath">
    <vt:lpwstr>AL\1349553BG.docx</vt:lpwstr>
  </property>
  <property fmtid="{D5CDD505-2E9C-101B-9397-08002B2CF9AE}" pid="11" name="LastEdited with">
    <vt:lpwstr>10.3.1 Build [20260701]</vt:lpwstr>
  </property>
  <property fmtid="{D5CDD505-2E9C-101B-9397-08002B2CF9AE}" pid="12" name="OriLang">
    <vt:lpwstr>EN</vt:lpwstr>
  </property>
  <property fmtid="{D5CDD505-2E9C-101B-9397-08002B2CF9AE}" pid="13" name="PE number">
    <vt:lpwstr>791.076</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- 2026/08/27 15:36</vt:lpwstr>
  </property>
</Properties>
</file>