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12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1F03ED9" w14:textId="77777777" w:rsidTr="00C85D0F">
        <w:tblPrEx>
          <w:tblW w:w="9072" w:type="dxa"/>
          <w:tblCellMar>
            <w:left w:w="0" w:type="dxa"/>
            <w:right w:w="0" w:type="dxa"/>
          </w:tblCellMar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3666DE" w:rsidRPr="002910D1" w:rsidP="00C85D0F" w14:paraId="2133CE60" w14:textId="77777777">
            <w:pPr>
              <w:pStyle w:val="EPName"/>
            </w:pPr>
            <w:r w:rsidRPr="002910D1">
              <w:t>Parlament Ewropew</w:t>
            </w:r>
          </w:p>
          <w:p w:rsidR="003666DE" w:rsidRPr="002910D1" w:rsidP="00C85D0F" w14:paraId="5B8102C1" w14:textId="77777777">
            <w:pPr>
              <w:pStyle w:val="EPTerm"/>
            </w:pPr>
            <w:r w:rsidRPr="002910D1">
              <w:t>2024-2029</w:t>
            </w:r>
          </w:p>
        </w:tc>
        <w:tc>
          <w:tcPr>
            <w:tcW w:w="2268" w:type="dxa"/>
            <w:shd w:val="clear" w:color="auto" w:fill="auto"/>
          </w:tcPr>
          <w:p w:rsidR="003666DE" w:rsidRPr="002910D1" w:rsidP="00C85D0F" w14:paraId="7F5383B2" w14:textId="77777777">
            <w:pPr>
              <w:pStyle w:val="EPLogo"/>
            </w:pPr>
            <w:r w:rsidRPr="002910D1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0240899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C7D" w:rsidRPr="002910D1" w:rsidP="00000C7D" w14:paraId="38A7D5FC" w14:textId="77777777">
      <w:pPr>
        <w:pStyle w:val="LineTop"/>
      </w:pPr>
    </w:p>
    <w:p w:rsidR="00000C7D" w:rsidRPr="002910D1" w:rsidP="00000C7D" w14:paraId="19C90582" w14:textId="77777777">
      <w:pPr>
        <w:pStyle w:val="EPBody"/>
      </w:pPr>
      <w:r w:rsidRPr="002910D1">
        <w:rPr>
          <w:rStyle w:val="HideTWBExt"/>
        </w:rPr>
        <w:t>&lt;</w:t>
      </w:r>
      <w:r w:rsidRPr="002910D1">
        <w:rPr>
          <w:rStyle w:val="HideTWBExt"/>
          <w:i w:val="0"/>
        </w:rPr>
        <w:t>Commission</w:t>
      </w:r>
      <w:r w:rsidRPr="002910D1">
        <w:rPr>
          <w:rStyle w:val="HideTWBExt"/>
        </w:rPr>
        <w:t>&gt;</w:t>
      </w:r>
      <w:r w:rsidRPr="002910D1">
        <w:rPr>
          <w:rStyle w:val="HideTWBInt"/>
          <w:color w:val="auto"/>
        </w:rPr>
        <w:t>{JURI}</w:t>
      </w:r>
      <w:r w:rsidRPr="002910D1">
        <w:t>Kumitat għall-Affarijiet Legali</w:t>
      </w:r>
      <w:r w:rsidRPr="002910D1">
        <w:rPr>
          <w:rStyle w:val="HideTWBExt"/>
        </w:rPr>
        <w:t>&lt;/</w:t>
      </w:r>
      <w:r w:rsidRPr="002910D1">
        <w:rPr>
          <w:rStyle w:val="HideTWBExt"/>
          <w:i w:val="0"/>
        </w:rPr>
        <w:t>Commission</w:t>
      </w:r>
      <w:r w:rsidRPr="002910D1">
        <w:rPr>
          <w:rStyle w:val="HideTWBExt"/>
        </w:rPr>
        <w:t>&gt;</w:t>
      </w:r>
    </w:p>
    <w:p w:rsidR="00000C7D" w:rsidRPr="002910D1" w:rsidP="00000C7D" w14:paraId="4FE5015A" w14:textId="77777777">
      <w:pPr>
        <w:pStyle w:val="EPBody"/>
      </w:pPr>
      <w:r w:rsidRPr="002910D1">
        <w:t>Il-President</w:t>
      </w:r>
    </w:p>
    <w:p w:rsidR="00000C7D" w:rsidRPr="002910D1" w:rsidP="00000C7D" w14:paraId="1F71AB38" w14:textId="77777777">
      <w:pPr>
        <w:pStyle w:val="LineBottom"/>
      </w:pPr>
    </w:p>
    <w:p w:rsidR="00E71F4C" w:rsidRPr="002910D1" w:rsidP="00A04228" w14:paraId="66C24ECB" w14:textId="77777777">
      <w:pPr>
        <w:pStyle w:val="LetterDate"/>
      </w:pPr>
      <w:r w:rsidRPr="002910D1">
        <w:rPr>
          <w:rStyle w:val="HideTWBExt"/>
        </w:rPr>
        <w:t>&lt;Date&gt;</w:t>
      </w:r>
      <w:r w:rsidRPr="002910D1">
        <w:rPr>
          <w:rStyle w:val="HideTWBInt"/>
          <w:color w:val="auto"/>
        </w:rPr>
        <w:t>{23/07/2026}</w:t>
      </w:r>
      <w:r w:rsidRPr="002910D1">
        <w:t>23.7.2026</w:t>
      </w:r>
      <w:r w:rsidRPr="002910D1">
        <w:rPr>
          <w:rStyle w:val="HideTWBExt"/>
        </w:rPr>
        <w:t>&lt;/Date&gt;</w:t>
      </w:r>
    </w:p>
    <w:p w:rsidR="007179A7" w:rsidRPr="002910D1" w14:paraId="4755BE94" w14:textId="77777777">
      <w:r w:rsidRPr="002910D1">
        <w:t>Is-Sinjura Li Andersson</w:t>
      </w:r>
    </w:p>
    <w:p w:rsidR="007179A7" w:rsidRPr="002910D1" w14:paraId="3F7CFEC5" w14:textId="77777777">
      <w:r w:rsidRPr="002910D1">
        <w:t>President</w:t>
      </w:r>
    </w:p>
    <w:p w:rsidR="007179A7" w:rsidRPr="002910D1" w14:paraId="39469E96" w14:textId="77777777">
      <w:r w:rsidRPr="002910D1">
        <w:t>Kumitat għall-Impjiegi u l-Affarijiet Soċjali</w:t>
      </w:r>
    </w:p>
    <w:p w:rsidR="007179A7" w:rsidRPr="002910D1" w14:paraId="653EC438" w14:textId="77777777">
      <w:r w:rsidRPr="002910D1">
        <w:t>BRUSSELL</w:t>
      </w:r>
    </w:p>
    <w:p w:rsidR="00D76AD4" w:rsidRPr="002910D1" w:rsidP="00D76AD4" w14:paraId="33FA8F7B" w14:textId="77777777">
      <w:pPr>
        <w:pStyle w:val="LetterSubject"/>
      </w:pPr>
      <w:r w:rsidRPr="002910D1">
        <w:t>Suġġett:</w:t>
      </w:r>
      <w:r w:rsidRPr="002910D1">
        <w:tab/>
      </w:r>
      <w:r w:rsidRPr="002910D1">
        <w:rPr>
          <w:rStyle w:val="HideTWBExt"/>
        </w:rPr>
        <w:t>&lt;Titre&gt;</w:t>
      </w:r>
      <w:r w:rsidRPr="002910D1">
        <w:t>Opinjoni dwar il-bażi legali b’rakkomandazzjonijiet lill-Kummissjoni dwar ir-riskji psikosoċjali, l-istress u s-saħħa mentali fuq il-post tax-xogħol</w:t>
      </w:r>
      <w:r w:rsidRPr="002910D1">
        <w:rPr>
          <w:rStyle w:val="HideTWBExt"/>
        </w:rPr>
        <w:t>&lt;/Titre&gt;&lt;DocRef&gt;</w:t>
      </w:r>
      <w:r w:rsidRPr="002910D1">
        <w:t>(2026/2023(INL))</w:t>
      </w:r>
      <w:r w:rsidRPr="002910D1">
        <w:rPr>
          <w:rStyle w:val="HideTWBExt"/>
        </w:rPr>
        <w:t>&lt;/DocRef&gt;</w:t>
      </w:r>
    </w:p>
    <w:p w:rsidR="007179A7" w:rsidRPr="002910D1" w:rsidP="00D76AD4" w14:paraId="2E5F342E" w14:textId="77777777">
      <w:pPr>
        <w:pStyle w:val="LetterSubject"/>
      </w:pPr>
      <w:r w:rsidRPr="002910D1">
        <w:t>Sinjura President,</w:t>
      </w:r>
    </w:p>
    <w:p w:rsidR="007179A7" w:rsidRPr="002910D1" w14:paraId="1561A207" w14:textId="77777777">
      <w:pPr>
        <w:pStyle w:val="Normal12a"/>
      </w:pPr>
    </w:p>
    <w:p w:rsidR="00D76AD4" w:rsidRPr="002910D1" w:rsidP="00D76AD4" w14:paraId="5D91ADCC" w14:textId="77777777">
      <w:pPr>
        <w:jc w:val="both"/>
      </w:pPr>
      <w:r w:rsidRPr="002910D1">
        <w:t xml:space="preserve">Fil-21 ta’ Novembru 2025, il-Kumitat għall-Impjiegi u l-Affarijiet Soċjali (EMPL) talab l-awtorizzazzjoni biex ifassal, skont l-Artikolu 47 tar-Regoli ta’ Proċedura, rapport leġiżlattiv fuq inizjattiva proprja skont l-Artikolu 225 tat-Trattat dwar il-Funzjonament tal-Unjoni Ewropea (TFUE) dwar “Ir-riskji psikosoċjali, l-istress u s-saħħa mentali fuq il-post tax-xogħol” (il-“proposta INL”). Fl-4 ta’ Marzu 2026, il-Konferenza tal-Presidenti tat l-awtorizzazzjoni lill-Kumitat EMPL. </w:t>
      </w:r>
    </w:p>
    <w:p w:rsidR="00D76AD4" w:rsidRPr="002910D1" w:rsidP="00D76AD4" w14:paraId="38C56159" w14:textId="77777777">
      <w:pPr>
        <w:pStyle w:val="Default"/>
        <w:jc w:val="both"/>
        <w:rPr>
          <w:rFonts w:ascii="Times New Roman" w:hAnsi="Times New Roman" w:cs="Times New Roman"/>
        </w:rPr>
      </w:pPr>
    </w:p>
    <w:p w:rsidR="00D76AD4" w:rsidRPr="002910D1" w:rsidP="00D76AD4" w14:paraId="07345EF0" w14:textId="77777777">
      <w:pPr>
        <w:jc w:val="both"/>
      </w:pPr>
      <w:r w:rsidRPr="002910D1">
        <w:t>B’ittra tas-27 ta’ Marzu 2026, il-Kumitat EMPL talab lill-Kumitat għall-Affarijiet Legali (JURI) jagħti opinjoni, skont l-Artikolu 47(3), dwar ix-xerqin tal-bażi legali għar-rapport INL, jiġifieri l-Artikolu 153(2)(b), flimkien mal-Artikolu 153(1)(a) tat-Trattat dwar il-Funzjonament tal-Unjoni Ewropea (TFUE).</w:t>
      </w:r>
    </w:p>
    <w:p w:rsidR="00D76AD4" w:rsidRPr="002910D1" w:rsidP="00D76AD4" w14:paraId="7F2ADB39" w14:textId="77777777">
      <w:pPr>
        <w:pStyle w:val="Default"/>
        <w:jc w:val="both"/>
        <w:rPr>
          <w:rFonts w:ascii="Times New Roman" w:hAnsi="Times New Roman" w:cs="Times New Roman"/>
        </w:rPr>
      </w:pPr>
    </w:p>
    <w:p w:rsidR="00D76AD4" w:rsidRPr="002910D1" w:rsidP="00D76AD4" w14:paraId="2A292932" w14:textId="77777777">
      <w:pPr>
        <w:pStyle w:val="Default"/>
        <w:jc w:val="both"/>
        <w:rPr>
          <w:rFonts w:ascii="Times New Roman" w:hAnsi="Times New Roman" w:cs="Times New Roman"/>
        </w:rPr>
      </w:pPr>
      <w:r w:rsidRPr="002910D1">
        <w:rPr>
          <w:rFonts w:ascii="Times New Roman" w:hAnsi="Times New Roman"/>
        </w:rPr>
        <w:t>Fil-laqgħa tiegħu tal-15 ta’ Lulju 2026, il-Kumitat JURI kkunsidra l-kwistjoni tax-xerqien tal-bażi legali proposta fl-abbozz tal-INL inkwistjoni.</w:t>
      </w:r>
    </w:p>
    <w:p w:rsidR="00D76AD4" w:rsidRPr="002910D1" w:rsidP="00D76AD4" w14:paraId="081E3703" w14:textId="77777777">
      <w:pPr>
        <w:pStyle w:val="Normal12a"/>
      </w:pPr>
    </w:p>
    <w:p w:rsidR="00D76AD4" w:rsidRPr="002910D1" w:rsidP="00D76AD4" w14:paraId="0A312B63" w14:textId="77777777">
      <w:pPr>
        <w:jc w:val="both"/>
        <w:rPr>
          <w:b/>
          <w:bCs/>
          <w:u w:val="single"/>
        </w:rPr>
      </w:pPr>
      <w:r w:rsidRPr="002910D1">
        <w:rPr>
          <w:b/>
          <w:u w:val="single"/>
        </w:rPr>
        <w:t>I – Sfond</w:t>
      </w:r>
    </w:p>
    <w:p w:rsidR="00D76AD4" w:rsidRPr="002910D1" w:rsidP="00D76AD4" w14:paraId="1B5A1869" w14:textId="77777777">
      <w:pPr>
        <w:jc w:val="both"/>
      </w:pPr>
    </w:p>
    <w:p w:rsidR="00D76AD4" w:rsidRPr="002910D1" w:rsidP="00D76AD4" w14:paraId="6A672465" w14:textId="3D2AEB2C">
      <w:pPr>
        <w:jc w:val="both"/>
      </w:pPr>
      <w:r w:rsidRPr="002910D1">
        <w:t>It-talba għall-awtorizzazzjoni tal-INL saret skont il-punt VII</w:t>
      </w:r>
      <w:r w:rsidR="00902693">
        <w:t>I</w:t>
      </w:r>
      <w:r w:rsidRPr="002910D1">
        <w:t xml:space="preserve">(3) tal-Anness VI tar-Regoli ta’ Proċedura, li jagħti lill-Kumitat EMPL il-kompetenza fil-qasam tal-miżuri tas-saħħa u s-sikurezza fuq il-post tax-xogħol. </w:t>
      </w:r>
    </w:p>
    <w:p w:rsidR="00D76AD4" w:rsidRPr="002910D1" w:rsidP="00D76AD4" w14:paraId="11EC35FF" w14:textId="77777777">
      <w:pPr>
        <w:jc w:val="both"/>
      </w:pPr>
    </w:p>
    <w:p w:rsidR="00D76AD4" w:rsidRPr="002910D1" w:rsidP="00D76AD4" w14:paraId="2DE0426B" w14:textId="77777777">
      <w:pPr>
        <w:jc w:val="both"/>
      </w:pPr>
      <w:r w:rsidRPr="002910D1">
        <w:t xml:space="preserve">L-iskop tal-proposta INL hija li tistieden lill-Kummissjoni tressaq proposta dwar ir-riskji psikosoċjali u l-benesseri fuq il-post tax-xogħol immirata lejn il-prevenzjoni effiċjenti tar-riskji psikosoċjali fuq il-post tax-xogħol, bħall-ansjetà, id-dipressjoni, il-burnout u l-istress, inklużi riskji kkawżati minn problemi strutturali bħall-organizzazzjoni tax-xogħol (jiġifieri ġestjoni ħażina, tfassil ħażin tax-xogħol jew nuqqas ta’ tqabbil xieraq tal-għarfien u l-kapaċitajiet tal-ħaddiema mal-kompiti assenjati). Il-Parlament stieden lill-Kummissjoni tippreżenta proposta bħal din waqt diskussjoni plenarja f’Mejju 2025. </w:t>
      </w:r>
    </w:p>
    <w:p w:rsidR="00D76AD4" w:rsidRPr="002910D1" w:rsidP="00D76AD4" w14:paraId="0F60C0FD" w14:textId="77777777">
      <w:pPr>
        <w:pStyle w:val="Normal12a"/>
      </w:pPr>
    </w:p>
    <w:p w:rsidR="00D76AD4" w:rsidRPr="002910D1" w:rsidP="00D76AD4" w14:paraId="0DD873A5" w14:textId="77777777">
      <w:pPr>
        <w:jc w:val="both"/>
        <w:rPr>
          <w:rStyle w:val="Nessuno"/>
          <w:b/>
          <w:bCs/>
        </w:rPr>
      </w:pPr>
      <w:r w:rsidRPr="002910D1">
        <w:rPr>
          <w:b/>
          <w:u w:val="single"/>
        </w:rPr>
        <w:t>II – L-Artikoli rilevanti tat-Trattat</w:t>
      </w:r>
    </w:p>
    <w:p w:rsidR="00D76AD4" w:rsidRPr="002910D1" w:rsidP="00D76AD4" w14:paraId="43D92A3A" w14:textId="77777777">
      <w:pPr>
        <w:tabs>
          <w:tab w:val="left" w:pos="7014"/>
        </w:tabs>
        <w:rPr>
          <w:rStyle w:val="Nessuno"/>
          <w:bCs/>
        </w:rPr>
      </w:pPr>
    </w:p>
    <w:p w:rsidR="00D76AD4" w:rsidRPr="002910D1" w:rsidP="00D76AD4" w14:paraId="7D35D021" w14:textId="77777777">
      <w:pPr>
        <w:tabs>
          <w:tab w:val="left" w:pos="7014"/>
        </w:tabs>
        <w:rPr>
          <w:rStyle w:val="Nessuno"/>
          <w:bCs/>
          <w:i/>
        </w:rPr>
      </w:pPr>
      <w:r w:rsidRPr="002910D1">
        <w:rPr>
          <w:rStyle w:val="Nessuno"/>
          <w:i/>
        </w:rPr>
        <w:t>It-Titolu X tat-Tielet Parti tat-TFUE dwar il-Politika Soċjali jipprevedi, fost l-oħrajn (enfasi miżjuda):</w:t>
      </w:r>
    </w:p>
    <w:p w:rsidR="00D76AD4" w:rsidRPr="002910D1" w:rsidP="00D76AD4" w14:paraId="147E72C2" w14:textId="77777777">
      <w:pPr>
        <w:tabs>
          <w:tab w:val="left" w:pos="7014"/>
        </w:tabs>
        <w:rPr>
          <w:rStyle w:val="Nessuno"/>
          <w:bCs/>
          <w:i/>
        </w:rPr>
      </w:pPr>
    </w:p>
    <w:p w:rsidR="00D76AD4" w:rsidRPr="002910D1" w:rsidP="00D76AD4" w14:paraId="52053E30" w14:textId="77777777">
      <w:pPr>
        <w:tabs>
          <w:tab w:val="left" w:pos="7014"/>
        </w:tabs>
        <w:jc w:val="center"/>
      </w:pPr>
      <w:r w:rsidRPr="002910D1">
        <w:rPr>
          <w:i/>
        </w:rPr>
        <w:t>Artikolu 153</w:t>
      </w:r>
    </w:p>
    <w:p w:rsidR="00D76AD4" w:rsidRPr="002910D1" w:rsidP="00D76AD4" w14:paraId="2E2F9CBE" w14:textId="77777777">
      <w:pPr>
        <w:tabs>
          <w:tab w:val="left" w:pos="7014"/>
        </w:tabs>
        <w:jc w:val="center"/>
        <w:rPr>
          <w:bCs/>
          <w:i/>
        </w:rPr>
      </w:pPr>
      <w:r w:rsidRPr="002910D1">
        <w:rPr>
          <w:i/>
        </w:rPr>
        <w:t xml:space="preserve">(ex Artikolu 137 TKE) </w:t>
      </w:r>
    </w:p>
    <w:p w:rsidR="00D76AD4" w:rsidRPr="002910D1" w:rsidP="00D76AD4" w14:paraId="739CEEAD" w14:textId="77777777">
      <w:pPr>
        <w:tabs>
          <w:tab w:val="left" w:pos="7014"/>
        </w:tabs>
        <w:jc w:val="center"/>
        <w:rPr>
          <w:rStyle w:val="Nessuno"/>
        </w:rPr>
      </w:pPr>
    </w:p>
    <w:p w:rsidR="00D76AD4" w:rsidRPr="002910D1" w:rsidP="00D76AD4" w14:paraId="667D51E4" w14:textId="77777777">
      <w:pPr>
        <w:spacing w:after="240"/>
        <w:ind w:left="567" w:hanging="567"/>
        <w:jc w:val="both"/>
        <w:rPr>
          <w:b/>
        </w:rPr>
      </w:pPr>
      <w:r w:rsidRPr="002910D1">
        <w:rPr>
          <w:b/>
          <w:i/>
        </w:rPr>
        <w:t>1.</w:t>
      </w:r>
      <w:r w:rsidRPr="002910D1">
        <w:rPr>
          <w:b/>
          <w:i/>
        </w:rPr>
        <w:tab/>
        <w:t>Bl-għan li jinkisbu l-għanijiet tal-Artikolu 151, l-Unjoni għandha ssostni u tikkomplementa l-attivitajiet tal-Istati Membri fl-oqsma li ġejjin:</w:t>
      </w:r>
      <w:r w:rsidRPr="002910D1">
        <w:rPr>
          <w:b/>
          <w:i/>
          <w:vanish/>
        </w:rPr>
        <w:t xml:space="preserve">(a) </w:t>
      </w:r>
      <w:r w:rsidRPr="002910D1">
        <w:rPr>
          <w:b/>
          <w:i/>
          <w:vanish/>
        </w:rPr>
        <w:tab/>
        <w:t>improvement in particular of the working environment to protect workers’ health and safety;</w:t>
      </w:r>
    </w:p>
    <w:p w:rsidR="00D76AD4" w:rsidRPr="002910D1" w:rsidP="00D76AD4" w14:paraId="70BB7928" w14:textId="77777777">
      <w:pPr>
        <w:ind w:left="1134" w:hanging="567"/>
        <w:rPr>
          <w:b/>
          <w:bCs/>
          <w:i/>
          <w:iCs/>
        </w:rPr>
      </w:pPr>
      <w:r w:rsidRPr="002910D1">
        <w:rPr>
          <w:b/>
          <w:i/>
        </w:rPr>
        <w:t xml:space="preserve">(a) </w:t>
      </w:r>
      <w:r w:rsidRPr="002910D1">
        <w:rPr>
          <w:b/>
          <w:i/>
        </w:rPr>
        <w:tab/>
        <w:t>it-titjib in partikolari tal-ambjent tax-xogħol sabiex jitħarsu s-saħħa u s-siġurtà tal-ħaddiema;</w:t>
      </w:r>
    </w:p>
    <w:p w:rsidR="00D76AD4" w:rsidRPr="002910D1" w:rsidP="00D76AD4" w14:paraId="6323F1DC" w14:textId="77777777">
      <w:pPr>
        <w:ind w:left="1134" w:hanging="567"/>
        <w:rPr>
          <w:i/>
          <w:iCs/>
        </w:rPr>
      </w:pPr>
    </w:p>
    <w:p w:rsidR="00D76AD4" w:rsidRPr="002910D1" w:rsidP="00D76AD4" w14:paraId="75026859" w14:textId="77777777">
      <w:pPr>
        <w:ind w:left="1134" w:hanging="567"/>
        <w:rPr>
          <w:i/>
          <w:iCs/>
        </w:rPr>
      </w:pPr>
      <w:r w:rsidRPr="002910D1">
        <w:rPr>
          <w:i/>
        </w:rPr>
        <w:t xml:space="preserve">(b) </w:t>
      </w:r>
      <w:r w:rsidRPr="002910D1">
        <w:rPr>
          <w:i/>
        </w:rPr>
        <w:tab/>
        <w:t xml:space="preserve">il-kondizzjonijiet tax-xogħol; </w:t>
      </w:r>
    </w:p>
    <w:p w:rsidR="00D76AD4" w:rsidRPr="002910D1" w:rsidP="00D76AD4" w14:paraId="786A1FF4" w14:textId="77777777">
      <w:pPr>
        <w:ind w:left="1134" w:hanging="567"/>
        <w:rPr>
          <w:i/>
          <w:iCs/>
        </w:rPr>
      </w:pPr>
    </w:p>
    <w:p w:rsidR="00D76AD4" w:rsidRPr="002910D1" w:rsidP="00D76AD4" w14:paraId="1A58DD23" w14:textId="77777777">
      <w:pPr>
        <w:ind w:left="1134" w:hanging="567"/>
        <w:rPr>
          <w:i/>
          <w:iCs/>
        </w:rPr>
      </w:pPr>
      <w:r w:rsidRPr="002910D1">
        <w:rPr>
          <w:i/>
        </w:rPr>
        <w:t xml:space="preserve">(c) </w:t>
      </w:r>
      <w:r w:rsidRPr="002910D1">
        <w:rPr>
          <w:i/>
        </w:rPr>
        <w:tab/>
        <w:t xml:space="preserve">is-sigurtà soċjali u l-protezzjoni soċjali tal-ħaddiema; </w:t>
      </w:r>
    </w:p>
    <w:p w:rsidR="00D76AD4" w:rsidRPr="002910D1" w:rsidP="00D76AD4" w14:paraId="5E28472D" w14:textId="77777777">
      <w:pPr>
        <w:ind w:left="1134" w:hanging="567"/>
        <w:rPr>
          <w:i/>
          <w:iCs/>
        </w:rPr>
      </w:pPr>
    </w:p>
    <w:p w:rsidR="00D76AD4" w:rsidRPr="002910D1" w:rsidP="00D76AD4" w14:paraId="4A3F83C8" w14:textId="77777777">
      <w:pPr>
        <w:ind w:left="1134" w:hanging="567"/>
        <w:rPr>
          <w:i/>
          <w:iCs/>
        </w:rPr>
      </w:pPr>
      <w:r w:rsidRPr="002910D1">
        <w:rPr>
          <w:i/>
        </w:rPr>
        <w:t xml:space="preserve">(d) </w:t>
      </w:r>
      <w:r w:rsidRPr="002910D1">
        <w:rPr>
          <w:i/>
        </w:rPr>
        <w:tab/>
        <w:t xml:space="preserve">il-protezzjoni tal-ħaddiema f’każ li jintemmilhom il-kuntratt tal-impjieg; </w:t>
      </w:r>
    </w:p>
    <w:p w:rsidR="00D76AD4" w:rsidRPr="002910D1" w:rsidP="00D76AD4" w14:paraId="01AF61DB" w14:textId="77777777">
      <w:pPr>
        <w:ind w:left="1134" w:hanging="567"/>
        <w:rPr>
          <w:i/>
          <w:iCs/>
        </w:rPr>
      </w:pPr>
    </w:p>
    <w:p w:rsidR="00D76AD4" w:rsidRPr="002910D1" w:rsidP="00D76AD4" w14:paraId="4049CC00" w14:textId="77777777">
      <w:pPr>
        <w:ind w:left="1134" w:hanging="567"/>
        <w:rPr>
          <w:i/>
          <w:iCs/>
        </w:rPr>
      </w:pPr>
      <w:r w:rsidRPr="002910D1">
        <w:rPr>
          <w:i/>
        </w:rPr>
        <w:t xml:space="preserve">(e) </w:t>
      </w:r>
      <w:r w:rsidRPr="002910D1">
        <w:rPr>
          <w:i/>
        </w:rPr>
        <w:tab/>
        <w:t>l-informazzjoni u l-konsultazzjoni tal-ħaddiema;</w:t>
      </w:r>
    </w:p>
    <w:p w:rsidR="00D76AD4" w:rsidRPr="002910D1" w:rsidP="00D76AD4" w14:paraId="6A23F3BE" w14:textId="77777777">
      <w:pPr>
        <w:ind w:left="1134" w:hanging="567"/>
        <w:rPr>
          <w:i/>
          <w:iCs/>
        </w:rPr>
      </w:pPr>
    </w:p>
    <w:p w:rsidR="00D76AD4" w:rsidRPr="002910D1" w:rsidP="00D76AD4" w14:paraId="004AA568" w14:textId="77777777">
      <w:pPr>
        <w:ind w:left="1134" w:hanging="567"/>
        <w:rPr>
          <w:i/>
          <w:iCs/>
        </w:rPr>
      </w:pPr>
      <w:r w:rsidRPr="002910D1">
        <w:rPr>
          <w:i/>
        </w:rPr>
        <w:t xml:space="preserve">(f) </w:t>
      </w:r>
      <w:r w:rsidRPr="002910D1">
        <w:rPr>
          <w:i/>
        </w:rPr>
        <w:tab/>
        <w:t xml:space="preserve">ir-rappreżentanza u d-difiża kollettiva tal-interessi tal-ħaddiema u s-sidien, inkluża t-tmexxija konġunta, mingħajr preġudizzju għall-paragrafu 5; </w:t>
      </w:r>
    </w:p>
    <w:p w:rsidR="00D76AD4" w:rsidRPr="002910D1" w:rsidP="00D76AD4" w14:paraId="4AB8310A" w14:textId="77777777">
      <w:pPr>
        <w:ind w:left="1134" w:hanging="567"/>
        <w:rPr>
          <w:i/>
          <w:iCs/>
        </w:rPr>
      </w:pPr>
    </w:p>
    <w:p w:rsidR="00D76AD4" w:rsidRPr="002910D1" w:rsidP="00D76AD4" w14:paraId="173E378F" w14:textId="77777777">
      <w:pPr>
        <w:ind w:left="1134" w:hanging="567"/>
        <w:rPr>
          <w:i/>
          <w:iCs/>
        </w:rPr>
      </w:pPr>
      <w:r w:rsidRPr="002910D1">
        <w:rPr>
          <w:i/>
        </w:rPr>
        <w:t xml:space="preserve">(g) </w:t>
      </w:r>
      <w:r w:rsidRPr="002910D1">
        <w:rPr>
          <w:i/>
        </w:rPr>
        <w:tab/>
        <w:t xml:space="preserve">il-kondizzjonijiet tal-impjieg għal ċittadini ta’ pajjiżi terzi li joqogħdu legalment fit-territorju tal-Unjoni; </w:t>
      </w:r>
    </w:p>
    <w:p w:rsidR="00D76AD4" w:rsidRPr="002910D1" w:rsidP="00D76AD4" w14:paraId="48E63287" w14:textId="77777777">
      <w:pPr>
        <w:ind w:left="1134" w:hanging="567"/>
        <w:rPr>
          <w:i/>
          <w:iCs/>
        </w:rPr>
      </w:pPr>
    </w:p>
    <w:p w:rsidR="00D76AD4" w:rsidRPr="002910D1" w:rsidP="00D76AD4" w14:paraId="422D4D1E" w14:textId="77777777">
      <w:pPr>
        <w:ind w:left="1134" w:hanging="567"/>
        <w:rPr>
          <w:i/>
          <w:iCs/>
        </w:rPr>
      </w:pPr>
      <w:r w:rsidRPr="002910D1">
        <w:rPr>
          <w:i/>
        </w:rPr>
        <w:t xml:space="preserve">(h) </w:t>
      </w:r>
      <w:r w:rsidRPr="002910D1">
        <w:rPr>
          <w:i/>
        </w:rPr>
        <w:tab/>
        <w:t xml:space="preserve">l-integrazzjoni ta’ persuni esklużi mis-suq tax-xogħol, bla preġudizzju għall-Artikolu 166; </w:t>
      </w:r>
    </w:p>
    <w:p w:rsidR="00D76AD4" w:rsidRPr="002910D1" w:rsidP="00D76AD4" w14:paraId="5EF45D33" w14:textId="77777777">
      <w:pPr>
        <w:ind w:left="1134" w:hanging="567"/>
        <w:rPr>
          <w:i/>
          <w:iCs/>
        </w:rPr>
      </w:pPr>
    </w:p>
    <w:p w:rsidR="00D76AD4" w:rsidRPr="002910D1" w:rsidP="00D76AD4" w14:paraId="5FA85D8B" w14:textId="77777777">
      <w:pPr>
        <w:ind w:left="1134" w:hanging="567"/>
        <w:rPr>
          <w:i/>
          <w:iCs/>
        </w:rPr>
      </w:pPr>
      <w:r w:rsidRPr="002910D1">
        <w:rPr>
          <w:i/>
        </w:rPr>
        <w:t xml:space="preserve">(i) </w:t>
      </w:r>
      <w:r w:rsidRPr="002910D1">
        <w:rPr>
          <w:i/>
        </w:rPr>
        <w:tab/>
        <w:t xml:space="preserve">l-ugwaljanza bejn irġiel u nisa rigward l-opportunitajiet u t-trattament fis-suq tax-xogħol; </w:t>
      </w:r>
    </w:p>
    <w:p w:rsidR="00D76AD4" w:rsidRPr="002910D1" w:rsidP="00D76AD4" w14:paraId="59198C8A" w14:textId="77777777">
      <w:pPr>
        <w:ind w:left="1134" w:hanging="567"/>
        <w:rPr>
          <w:i/>
          <w:iCs/>
        </w:rPr>
      </w:pPr>
    </w:p>
    <w:p w:rsidR="00D76AD4" w:rsidRPr="002910D1" w:rsidP="00D76AD4" w14:paraId="44316B51" w14:textId="77777777">
      <w:pPr>
        <w:ind w:left="1134" w:hanging="567"/>
        <w:rPr>
          <w:i/>
          <w:iCs/>
        </w:rPr>
      </w:pPr>
      <w:r w:rsidRPr="002910D1">
        <w:rPr>
          <w:i/>
        </w:rPr>
        <w:t xml:space="preserve">(j) </w:t>
      </w:r>
      <w:r w:rsidRPr="002910D1">
        <w:rPr>
          <w:i/>
        </w:rPr>
        <w:tab/>
        <w:t xml:space="preserve">il-ġlieda kontra l-esklużjoni soċjali; </w:t>
      </w:r>
    </w:p>
    <w:p w:rsidR="00D76AD4" w:rsidRPr="002910D1" w:rsidP="00D76AD4" w14:paraId="36EECC75" w14:textId="77777777">
      <w:pPr>
        <w:ind w:left="1134" w:hanging="567"/>
        <w:rPr>
          <w:i/>
          <w:iCs/>
        </w:rPr>
      </w:pPr>
    </w:p>
    <w:p w:rsidR="00D76AD4" w:rsidRPr="002910D1" w:rsidP="00D76AD4" w14:paraId="022669AB" w14:textId="77777777">
      <w:pPr>
        <w:ind w:left="1134" w:hanging="567"/>
        <w:rPr>
          <w:i/>
          <w:iCs/>
        </w:rPr>
      </w:pPr>
      <w:r w:rsidRPr="002910D1">
        <w:rPr>
          <w:i/>
        </w:rPr>
        <w:t>(k) il-modernizzazzjoni tas-sistemi ta’ protezzjoni soċjali bla preġudizzju għall-punt (c).</w:t>
      </w:r>
    </w:p>
    <w:p w:rsidR="00D76AD4" w:rsidRPr="002910D1" w:rsidP="00D76AD4" w14:paraId="16B06B56" w14:textId="77777777">
      <w:pPr>
        <w:tabs>
          <w:tab w:val="left" w:pos="7014"/>
        </w:tabs>
        <w:jc w:val="both"/>
        <w:rPr>
          <w:bCs/>
          <w:i/>
        </w:rPr>
      </w:pPr>
    </w:p>
    <w:p w:rsidR="00D76AD4" w:rsidRPr="002910D1" w:rsidP="00D76AD4" w14:paraId="09128E27" w14:textId="77777777">
      <w:pPr>
        <w:tabs>
          <w:tab w:val="left" w:pos="7014"/>
        </w:tabs>
        <w:spacing w:after="240"/>
        <w:ind w:left="567" w:hanging="567"/>
        <w:jc w:val="both"/>
        <w:rPr>
          <w:b/>
          <w:i/>
        </w:rPr>
      </w:pPr>
      <w:r w:rsidRPr="002910D1">
        <w:rPr>
          <w:b/>
          <w:i/>
        </w:rPr>
        <w:t xml:space="preserve">2. </w:t>
      </w:r>
      <w:r w:rsidRPr="002910D1">
        <w:rPr>
          <w:b/>
          <w:i/>
        </w:rPr>
        <w:tab/>
        <w:t>Għal dan l-għan, il-Parlament Ewropew u l-Kunsill:</w:t>
      </w:r>
    </w:p>
    <w:p w:rsidR="00D76AD4" w:rsidRPr="002910D1" w:rsidP="00D76AD4" w14:paraId="27E4125C" w14:textId="77777777">
      <w:pPr>
        <w:tabs>
          <w:tab w:val="left" w:pos="7014"/>
        </w:tabs>
        <w:spacing w:after="240"/>
        <w:ind w:left="1134" w:hanging="567"/>
        <w:jc w:val="both"/>
        <w:rPr>
          <w:bCs/>
          <w:i/>
        </w:rPr>
      </w:pPr>
      <w:r w:rsidRPr="002910D1">
        <w:rPr>
          <w:i/>
        </w:rPr>
        <w:t xml:space="preserve">(a) </w:t>
      </w:r>
      <w:r w:rsidRPr="002910D1">
        <w:rPr>
          <w:i/>
        </w:rPr>
        <w:tab/>
        <w:t>jistgħu jadottaw miżuri intiżi sabiex iħajru kooperazzjoni bejn l-Istati Membri permezz ta’ inizjattivi mmirati sabiex jameljoraw l-għarfien, jiżviluppaw skambji ta’ informazzjoni u l-aħjar prattiki, jippromwovu affronti innovattivi u jivvalutaw l-esperjenzi, b’esklużjoni ta’ kull armonizzazzjoni tal-liġijiet u tar-regolamenti tal-Istati Membri;</w:t>
      </w:r>
    </w:p>
    <w:p w:rsidR="00D76AD4" w:rsidRPr="002910D1" w:rsidP="00D76AD4" w14:paraId="73A122FE" w14:textId="77777777">
      <w:pPr>
        <w:tabs>
          <w:tab w:val="left" w:pos="7014"/>
        </w:tabs>
        <w:spacing w:after="240"/>
        <w:ind w:left="1134" w:hanging="567"/>
        <w:jc w:val="both"/>
        <w:rPr>
          <w:b/>
          <w:i/>
        </w:rPr>
      </w:pPr>
      <w:r w:rsidRPr="002910D1">
        <w:rPr>
          <w:b/>
          <w:i/>
        </w:rPr>
        <w:t>(b)</w:t>
      </w:r>
      <w:r w:rsidRPr="002910D1">
        <w:rPr>
          <w:b/>
          <w:i/>
        </w:rPr>
        <w:tab/>
        <w:t>jistgħu jadottaw fl-oqsma msemmija fil-paragrafu 1(a) sa (i), permezz ta’ direttivi, rekwiżiti minimi applikabbli progressivament, meħud qies tal-kondizzjonijiet tekniċi li jkunu jinsabu f’kull wieħed mill-Istati Membri. Direttivi bħal dawn għandhom jevitaw li jdaħħlu rabtiet amministrattivi finanzjarji u legali li jistgħu jxekklu l-ħolqien u l-iżvilupp ta’ impriżi żgħar u medji.</w:t>
      </w:r>
    </w:p>
    <w:p w:rsidR="00D76AD4" w:rsidRPr="002910D1" w:rsidP="00D76AD4" w14:paraId="07C866BC" w14:textId="77777777">
      <w:pPr>
        <w:tabs>
          <w:tab w:val="left" w:pos="7014"/>
        </w:tabs>
        <w:spacing w:after="240"/>
        <w:ind w:left="567"/>
        <w:jc w:val="both"/>
        <w:rPr>
          <w:bCs/>
          <w:i/>
        </w:rPr>
      </w:pPr>
      <w:r w:rsidRPr="002910D1">
        <w:rPr>
          <w:i/>
        </w:rPr>
        <w:t>Il-Parlament Ewropew u l-Kunsill għandhom jaġixxu skont il-proċedura leġislattiva ordinarja wara konsultazzjoni mal-Kumitat Ekonomiku u Soċjali u mal-Kumitat tar-Reġjuni.</w:t>
      </w:r>
    </w:p>
    <w:p w:rsidR="00D76AD4" w:rsidRPr="002910D1" w:rsidP="00D76AD4" w14:paraId="2E19E289" w14:textId="77777777">
      <w:pPr>
        <w:tabs>
          <w:tab w:val="left" w:pos="7014"/>
        </w:tabs>
        <w:spacing w:after="240"/>
        <w:ind w:left="567"/>
        <w:jc w:val="both"/>
        <w:rPr>
          <w:bCs/>
          <w:i/>
        </w:rPr>
      </w:pPr>
      <w:r w:rsidRPr="002910D1">
        <w:rPr>
          <w:i/>
        </w:rPr>
        <w:t>Fl-oqsma msemmija fil-paragrafu 1(c), (d), (f) u (g), il-Kunsill għandu jaġixxi skont il-proċedura leġiżlattiva speċjali, b’mod unanimu, wara konsultazzjoni mal-Parlament Ewropew u mal-Kumitati msemmija.</w:t>
      </w:r>
    </w:p>
    <w:p w:rsidR="00D76AD4" w:rsidRPr="002910D1" w:rsidP="00D76AD4" w14:paraId="32146A00" w14:textId="77777777">
      <w:pPr>
        <w:tabs>
          <w:tab w:val="left" w:pos="7014"/>
        </w:tabs>
        <w:spacing w:after="240"/>
        <w:ind w:left="567"/>
        <w:jc w:val="both"/>
        <w:rPr>
          <w:bCs/>
          <w:i/>
        </w:rPr>
      </w:pPr>
      <w:r w:rsidRPr="002910D1">
        <w:rPr>
          <w:i/>
        </w:rPr>
        <w:t>Il-Kunsill, waqt li jaġixxi b’mod unanimu fuq proposta tal-Kummissjoni, u wara li jkun ikkonsulta l-Parlament Ewropew, jista’ jiddeċiedi li l-proċedura leġiżlattiva ordinarja tkun applikabbli għall-paragrafu 1(d),( f) u (g).</w:t>
      </w:r>
    </w:p>
    <w:p w:rsidR="00D76AD4" w:rsidRPr="002910D1" w:rsidP="00D76AD4" w14:paraId="54335FBC" w14:textId="77777777">
      <w:pPr>
        <w:tabs>
          <w:tab w:val="left" w:pos="7014"/>
        </w:tabs>
        <w:spacing w:after="240"/>
        <w:ind w:left="567" w:hanging="567"/>
        <w:jc w:val="both"/>
        <w:rPr>
          <w:bCs/>
          <w:i/>
        </w:rPr>
      </w:pPr>
      <w:r w:rsidRPr="002910D1">
        <w:rPr>
          <w:i/>
        </w:rPr>
        <w:t>3.</w:t>
      </w:r>
      <w:r w:rsidRPr="002910D1">
        <w:rPr>
          <w:i/>
        </w:rPr>
        <w:tab/>
        <w:t>Stat Membru jista’ jafda f’idejn il-partijiet soċjali, fuq talba konġunta, l-implimentazzjoni tad-direttivi adottati skont il-paragrafu 2 jew, jekk ikun xieraq, l-implimentazzjoni ta’ deċiżjoni tal-Kunsill adottata f’konformità mal-Artikolu 155.</w:t>
      </w:r>
    </w:p>
    <w:p w:rsidR="00D76AD4" w:rsidRPr="002910D1" w:rsidP="00D76AD4" w14:paraId="51EC920D" w14:textId="77777777">
      <w:pPr>
        <w:tabs>
          <w:tab w:val="left" w:pos="7014"/>
        </w:tabs>
        <w:spacing w:after="240"/>
        <w:ind w:left="567" w:hanging="567"/>
        <w:jc w:val="both"/>
        <w:rPr>
          <w:bCs/>
          <w:i/>
        </w:rPr>
      </w:pPr>
      <w:r w:rsidRPr="002910D1">
        <w:rPr>
          <w:i/>
        </w:rPr>
        <w:tab/>
        <w:t>F’dan il-każ għandu jiżgura li, mhux aktar tard mid-data li fiha d-direttiva jew deċiżjoni għandha tiġi trasposta jew implimentata, il-partijiet soċjali jkunu introduċew bi ftehim il-miżuri meħtieġa waqt li l-Istat Membru jkun obbligat jieħu l-miżuri meħtieġa sabiex ikun jista’ f’kull ħin ikun f’pożizzjoni li jiggarantixxi r-riżultati imposti b’dik id-direttiva jew dik id-deċiżjoni.</w:t>
      </w:r>
    </w:p>
    <w:p w:rsidR="00D76AD4" w:rsidRPr="002910D1" w:rsidP="00D76AD4" w14:paraId="7BABE5FE" w14:textId="77777777">
      <w:pPr>
        <w:tabs>
          <w:tab w:val="left" w:pos="7014"/>
        </w:tabs>
        <w:spacing w:after="240"/>
        <w:ind w:left="567" w:hanging="567"/>
        <w:jc w:val="both"/>
        <w:rPr>
          <w:bCs/>
          <w:i/>
        </w:rPr>
      </w:pPr>
      <w:r w:rsidRPr="002910D1">
        <w:rPr>
          <w:i/>
        </w:rPr>
        <w:t>4.</w:t>
      </w:r>
      <w:r w:rsidRPr="002910D1">
        <w:rPr>
          <w:i/>
        </w:rPr>
        <w:tab/>
        <w:t>Id-dispożizzjonijiet adottati skont dan l-Artikolu:</w:t>
      </w:r>
    </w:p>
    <w:p w:rsidR="00D76AD4" w:rsidRPr="002910D1" w:rsidP="00D76AD4" w14:paraId="0CA34959" w14:textId="77777777">
      <w:pPr>
        <w:tabs>
          <w:tab w:val="left" w:pos="7014"/>
        </w:tabs>
        <w:spacing w:after="240"/>
        <w:ind w:left="1134" w:hanging="567"/>
        <w:jc w:val="both"/>
        <w:rPr>
          <w:bCs/>
          <w:i/>
        </w:rPr>
      </w:pPr>
      <w:r w:rsidRPr="002910D1">
        <w:rPr>
          <w:i/>
        </w:rPr>
        <w:t xml:space="preserve">- </w:t>
      </w:r>
      <w:r w:rsidRPr="002910D1">
        <w:rPr>
          <w:i/>
        </w:rPr>
        <w:tab/>
        <w:t>ma jaffettwawx id-dritt tal-Istati Membri li jiddefinixxu l-prinċipji fundamentali tas-sistemi tas-sigurtà soċjali tagħhom u ma jaffettwawx b’mod sinifikanti l-ekwilibriju finanzjarju tagħhom,</w:t>
      </w:r>
    </w:p>
    <w:p w:rsidR="00D76AD4" w:rsidRPr="002910D1" w:rsidP="00D76AD4" w14:paraId="6F418969" w14:textId="77777777">
      <w:pPr>
        <w:tabs>
          <w:tab w:val="left" w:pos="7014"/>
        </w:tabs>
        <w:spacing w:after="240"/>
        <w:ind w:left="1134" w:hanging="567"/>
        <w:jc w:val="both"/>
        <w:rPr>
          <w:bCs/>
          <w:i/>
        </w:rPr>
      </w:pPr>
      <w:r w:rsidRPr="002910D1">
        <w:rPr>
          <w:i/>
        </w:rPr>
        <w:t>-</w:t>
      </w:r>
      <w:r w:rsidRPr="002910D1">
        <w:rPr>
          <w:i/>
        </w:rPr>
        <w:tab/>
        <w:t>ma jipprekludu ebda Stat Membru milli jżomm jew jintroduċi miżuri aktar stretti ta’ protezzjoni kompatibbli mat-Trattati.</w:t>
      </w:r>
    </w:p>
    <w:p w:rsidR="00D76AD4" w:rsidRPr="002910D1" w:rsidP="00D76AD4" w14:paraId="4041762F" w14:textId="77777777">
      <w:pPr>
        <w:tabs>
          <w:tab w:val="left" w:pos="7014"/>
        </w:tabs>
        <w:spacing w:after="120"/>
        <w:ind w:left="567" w:hanging="567"/>
        <w:jc w:val="both"/>
        <w:rPr>
          <w:bCs/>
          <w:i/>
        </w:rPr>
      </w:pPr>
      <w:r w:rsidRPr="002910D1">
        <w:rPr>
          <w:i/>
        </w:rPr>
        <w:t>5.   </w:t>
      </w:r>
      <w:r w:rsidRPr="002910D1">
        <w:rPr>
          <w:i/>
        </w:rPr>
        <w:tab/>
        <w:t>Id-dispożizzjonijiet ta’ dan l-Artikolu la japplikaw għall-pagi, la għad-dritt ta’ assoċjazzjoni, la għad-dritt tal-istrajk u lanqas għad-dritt li jiġi impost lock-out.</w:t>
      </w:r>
    </w:p>
    <w:p w:rsidR="00D76AD4" w:rsidRPr="002910D1" w:rsidP="00D76AD4" w14:paraId="2A5FB86D" w14:textId="77777777">
      <w:pPr>
        <w:pStyle w:val="Normal12a"/>
        <w:spacing w:after="120"/>
        <w:rPr>
          <w:b/>
          <w:u w:val="single"/>
        </w:rPr>
      </w:pPr>
    </w:p>
    <w:p w:rsidR="00D76AD4" w:rsidRPr="002910D1" w:rsidP="00D76AD4" w14:paraId="3532EEC9" w14:textId="77777777">
      <w:pPr>
        <w:spacing w:after="240"/>
        <w:jc w:val="both"/>
        <w:rPr>
          <w:b/>
          <w:u w:val="single"/>
        </w:rPr>
      </w:pPr>
      <w:r w:rsidRPr="002910D1">
        <w:rPr>
          <w:b/>
          <w:u w:val="single"/>
        </w:rPr>
        <w:t>III – Il-ġurisprudenza tal-QĠUE dwar l-għażla tal-bażi legali</w:t>
      </w:r>
    </w:p>
    <w:p w:rsidR="00D76AD4" w:rsidRPr="002910D1" w:rsidP="00D76AD4" w14:paraId="7DFF6FE7" w14:textId="77777777">
      <w:pPr>
        <w:pStyle w:val="Point123"/>
        <w:numPr>
          <w:ilvl w:val="0"/>
          <w:numId w:val="0"/>
        </w:numPr>
        <w:tabs>
          <w:tab w:val="left" w:pos="720"/>
        </w:tabs>
        <w:spacing w:before="0" w:after="0" w:line="240" w:lineRule="auto"/>
        <w:jc w:val="both"/>
      </w:pPr>
      <w:r w:rsidRPr="002910D1">
        <w:t>Il-Qorti tal-Ġustizzja tradizzjonalment qieset il-kwistjoni tal-bażi legali xierqa bħala kwistjoni ta’ importanza kostituzzjonali, li tiggarantixxi l-konformità mal-prinċipju tas-setgħat konferiti (l-Artikolu 5 tat-Trattat dwar l-Unjoni Ewropea) u tiddetermina n-natura u l-kamp ta’ applikazzjoni tal-kompetenza tal-Unjoni.</w:t>
      </w:r>
      <w:r>
        <w:rPr>
          <w:vertAlign w:val="superscript"/>
        </w:rPr>
        <w:footnoteReference w:id="2"/>
      </w:r>
    </w:p>
    <w:p w:rsidR="00D76AD4" w:rsidRPr="002910D1" w:rsidP="00D76AD4" w14:paraId="4B74FDC8" w14:textId="77777777">
      <w:pPr>
        <w:pStyle w:val="Point123"/>
        <w:numPr>
          <w:ilvl w:val="0"/>
          <w:numId w:val="0"/>
        </w:numPr>
        <w:tabs>
          <w:tab w:val="left" w:pos="720"/>
        </w:tabs>
        <w:spacing w:before="0" w:after="0" w:line="240" w:lineRule="auto"/>
        <w:jc w:val="both"/>
      </w:pPr>
    </w:p>
    <w:p w:rsidR="00D76AD4" w:rsidRPr="002910D1" w:rsidP="00D76AD4" w14:paraId="6238CE13" w14:textId="77777777">
      <w:pPr>
        <w:pStyle w:val="Point123"/>
        <w:numPr>
          <w:ilvl w:val="0"/>
          <w:numId w:val="0"/>
        </w:numPr>
        <w:tabs>
          <w:tab w:val="left" w:pos="720"/>
        </w:tabs>
        <w:spacing w:before="0" w:after="0" w:line="240" w:lineRule="auto"/>
        <w:jc w:val="both"/>
        <w:rPr>
          <w:rFonts w:asciiTheme="majorBidi" w:hAnsiTheme="majorBidi" w:cstheme="majorBidi"/>
          <w:vertAlign w:val="superscript"/>
        </w:rPr>
      </w:pPr>
      <w:r w:rsidRPr="002910D1">
        <w:t>Skont ġurisprudenza stabbilita sew, il-bażi legali ta’ att tal-Unjoni ma tiddependix mill-konvinzjoni ta’ istituzzjoni rigward l-objettiv segwit, iżda trid tiġi ddeterminata skont kriterji oġġettivi li jistgħu jkunu soġġetti għal stħarriġ ġudizzjarju, inkluż b’mod partikolari l-għan u l-kontenut tal-miżura.</w:t>
      </w:r>
      <w:r>
        <w:rPr>
          <w:vertAlign w:val="superscript"/>
        </w:rPr>
        <w:footnoteReference w:id="3"/>
      </w:r>
      <w:r w:rsidRPr="002910D1">
        <w:rPr>
          <w:rFonts w:asciiTheme="majorBidi" w:hAnsiTheme="majorBidi"/>
          <w:vertAlign w:val="superscript"/>
        </w:rPr>
        <w:t xml:space="preserve"> </w:t>
      </w:r>
    </w:p>
    <w:p w:rsidR="00D76AD4" w:rsidRPr="002910D1" w:rsidP="00D76AD4" w14:paraId="3846A8BD" w14:textId="77777777">
      <w:pPr>
        <w:pStyle w:val="Point123"/>
        <w:numPr>
          <w:ilvl w:val="0"/>
          <w:numId w:val="0"/>
        </w:numPr>
        <w:tabs>
          <w:tab w:val="left" w:pos="720"/>
        </w:tabs>
        <w:spacing w:before="0" w:after="0" w:line="240" w:lineRule="auto"/>
        <w:jc w:val="both"/>
        <w:rPr>
          <w:rFonts w:asciiTheme="majorBidi" w:hAnsiTheme="majorBidi" w:cstheme="majorBidi"/>
          <w:vertAlign w:val="superscript"/>
        </w:rPr>
      </w:pPr>
    </w:p>
    <w:p w:rsidR="00D76AD4" w:rsidRPr="002910D1" w:rsidP="00D76AD4" w14:paraId="09C41B7A" w14:textId="77777777">
      <w:pPr>
        <w:pStyle w:val="Point123"/>
        <w:numPr>
          <w:ilvl w:val="0"/>
          <w:numId w:val="0"/>
        </w:numPr>
        <w:tabs>
          <w:tab w:val="left" w:pos="720"/>
        </w:tabs>
        <w:spacing w:before="0" w:after="0" w:line="240" w:lineRule="auto"/>
        <w:jc w:val="both"/>
      </w:pPr>
      <w:r w:rsidRPr="002910D1">
        <w:t>Jekk l-eżami ta’ miżura juri li din għandha skop doppju jew li għandha komponent doppju, u jekk wieħed minn dawk jiġi identifikat bħala l-iskop jew il-komponent ewlieni jew predominanti, waqt li l-ieħor ikun sempliċement inċidentali, dik il-miżura trid tkun ibbażata fuq bażi legali waħda, jiġifieri dik meħtieġa mill-iskop jew mill-komponent ewlieni jew predominanti.</w:t>
      </w:r>
      <w:r>
        <w:rPr>
          <w:vertAlign w:val="superscript"/>
        </w:rPr>
        <w:footnoteReference w:id="4"/>
      </w:r>
      <w:r w:rsidRPr="002910D1">
        <w:rPr>
          <w:rFonts w:asciiTheme="majorBidi" w:hAnsiTheme="majorBidi"/>
        </w:rPr>
        <w:t xml:space="preserve"> </w:t>
      </w:r>
      <w:r w:rsidRPr="002910D1">
        <w:t>F’każijiet eċċezzjonali biss, jekk jiġi stabbilit li l-att jaqdi b’mod simultanju għadd ta’ objettivi, marbutin b’mod intrinsiku, mingħajr ma wieħed ikun sekondarju jew indirett fir-rigward tal-ieħor, tali att jista’ jkun ibbażat fuq id-diversi bażijiet legali korrispondenti.</w:t>
      </w:r>
      <w:r>
        <w:rPr>
          <w:vertAlign w:val="superscript"/>
        </w:rPr>
        <w:footnoteReference w:id="5"/>
      </w:r>
      <w:r w:rsidRPr="002910D1">
        <w:t xml:space="preserve"> Madankollu, dan ikun possibbli biss jekk il-proċeduri stabbiliti għall-bażijiet legali rispettivi ma jkunux inkompatibbli mad-dritt tal-Parlament Ewropew u ma jdgħajfuhx.</w:t>
      </w:r>
      <w:r>
        <w:rPr>
          <w:vertAlign w:val="superscript"/>
        </w:rPr>
        <w:footnoteReference w:id="6"/>
      </w:r>
    </w:p>
    <w:p w:rsidR="00D76AD4" w:rsidRPr="002910D1" w:rsidP="00D76AD4" w14:paraId="435ECF5E" w14:textId="77777777">
      <w:pPr>
        <w:pStyle w:val="Normal12a"/>
      </w:pPr>
    </w:p>
    <w:p w:rsidR="00D76AD4" w:rsidRPr="002910D1" w:rsidP="00D76AD4" w14:paraId="27461DE5" w14:textId="77777777">
      <w:pPr>
        <w:pStyle w:val="Point123"/>
        <w:numPr>
          <w:ilvl w:val="0"/>
          <w:numId w:val="0"/>
        </w:numPr>
        <w:tabs>
          <w:tab w:val="left" w:pos="720"/>
        </w:tabs>
        <w:spacing w:before="0" w:after="0" w:line="240" w:lineRule="auto"/>
        <w:jc w:val="both"/>
        <w:rPr>
          <w:b/>
          <w:u w:val="single"/>
        </w:rPr>
      </w:pPr>
      <w:r w:rsidRPr="002910D1">
        <w:rPr>
          <w:b/>
          <w:u w:val="single"/>
        </w:rPr>
        <w:t xml:space="preserve">IV – L-għan u l-kontenut tal-INL </w:t>
      </w:r>
    </w:p>
    <w:p w:rsidR="00D76AD4" w:rsidRPr="002910D1" w:rsidP="00D76AD4" w14:paraId="47F59E60" w14:textId="77777777">
      <w:pPr>
        <w:pStyle w:val="Point123"/>
        <w:numPr>
          <w:ilvl w:val="0"/>
          <w:numId w:val="0"/>
        </w:numPr>
        <w:tabs>
          <w:tab w:val="left" w:pos="720"/>
        </w:tabs>
        <w:spacing w:before="0" w:after="0" w:line="240" w:lineRule="auto"/>
        <w:jc w:val="both"/>
      </w:pPr>
    </w:p>
    <w:p w:rsidR="00D76AD4" w:rsidRPr="002910D1" w:rsidP="00D76AD4" w14:paraId="34C9ADF4" w14:textId="77777777">
      <w:pPr>
        <w:jc w:val="both"/>
      </w:pPr>
      <w:bookmarkStart w:id="0" w:name="_Ref232764548"/>
      <w:r w:rsidRPr="002910D1">
        <w:t xml:space="preserve">Wara l-aħħar verżjoni disponibbli tal-emendi ta’ kompromess tat-22 ta’ Ġunju 2026, il-bażijiet legali ssuġġeriti tal-proposta leġiżlattiva mitluba mill-Kumitat EMPL, jiġifieri l-Artikolu 153(2), il-punt (b), u l-Artikolu 153(1), il-punt (a), huma ddikjarati fil-premessi tal-abbozz ta’ riżoluzzjoni. </w:t>
      </w:r>
    </w:p>
    <w:p w:rsidR="00D76AD4" w:rsidRPr="002910D1" w:rsidP="00D76AD4" w14:paraId="382344C1" w14:textId="77777777">
      <w:pPr>
        <w:jc w:val="both"/>
      </w:pPr>
    </w:p>
    <w:p w:rsidR="00D76AD4" w:rsidRPr="002910D1" w:rsidP="00D76AD4" w14:paraId="3C117528" w14:textId="77777777">
      <w:pPr>
        <w:jc w:val="both"/>
      </w:pPr>
      <w:r w:rsidRPr="002910D1">
        <w:t>Fir-rigward tal-għan tal-miżura rikjesta, inizjalment l-anness għall-abbozz ta’ rapport kien jindika, fl-Artikolu 1 tiegħu, li “[d]</w:t>
      </w:r>
      <w:r w:rsidRPr="002910D1">
        <w:rPr>
          <w:i/>
        </w:rPr>
        <w:t>in id-Direttiva tistabbilixxi rekwiżiti minimi għall-prevenzjoni, l-eliminazzjoni jew, fejn dan ma jkunx possibbli, it-tnaqqis tar-riskju psikosoċjali relatat max-xogħol</w:t>
      </w:r>
      <w:r w:rsidRPr="002910D1">
        <w:t>”. L-emendi ta’ kompromess tat-22 ta’ Ġunju 2026, fl-ewwel rakkomandazzjoni tagħhom lill-Kummissjoni, itennu li “</w:t>
      </w:r>
      <w:r w:rsidRPr="002910D1">
        <w:rPr>
          <w:i/>
        </w:rPr>
        <w:t>L-għan tal-proposta għandu jkun li jiġu stabbiliti rekwiżiti minimi għall-prevenzjoni, l-eliminazzjoni jew, fejn dan ma jkunx possibbli, it-tnaqqis tar-riskji psikosoċjali relatati max-xogħol u l-eżiti potenzjali tagħhom</w:t>
      </w:r>
      <w:r w:rsidRPr="002910D1">
        <w:t xml:space="preserve"> [...]”.</w:t>
      </w:r>
      <w:bookmarkEnd w:id="0"/>
      <w:r w:rsidRPr="002910D1">
        <w:t xml:space="preserve"> </w:t>
      </w:r>
    </w:p>
    <w:p w:rsidR="00D76AD4" w:rsidRPr="002910D1" w:rsidP="00D76AD4" w14:paraId="04C85F98" w14:textId="77777777">
      <w:pPr>
        <w:jc w:val="both"/>
      </w:pPr>
    </w:p>
    <w:p w:rsidR="00D76AD4" w:rsidRPr="002910D1" w:rsidP="00D76AD4" w14:paraId="1607F874" w14:textId="77777777">
      <w:pPr>
        <w:jc w:val="both"/>
      </w:pPr>
      <w:r w:rsidRPr="002910D1">
        <w:t xml:space="preserve">It-tieni rakkomandazzjoni tindirizza l-kamp ta’ applikazzjoni </w:t>
      </w:r>
      <w:r w:rsidRPr="002910D1">
        <w:rPr>
          <w:i/>
        </w:rPr>
        <w:t>ratione personae</w:t>
      </w:r>
      <w:r w:rsidRPr="002910D1">
        <w:t xml:space="preserve"> tal-miżura rikjesta, jiġifieri, “ħaddiema, ddefiniti bħala kwalunkwe persuna impjegata minn impjegatur, inklużi t-trainees u l-apprendisti, fis-setturi kollha tal-attività ekonomika, kemm pubbliċi kif ukoll privati”. Il-kamp ta’ applikazzjoni maħsub tal-miżura rikjesta għalhekk jikkoinċidi ma’ dak inerenti għall-Artikolu 153 TFUE.</w:t>
      </w:r>
    </w:p>
    <w:p w:rsidR="00D76AD4" w:rsidRPr="002910D1" w:rsidP="00D76AD4" w14:paraId="4AD33063" w14:textId="77777777">
      <w:pPr>
        <w:jc w:val="both"/>
      </w:pPr>
    </w:p>
    <w:p w:rsidR="00D76AD4" w:rsidRPr="002910D1" w:rsidP="00D76AD4" w14:paraId="22F4334A" w14:textId="77777777">
      <w:pPr>
        <w:jc w:val="both"/>
      </w:pPr>
      <w:r w:rsidRPr="002910D1">
        <w:t>Ir-rakkomandazzjonijiet 4, 5 u 6 jagħtu dettalji dwar l-obbligi li għandhom jiġu imposti fuq l-impjegaturi mill-miżura rikjesta, jiġifieri obbligu ġenerali ta’ prevenzjoni, l-obbligu li titwettaq regolarment valutazzjoni tar-riskju u li jiġi adottat pjan ta’ azzjoni, u l-obbligu li titwettaq valutazzjoni tar-riskju wara riorganizzazzjoni tax-xogħol jew l-introduzzjoni ta’ sistemi awtomatizzati ta’ teħid ta’ deċiżjonijiet u ta’ monitoraġġ.</w:t>
      </w:r>
    </w:p>
    <w:p w:rsidR="00D76AD4" w:rsidRPr="002910D1" w:rsidP="00D76AD4" w14:paraId="0D6051E3" w14:textId="77777777">
      <w:pPr>
        <w:jc w:val="both"/>
      </w:pPr>
    </w:p>
    <w:p w:rsidR="00D76AD4" w:rsidRPr="002910D1" w:rsidP="00D76AD4" w14:paraId="43322730" w14:textId="77777777">
      <w:pPr>
        <w:jc w:val="both"/>
      </w:pPr>
      <w:r w:rsidRPr="002910D1">
        <w:t xml:space="preserve">Ir-rakkomandazzjonijiet li ġejjin, bin-numri 7 sa 11, iċaqilqu l-enfasi għal fuq id-drittijiet li l-miżura rikjesta għandha tagħti lill-ħaddiema. B’mod partikolari, is-seba’ rakkomandazzjoni tistabbilixxi d-dritt tal-ħaddiema għal ambjent tax-xogħol psikoloġikament sikur. It-tmien u d-disa’ rakkomandazzjoni jiffukaw fuq id-drittijiet tal-ħaddiema meta jirritornaw għax-xogħol wara assenza fit-tul jew assenzi ripetuti kkawżati minn indeboliment tas-saħħa marbut ma’ riskju psikosoċjali relatat max-xogħol. L-għaxar rakkomandazzjoni tistabbilixxi d-dritt tal-ħaddiema li jirrapportaw dwar fatturi ta’ riskju psikosoċjali mingħajr ma jsofru ritaljazzjonijiet. Il-ħdax-il rakkomandazzjoni tistabbilixxi projbizzjoni li l-ħaddiema jintalbu jinvolvu ruħhom f’komunikazzjonijiet jew kompiti relatati max-xogħol barra mill-ħinijiet tax-xogħol tagħhom (“id-dritt għall-iskonnessjoni”). </w:t>
      </w:r>
    </w:p>
    <w:p w:rsidR="00D76AD4" w:rsidRPr="002910D1" w:rsidP="00D76AD4" w14:paraId="76163F57" w14:textId="77777777">
      <w:pPr>
        <w:jc w:val="both"/>
      </w:pPr>
    </w:p>
    <w:p w:rsidR="00D76AD4" w:rsidRPr="002910D1" w:rsidP="00D76AD4" w14:paraId="4E88E3D1" w14:textId="77777777">
      <w:pPr>
        <w:jc w:val="both"/>
      </w:pPr>
      <w:r w:rsidRPr="002910D1">
        <w:t xml:space="preserve">Ir-rakkomandazzjonijiet 12 u 13 jindirizzaw l-angolu tal-miżuri organizzattivi mmirati lejn il-prevenzjoni tar-riskju psikosoċjali relatat max-xogħol. B’mod partikolari, huma jirrakkomandaw li l-miżura rikjesta tinkludi dispożizzjonijiet dwar il-ħatra ta’ servizzi protettivi u preventivi speċifiċi għar-riskju psikosoċjali u l-informazzjoni, il-konsultazzjoni u l-parteċipazzjoni tal-ħaddiema fir-rigward tal-valutazzjoni tar-riskju u l-attivitajiet ta’ ġestjoni tar-riskju relatati mar-riskju psikosoċjali. </w:t>
      </w:r>
    </w:p>
    <w:p w:rsidR="00D76AD4" w:rsidRPr="002910D1" w:rsidP="00D76AD4" w14:paraId="7498A276" w14:textId="77777777">
      <w:pPr>
        <w:jc w:val="both"/>
      </w:pPr>
    </w:p>
    <w:p w:rsidR="00D76AD4" w:rsidRPr="002910D1" w:rsidP="00D76AD4" w14:paraId="1E9D8B65" w14:textId="77777777">
      <w:pPr>
        <w:jc w:val="both"/>
      </w:pPr>
      <w:r w:rsidRPr="002910D1">
        <w:t xml:space="preserve">Il-ġabra sussegwenti ta’ rakkomandazzjonijiet, bin-numri 14 sa 18, tidentifika diversi obbligi li l-miżura kkontestata għandha timponi fuq l-Istati Membri. Dawn jinkludu l-appoġġ għall-ħidma tal-ispettorati tax-xogħol fir-rigward tar-riskju psikosoċjali relatat max-xogħol; l-introduzzjoni ta’ preżunzjoni legali konfutabbli li tkopri r-rabta kawżali bejn il-fatti u l-ħsara, fejn ħaddiem jistabbilixxi fatti li jindikaw esponiment għal riskju psikosoċjali u ħsara kompatibbli ma’ tali esponiment; l-iżvilupp ta’ programmi ta’ edukazzjoni u taħriġ dwar dan is-suġġett; il-monitoraġġ tax-xejriet u l-ġbir ta’ data relatata mar-riskju psikosoċjali, u l-provvediment għal penali effettivi, proporzjonati u dissważivi applikabbli għall-ksur tal-miżura rikjesta. </w:t>
      </w:r>
    </w:p>
    <w:p w:rsidR="00D76AD4" w:rsidRPr="002910D1" w:rsidP="00D76AD4" w14:paraId="1CF9655B" w14:textId="77777777">
      <w:pPr>
        <w:jc w:val="both"/>
      </w:pPr>
    </w:p>
    <w:p w:rsidR="00D76AD4" w:rsidRPr="002910D1" w:rsidP="00D76AD4" w14:paraId="26B2085C" w14:textId="77777777">
      <w:pPr>
        <w:jc w:val="both"/>
      </w:pPr>
      <w:r w:rsidRPr="002910D1">
        <w:t xml:space="preserve">Ir-rakkomandazzjoni 19 tiċċara li l-miżura rikjesta għandha tkun mingħajr preġudizzju għall-prerogattiva tal-Istati Membri li jżommu jew jintroduċu regoli li huma aktar protettivi għas-saħħa u s-sikurezza tal-ħaddiema. Għalhekk jidher li l-miżura rikjesta għandha tistabbilixxi “rekwiżiti minimi”, f’konformità mad-dispożizzjoni tal-Artikolu 153(2)(b). </w:t>
      </w:r>
    </w:p>
    <w:p w:rsidR="00D76AD4" w:rsidRPr="002910D1" w:rsidP="00D76AD4" w14:paraId="16F78306" w14:textId="77777777">
      <w:pPr>
        <w:ind w:left="567" w:hanging="567"/>
      </w:pPr>
    </w:p>
    <w:p w:rsidR="00D76AD4" w:rsidRPr="002910D1" w:rsidP="00D76AD4" w14:paraId="306A293D" w14:textId="77777777">
      <w:pPr>
        <w:jc w:val="both"/>
      </w:pPr>
      <w:r w:rsidRPr="002910D1">
        <w:t xml:space="preserve">Fl-aħħar nett, ir-rakkomandazzjoni 20 tħeġġeġ l-involviment tas-sħab soċjali fl-implimentazzjoni tal-miżura rikjesta.  </w:t>
      </w:r>
    </w:p>
    <w:p w:rsidR="00D76AD4" w:rsidRPr="002910D1" w:rsidP="00D76AD4" w14:paraId="73BCDB81" w14:textId="77777777">
      <w:pPr>
        <w:pStyle w:val="Normal12a"/>
      </w:pPr>
    </w:p>
    <w:p w:rsidR="00D76AD4" w:rsidRPr="002910D1" w:rsidP="00D76AD4" w14:paraId="2F3DD59B" w14:textId="77777777">
      <w:pPr>
        <w:spacing w:after="240"/>
        <w:jc w:val="both"/>
        <w:rPr>
          <w:b/>
          <w:u w:val="single"/>
        </w:rPr>
      </w:pPr>
      <w:r w:rsidRPr="002910D1">
        <w:rPr>
          <w:b/>
          <w:u w:val="single"/>
        </w:rPr>
        <w:t xml:space="preserve">V – Analiżi </w:t>
      </w:r>
    </w:p>
    <w:p w:rsidR="00D76AD4" w:rsidRPr="002910D1" w:rsidP="00D76AD4" w14:paraId="72386AF4" w14:textId="77777777">
      <w:pPr>
        <w:jc w:val="both"/>
      </w:pPr>
      <w:r w:rsidRPr="002910D1">
        <w:t>Skont il-ġurisprudenza tal-Qorti, il-kunċetti ta’ “ambjent tax-xogħol”, “sikurezza” u “saħħa”, użati fl-Artikolu 153(1)(a), iħaddnu l-fatturi kollha, fiżiċi jew mhux, li jistgħu jaffettwaw is-saħħa u s-sikurezza tal-ħaddiema fl-ambjent tax-xogħol tagħhom.</w:t>
      </w:r>
      <w:r>
        <w:rPr>
          <w:color w:val="000000"/>
        </w:rPr>
        <w:footnoteReference w:id="7"/>
      </w:r>
      <w:r w:rsidRPr="002910D1">
        <w:rPr>
          <w:color w:val="000000"/>
        </w:rPr>
        <w:t xml:space="preserve"> </w:t>
      </w:r>
      <w:r w:rsidRPr="002910D1">
        <w:t xml:space="preserve">Għaldaqstant, il-leġiżlazzjoni eżistenti tal-UE bbażata fuq dik il-bażi legali diġà tapplika għar-riskju psikosoċjali, għalkemm mingħajr ma tindirizzah speċifikament. </w:t>
      </w:r>
    </w:p>
    <w:p w:rsidR="00D76AD4" w:rsidRPr="002910D1" w:rsidP="00D76AD4" w14:paraId="796C1610" w14:textId="77777777">
      <w:pPr>
        <w:autoSpaceDE w:val="0"/>
        <w:autoSpaceDN w:val="0"/>
        <w:adjustRightInd w:val="0"/>
        <w:jc w:val="both"/>
        <w:rPr>
          <w:color w:val="000000"/>
        </w:rPr>
      </w:pPr>
    </w:p>
    <w:p w:rsidR="00D76AD4" w:rsidRPr="002910D1" w:rsidP="00D76AD4" w14:paraId="429754BB" w14:textId="77777777">
      <w:pPr>
        <w:jc w:val="both"/>
      </w:pPr>
      <w:r w:rsidRPr="002910D1">
        <w:t>Għandu jiġi enfasizzat li d-drittijiet u l-obbligi stabbiliti fid-Direttiva tal-Kunsill 89/391/KEE tat-12 ta’ Ġunju 1989 dwar l-introduzzjoni ta’ miżuri sabiex jinkoraġġixxu titjib fis-sigurtà u s-saħħa tal-ħaddiema fuq ix-xogħol</w:t>
      </w:r>
      <w:r>
        <w:footnoteReference w:id="8"/>
      </w:r>
      <w:r w:rsidRPr="002910D1">
        <w:t xml:space="preserve"> (id-“Direttiva Qafas tal-UE dwar is-Saħħa u s-Sigurtà fuq il-Post tax-Xogħol”) japplikaw għar-riskji okkupazzjonali kollha, inklużi dawk psikosoċjali. L-Artikolu 6(2), il-punt (g), ta’ dik id-Direttiva jipprevedi li l-politika ta’ prevenzjoni ġenerali żviluppata minn kull impjegatur jenħtieġ li tkopri fost l-oħrajn “relazzjonijiet soċjali”, u b’hekk tagħmel referenza għar-rilevanza tar-riskju psikosoċjali okkupazzjonali fl-arkitettura tad-Direttiva Qafas tal-UE dwar is-Saħħa u s-Sigurtà fuq il-Post tax-Xogħol.</w:t>
      </w:r>
    </w:p>
    <w:p w:rsidR="00D76AD4" w:rsidRPr="002910D1" w:rsidP="00D76AD4" w14:paraId="429A5995" w14:textId="77777777">
      <w:pPr>
        <w:jc w:val="both"/>
      </w:pPr>
    </w:p>
    <w:p w:rsidR="00D76AD4" w:rsidRPr="002910D1" w:rsidP="00D76AD4" w14:paraId="366B8631" w14:textId="77777777">
      <w:pPr>
        <w:jc w:val="both"/>
      </w:pPr>
      <w:r w:rsidRPr="002910D1">
        <w:t>L-għan ewlieni tal-proposta INL, kif iddikjarat fl-ewwel rakkomandazzjoni, jiċċara li l-miżura li titlob il-proposta INL għandha ssegwi l-għan li ttejjeb l-ambjent tax-xogħol, bil-ħsieb li tipproteġi s-saħħa u s-sikurezza tal-ħaddiema, f’konformità mal-Artikolu 153(1)(a) TFUE. Il-kontenut tal-proposta, speċjalment tar-rakkomandazzjonijiet ewlenin tagħha relatati mad-drittijiet u l-obbligi li jridu jiġu imposti fuq il-ħaddiema u l-impjegaturi rispettivament, huwa ġeneralment konsistenti ma’ dan l-objettiv.</w:t>
      </w:r>
    </w:p>
    <w:p w:rsidR="00D76AD4" w:rsidRPr="002910D1" w:rsidP="00D76AD4" w14:paraId="5607D034" w14:textId="77777777">
      <w:pPr>
        <w:jc w:val="both"/>
      </w:pPr>
    </w:p>
    <w:p w:rsidR="00D76AD4" w:rsidRPr="002910D1" w:rsidP="00D76AD4" w14:paraId="04CB42E5" w14:textId="77777777">
      <w:pPr>
        <w:jc w:val="both"/>
      </w:pPr>
      <w:r w:rsidRPr="002910D1">
        <w:t>Madankollu, xi aspetti tar-rakkomandazzjonijiet jidhru li xi kultant jitbiegħdu minn kunċett strett ta’ saħħa u sikurezza okkupazzjonali, inklużi miżuri li jistgħu jkunu pertinenti wkoll f’oqsma ta’ politika ġirien oħra, li għalihom teżisti bażi legali speċifika, b’mod partikolari:</w:t>
      </w:r>
    </w:p>
    <w:p w:rsidR="00D76AD4" w:rsidRPr="002910D1" w:rsidP="00D76AD4" w14:paraId="04D2032B" w14:textId="77777777">
      <w:pPr>
        <w:jc w:val="both"/>
      </w:pPr>
    </w:p>
    <w:p w:rsidR="00D76AD4" w:rsidRPr="002910D1" w:rsidP="00D76AD4" w14:paraId="07D0300A" w14:textId="77777777">
      <w:pPr>
        <w:ind w:left="567" w:hanging="567"/>
        <w:jc w:val="both"/>
      </w:pPr>
      <w:r w:rsidRPr="002910D1">
        <w:t>-</w:t>
      </w:r>
      <w:r w:rsidRPr="002910D1">
        <w:tab/>
        <w:t>ir-rakkomandazzjoni li l-pjan ta’ azzjoni jinkludi miżuri li jirregolaw ir-riskji psikosoċjali relatati max-xogħol relatati mal-ipproċessar tad-data tal-ħaddiema għat-tfassil ta’ profili jew għal skopijiet oħra (ir-rakkomandazzjoni 5, paragrafu 4b, punt (e)), li tista’ titqies ukoll bħala espressjoni tal-objettiv li jiġu protetti l-individwi fir-rigward tal-ipproċessar tad-data personali, minqux fl-Artikolu 16 TFUE;</w:t>
      </w:r>
    </w:p>
    <w:p w:rsidR="00D76AD4" w:rsidRPr="002910D1" w:rsidP="00D76AD4" w14:paraId="58CF9193" w14:textId="77777777">
      <w:pPr>
        <w:jc w:val="both"/>
      </w:pPr>
    </w:p>
    <w:p w:rsidR="00D76AD4" w:rsidRPr="002910D1" w:rsidP="00D76AD4" w14:paraId="2E10991B" w14:textId="77777777">
      <w:pPr>
        <w:ind w:left="567" w:hanging="567"/>
        <w:jc w:val="both"/>
      </w:pPr>
      <w:r w:rsidRPr="002910D1">
        <w:t>-</w:t>
      </w:r>
      <w:r w:rsidRPr="002910D1">
        <w:tab/>
        <w:t>ir-rakkomandazzjoni li l-Istati Membri jiżguraw il-kontinwità tal-kura u l-aċċess għall-appoġġ għas-saħħa mentali għall-ħaddiema esposti għal riskji psikosoċjali anke wara t-terminazzjoni ta’ relazzjoni ta’ impjieg (ir-rakkomandazzjoni 7, it-tielet paragrafu), li, peress li hija relatata mas-sigurtà soċjali tal-ħaddiema, tista’ tiġi inkwadrata fil-bażi legali tal-Artikolu 153(1)(c).</w:t>
      </w:r>
    </w:p>
    <w:p w:rsidR="00D76AD4" w:rsidRPr="002910D1" w:rsidP="00D76AD4" w14:paraId="4DCE7F71" w14:textId="77777777">
      <w:pPr>
        <w:jc w:val="both"/>
      </w:pPr>
    </w:p>
    <w:p w:rsidR="00D76AD4" w:rsidRPr="002910D1" w:rsidP="00D76AD4" w14:paraId="05FBFBB4" w14:textId="77777777">
      <w:pPr>
        <w:jc w:val="both"/>
      </w:pPr>
      <w:r w:rsidRPr="002910D1">
        <w:t>Madankollu, il-piż relattiv ta’ dawn l-aspetti fi ħdan ir-rakkomandazzjonijiet ikkonċernati rispettivament u fi ħdan l-arkitettura ġenerali tal-miżura rikjesta mhuwiex tali li jirrevoka li l-għan tal-miżura rikjesta jibqa’ t-titjib tal-ambjent tax-xogħol bil-ħsieb li jiġu protetti s-sikurezza u s-saħħa tal-ħaddiema.</w:t>
      </w:r>
    </w:p>
    <w:p w:rsidR="00D76AD4" w:rsidRPr="002910D1" w:rsidP="00D76AD4" w14:paraId="2EF3E037" w14:textId="77777777">
      <w:pPr>
        <w:pStyle w:val="Normal12a"/>
      </w:pPr>
    </w:p>
    <w:p w:rsidR="00D76AD4" w:rsidRPr="002910D1" w:rsidP="00D76AD4" w14:paraId="5CED5DD1" w14:textId="77777777">
      <w:pPr>
        <w:pStyle w:val="Normal12a"/>
      </w:pPr>
      <w:r w:rsidRPr="002910D1">
        <w:rPr>
          <w:b/>
          <w:u w:val="single"/>
        </w:rPr>
        <w:t>VI – Konklużjoni</w:t>
      </w:r>
    </w:p>
    <w:p w:rsidR="00D76AD4" w:rsidRPr="002910D1" w:rsidP="00D76AD4" w14:paraId="193511D7" w14:textId="77777777">
      <w:pPr>
        <w:pStyle w:val="Normal12a"/>
      </w:pPr>
      <w:r w:rsidRPr="002910D1">
        <w:t>Fil-laqgħa tiegħu tal-15 ta’ Lulju 2026, il-Kumitat għall-Affarijiet Legali għaldaqstant ikkonkluda, bi 22 vot favur, l-ebda vot kontra u 3 astensjonijiet, li l-proposta INL issegwi l-objettivi koperti mill-kunċetti ta’ “ambjent tax-xogħol”, “sikurezza” u “saħħa”, kif imsemmi fl-Artikolu 153(1)(a) TFUE u li, għalhekk, l-Artikolu 153(2)(b), flimkien mal-Artikolu 153(1)(a) TFUE, jidhru li huma l-bażijiet legali xierqa.</w:t>
      </w:r>
    </w:p>
    <w:p w:rsidR="00D76AD4" w:rsidRPr="002910D1" w:rsidP="00D76AD4" w14:paraId="23FA22B3" w14:textId="77777777">
      <w:pPr>
        <w:pStyle w:val="Normal12a"/>
        <w:spacing w:after="480"/>
      </w:pPr>
      <w:r w:rsidRPr="002910D1">
        <w:t>Dejjem Tiegħek,</w:t>
      </w:r>
    </w:p>
    <w:p w:rsidR="00D76AD4" w:rsidRPr="002910D1" w:rsidP="00D76AD4" w14:paraId="4E11EC57" w14:textId="77777777">
      <w:pPr>
        <w:pStyle w:val="Normal12a"/>
      </w:pPr>
      <w:r w:rsidRPr="002910D1">
        <w:t>Ilhan Kyuchyuk</w:t>
      </w:r>
    </w:p>
    <w:p w:rsidR="00D76AD4" w:rsidRPr="002910D1" w14:paraId="20A4B21B" w14:textId="77777777">
      <w:pPr>
        <w:widowControl/>
        <w:sectPr w:rsidSect="00D14A32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D76AD4" w:rsidRPr="002910D1" w14:paraId="695169E2" w14:textId="77777777">
      <w:pPr>
        <w:widowControl/>
      </w:pPr>
    </w:p>
    <w:p w:rsidR="00D76AD4" w:rsidRPr="002910D1" w:rsidP="002B2C72" w14:paraId="7357E627" w14:textId="77777777">
      <w:pPr>
        <w:pStyle w:val="PageHeadingNotTOC"/>
        <w:rPr>
          <w:noProof/>
        </w:rPr>
      </w:pPr>
      <w:bookmarkStart w:id="1" w:name="FootprintPageAL"/>
      <w:r w:rsidRPr="002910D1">
        <w:t>ANNESS: DIKJARAZZJONI TAL-KONTRIBUT</w:t>
      </w:r>
    </w:p>
    <w:p w:rsidR="00D76AD4" w:rsidRPr="002910D1" w:rsidP="00037518" w14:paraId="0E256B52" w14:textId="77777777">
      <w:pPr>
        <w:pStyle w:val="Normal24a"/>
      </w:pPr>
      <w:r w:rsidRPr="002910D1">
        <w:rPr>
          <w:rStyle w:val="HideTWBExt"/>
        </w:rPr>
        <w:t>&lt;FootprintIntro&gt;</w:t>
      </w:r>
      <w:r w:rsidRPr="002910D1">
        <w:t>Ir-rapporteur għal opinjoni jiddikjara, taħt ir-responsabbiltà esklużiva tiegħu, li fl-opinjoni tiegħu ma inkludiex kontribut mingħand rappreżentanti ta’ gruppi ta’ interess li jaqgħu fil-kamp ta’ applikazzjoni tal-Ftehim Interistituzzjonali dwar Reġistru Obbligatorju ta’ Trasparenza</w:t>
      </w:r>
      <w:r>
        <w:rPr>
          <w:rStyle w:val="FootnoteReference"/>
        </w:rPr>
        <w:footnoteReference w:id="9"/>
      </w:r>
      <w:r w:rsidRPr="002910D1">
        <w:t>, jew mingħand rappreżentanti ta’ awtoritajiet pubbliċi ta’ pajjiżi terzi, inklużi l-missjonijiet diplomatiċi u l-ambaxxati tagħhom, li għandhom jiġu elenkati f’dan l-Anness f’konformità mal-Artikolu 8 tal-Anness I tar-Regoli ta’ Proċedura.</w:t>
      </w:r>
      <w:r w:rsidRPr="002910D1">
        <w:rPr>
          <w:rStyle w:val="HideTWBExt"/>
        </w:rPr>
        <w:t>&lt;/FootprintIntro&gt;</w:t>
      </w:r>
    </w:p>
    <w:p w:rsidR="00D76AD4" w:rsidRPr="002910D1" w:rsidP="00D76AD4" w14:paraId="4C92D3B9" w14:textId="77777777"/>
    <w:bookmarkEnd w:id="1"/>
    <w:p w:rsidR="00D76AD4" w:rsidRPr="002910D1" w14:paraId="37D13D1E" w14:textId="77777777">
      <w:pPr>
        <w:widowControl/>
      </w:pPr>
      <w:r w:rsidRPr="002910D1">
        <w:br w:type="page"/>
      </w:r>
    </w:p>
    <w:p w:rsidR="00C85AEE" w:rsidRPr="002910D1" w:rsidP="00C85AEE" w14:paraId="57A8A116" w14:textId="77777777">
      <w:pPr>
        <w:pStyle w:val="PageHeadingNotTOC"/>
        <w:spacing w:after="0"/>
      </w:pPr>
      <w:bookmarkStart w:id="2" w:name="RollCallPageAL"/>
      <w:r w:rsidRPr="002910D1">
        <w:t>VOTAZZJONI FINALI B’SEJĦA TAL-ISMIJIET</w:t>
      </w:r>
    </w:p>
    <w:p w:rsidR="00D76AD4" w:rsidRPr="002910D1" w:rsidP="00C85AEE" w14:paraId="71228ABA" w14:textId="01669682">
      <w:pPr>
        <w:pStyle w:val="PageHeadingNotTOC"/>
        <w:spacing w:after="0"/>
      </w:pPr>
      <w:r w:rsidRPr="002910D1">
        <w:t xml:space="preserve"> MILL-KUMITAT LI JINTALAB JAGĦTI OPINJONI</w:t>
      </w:r>
    </w:p>
    <w:p w:rsidR="00C85AEE" w:rsidRPr="002910D1" w:rsidP="00C85AEE" w14:paraId="3C9C8854" w14:textId="77777777">
      <w:pPr>
        <w:pStyle w:val="PageHeadingNotTOC"/>
        <w:spacing w:after="0"/>
      </w:pPr>
    </w:p>
    <w:p w:rsidR="00C85AEE" w:rsidRPr="002910D1" w:rsidP="00C85AEE" w14:paraId="5A779F05" w14:textId="77777777">
      <w:pPr>
        <w:pStyle w:val="PageHeadingNotTOC"/>
        <w:spacing w:after="0"/>
      </w:pP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/>
      </w:tblPr>
      <w:tblGrid>
        <w:gridCol w:w="1701"/>
        <w:gridCol w:w="7371"/>
      </w:tblGrid>
      <w:tr w14:paraId="57C7C45D" w14:textId="77777777" w:rsidTr="00A664A0">
        <w:tblPrEx>
          <w:tblW w:w="0" w:type="auto"/>
          <w:tblInd w:w="145" w:type="dxa"/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D76AD4" w:rsidRPr="002910D1" w:rsidP="00A664A0" w14:paraId="5530F1D0" w14:textId="77777777">
            <w:pPr>
              <w:pStyle w:val="RollCallVotes"/>
            </w:pPr>
            <w:r w:rsidRPr="002910D1">
              <w:t>22</w:t>
            </w:r>
          </w:p>
        </w:tc>
        <w:tc>
          <w:tcPr>
            <w:tcW w:w="7371" w:type="dxa"/>
            <w:shd w:val="pct10" w:color="000000" w:fill="FFFFFF"/>
          </w:tcPr>
          <w:p w:rsidR="00D76AD4" w:rsidRPr="002910D1" w:rsidP="00A664A0" w14:paraId="51B9964C" w14:textId="77777777">
            <w:pPr>
              <w:pStyle w:val="RollCallSymbols14pt"/>
            </w:pPr>
            <w:r w:rsidRPr="002910D1">
              <w:t>+</w:t>
            </w:r>
          </w:p>
        </w:tc>
      </w:tr>
      <w:tr w14:paraId="03C804FB" w14:textId="77777777" w:rsidTr="00A664A0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D76AD4" w:rsidRPr="002910D1" w:rsidP="00A664A0" w14:paraId="25C50D10" w14:textId="77777777">
            <w:pPr>
              <w:pStyle w:val="RollCallTable"/>
            </w:pPr>
            <w:r w:rsidRPr="002910D1">
              <w:t>ESN</w:t>
            </w:r>
          </w:p>
        </w:tc>
        <w:tc>
          <w:tcPr>
            <w:tcW w:w="7371" w:type="dxa"/>
            <w:shd w:val="clear" w:color="auto" w:fill="FFFFFF"/>
          </w:tcPr>
          <w:p w:rsidR="00D76AD4" w:rsidRPr="002910D1" w:rsidP="00A664A0" w14:paraId="1392DA29" w14:textId="77777777">
            <w:pPr>
              <w:pStyle w:val="RollCallTable"/>
            </w:pPr>
            <w:r w:rsidRPr="002910D1">
              <w:t>Mary Khan</w:t>
            </w:r>
          </w:p>
        </w:tc>
      </w:tr>
      <w:tr w14:paraId="440618DB" w14:textId="77777777" w:rsidTr="00A664A0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D76AD4" w:rsidRPr="002910D1" w:rsidP="00A664A0" w14:paraId="2B73B97F" w14:textId="77777777">
            <w:pPr>
              <w:pStyle w:val="RollCallTable"/>
            </w:pPr>
            <w:r w:rsidRPr="002910D1">
              <w:t>PPE</w:t>
            </w:r>
          </w:p>
        </w:tc>
        <w:tc>
          <w:tcPr>
            <w:tcW w:w="7371" w:type="dxa"/>
            <w:shd w:val="clear" w:color="auto" w:fill="FFFFFF"/>
          </w:tcPr>
          <w:p w:rsidR="00D76AD4" w:rsidRPr="002910D1" w:rsidP="00A664A0" w14:paraId="11A00C57" w14:textId="77777777">
            <w:pPr>
              <w:pStyle w:val="RollCallTable"/>
            </w:pPr>
            <w:r w:rsidRPr="002910D1">
              <w:t>Henrik Dahl, Angelika Niebler, Emil Radev, Sven Simon, Axel Voss, Marion Walsmann, Michał Wawrykiewicz</w:t>
            </w:r>
          </w:p>
        </w:tc>
      </w:tr>
      <w:tr w14:paraId="0C4E3068" w14:textId="77777777" w:rsidTr="00A664A0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D76AD4" w:rsidRPr="002910D1" w:rsidP="00A664A0" w14:paraId="38F46CB1" w14:textId="77777777">
            <w:pPr>
              <w:pStyle w:val="RollCallTable"/>
            </w:pPr>
            <w:r w:rsidRPr="002910D1">
              <w:t>PfE</w:t>
            </w:r>
          </w:p>
        </w:tc>
        <w:tc>
          <w:tcPr>
            <w:tcW w:w="7371" w:type="dxa"/>
            <w:shd w:val="clear" w:color="auto" w:fill="FFFFFF"/>
          </w:tcPr>
          <w:p w:rsidR="00D76AD4" w:rsidRPr="002910D1" w:rsidP="00A664A0" w14:paraId="13FA81B1" w14:textId="77777777">
            <w:pPr>
              <w:pStyle w:val="RollCallTable"/>
            </w:pPr>
            <w:r w:rsidRPr="002910D1">
              <w:t>Ton Diepeveen, Juan Carlos Girauta Vidal, Philippe Olivier</w:t>
            </w:r>
          </w:p>
        </w:tc>
      </w:tr>
      <w:tr w14:paraId="17774AD6" w14:textId="77777777" w:rsidTr="00A664A0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D76AD4" w:rsidRPr="002910D1" w:rsidP="00A664A0" w14:paraId="2EA3B5BD" w14:textId="77777777">
            <w:pPr>
              <w:pStyle w:val="RollCallTable"/>
            </w:pPr>
            <w:r w:rsidRPr="002910D1">
              <w:t>Renew</w:t>
            </w:r>
          </w:p>
        </w:tc>
        <w:tc>
          <w:tcPr>
            <w:tcW w:w="7371" w:type="dxa"/>
            <w:shd w:val="clear" w:color="auto" w:fill="FFFFFF"/>
          </w:tcPr>
          <w:p w:rsidR="00D76AD4" w:rsidRPr="002910D1" w:rsidP="00A664A0" w14:paraId="597FD0BA" w14:textId="77777777">
            <w:pPr>
              <w:pStyle w:val="RollCallTable"/>
            </w:pPr>
            <w:r w:rsidRPr="002910D1">
              <w:t>Ilhan Kyuchyuk, Lukas Sieper, Dainius Žalimas</w:t>
            </w:r>
          </w:p>
        </w:tc>
      </w:tr>
      <w:tr w14:paraId="2910A681" w14:textId="77777777" w:rsidTr="00A664A0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D76AD4" w:rsidRPr="002910D1" w:rsidP="00A664A0" w14:paraId="567EB05C" w14:textId="77777777">
            <w:pPr>
              <w:pStyle w:val="RollCallTable"/>
            </w:pPr>
            <w:r w:rsidRPr="002910D1">
              <w:t>S&amp;D</w:t>
            </w:r>
          </w:p>
        </w:tc>
        <w:tc>
          <w:tcPr>
            <w:tcW w:w="7371" w:type="dxa"/>
            <w:shd w:val="clear" w:color="auto" w:fill="FFFFFF"/>
          </w:tcPr>
          <w:p w:rsidR="00D76AD4" w:rsidRPr="002910D1" w:rsidP="00A664A0" w14:paraId="5540913D" w14:textId="77777777">
            <w:pPr>
              <w:pStyle w:val="RollCallTable"/>
            </w:pPr>
            <w:r w:rsidRPr="002910D1">
              <w:t>José Cepeda, Matthias Ecke, Marit Maij, René Repasi, Krzysztof Śmiszek</w:t>
            </w:r>
          </w:p>
        </w:tc>
      </w:tr>
      <w:tr w14:paraId="5435C682" w14:textId="77777777" w:rsidTr="00A664A0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D76AD4" w:rsidRPr="002910D1" w:rsidP="00A664A0" w14:paraId="7ED0786E" w14:textId="77777777">
            <w:pPr>
              <w:pStyle w:val="RollCallTable"/>
            </w:pPr>
            <w:r w:rsidRPr="002910D1">
              <w:t>The Left</w:t>
            </w:r>
          </w:p>
        </w:tc>
        <w:tc>
          <w:tcPr>
            <w:tcW w:w="7371" w:type="dxa"/>
            <w:shd w:val="clear" w:color="auto" w:fill="FFFFFF"/>
          </w:tcPr>
          <w:p w:rsidR="00D76AD4" w:rsidRPr="002910D1" w:rsidP="00A664A0" w14:paraId="1EA8FE70" w14:textId="77777777">
            <w:pPr>
              <w:pStyle w:val="RollCallTable"/>
            </w:pPr>
            <w:r w:rsidRPr="002910D1">
              <w:t>Mario Furore</w:t>
            </w:r>
          </w:p>
        </w:tc>
      </w:tr>
      <w:tr w14:paraId="3AD3022E" w14:textId="77777777" w:rsidTr="00A664A0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D76AD4" w:rsidRPr="002910D1" w:rsidP="00A664A0" w14:paraId="2E0D4F6E" w14:textId="77777777">
            <w:pPr>
              <w:pStyle w:val="RollCallTable"/>
            </w:pPr>
            <w:r w:rsidRPr="002910D1">
              <w:t>Verts/ALE</w:t>
            </w:r>
          </w:p>
        </w:tc>
        <w:tc>
          <w:tcPr>
            <w:tcW w:w="7371" w:type="dxa"/>
            <w:shd w:val="clear" w:color="auto" w:fill="FFFFFF"/>
          </w:tcPr>
          <w:p w:rsidR="00D76AD4" w:rsidRPr="002910D1" w:rsidP="00A664A0" w14:paraId="4FACFF82" w14:textId="77777777">
            <w:pPr>
              <w:pStyle w:val="RollCallTable"/>
            </w:pPr>
            <w:r w:rsidRPr="002910D1">
              <w:t>Sergey Lagodinsky, Kira Marie Peter-Hansen</w:t>
            </w:r>
          </w:p>
        </w:tc>
      </w:tr>
    </w:tbl>
    <w:p w:rsidR="00D76AD4" w:rsidRPr="002910D1" w:rsidP="00D76AD4" w14:paraId="4C078463" w14:textId="77777777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/>
      </w:tblPr>
      <w:tblGrid>
        <w:gridCol w:w="1701"/>
        <w:gridCol w:w="7371"/>
      </w:tblGrid>
      <w:tr w14:paraId="29D13E65" w14:textId="77777777" w:rsidTr="00A664A0">
        <w:tblPrEx>
          <w:tblW w:w="0" w:type="auto"/>
          <w:tblInd w:w="145" w:type="dxa"/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D76AD4" w:rsidRPr="002910D1" w:rsidP="00A664A0" w14:paraId="576EB676" w14:textId="77777777">
            <w:pPr>
              <w:pStyle w:val="RollCallVotes"/>
            </w:pPr>
            <w:r w:rsidRPr="002910D1">
              <w:t>0</w:t>
            </w:r>
          </w:p>
        </w:tc>
        <w:tc>
          <w:tcPr>
            <w:tcW w:w="7371" w:type="dxa"/>
            <w:shd w:val="pct10" w:color="000000" w:fill="FFFFFF"/>
          </w:tcPr>
          <w:p w:rsidR="00D76AD4" w:rsidRPr="002910D1" w:rsidP="00A664A0" w14:paraId="4D5AA74E" w14:textId="77777777">
            <w:pPr>
              <w:pStyle w:val="RollCallSymbols14pt"/>
            </w:pPr>
            <w:r w:rsidRPr="002910D1">
              <w:t>-</w:t>
            </w:r>
          </w:p>
        </w:tc>
      </w:tr>
      <w:tr w14:paraId="1E8FF66C" w14:textId="77777777" w:rsidTr="00A664A0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D76AD4" w:rsidRPr="002910D1" w:rsidP="00A664A0" w14:paraId="5B53611C" w14:textId="77777777">
            <w:pPr>
              <w:pStyle w:val="RollCallTable"/>
            </w:pPr>
          </w:p>
        </w:tc>
        <w:tc>
          <w:tcPr>
            <w:tcW w:w="7371" w:type="dxa"/>
            <w:shd w:val="clear" w:color="auto" w:fill="FFFFFF"/>
          </w:tcPr>
          <w:p w:rsidR="00D76AD4" w:rsidRPr="002910D1" w:rsidP="00A664A0" w14:paraId="28C166C2" w14:textId="77777777">
            <w:pPr>
              <w:pStyle w:val="RollCallTable"/>
            </w:pPr>
          </w:p>
        </w:tc>
      </w:tr>
    </w:tbl>
    <w:p w:rsidR="00D76AD4" w:rsidRPr="002910D1" w:rsidP="00D76AD4" w14:paraId="13ED4DD3" w14:textId="77777777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/>
      </w:tblPr>
      <w:tblGrid>
        <w:gridCol w:w="1701"/>
        <w:gridCol w:w="7371"/>
      </w:tblGrid>
      <w:tr w14:paraId="338A82A4" w14:textId="77777777" w:rsidTr="00A664A0">
        <w:tblPrEx>
          <w:tblW w:w="0" w:type="auto"/>
          <w:tblInd w:w="145" w:type="dxa"/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D76AD4" w:rsidRPr="002910D1" w:rsidP="00A664A0" w14:paraId="11CF6129" w14:textId="77777777">
            <w:pPr>
              <w:pStyle w:val="RollCallVotes"/>
            </w:pPr>
            <w:r w:rsidRPr="002910D1">
              <w:t>3</w:t>
            </w:r>
          </w:p>
        </w:tc>
        <w:tc>
          <w:tcPr>
            <w:tcW w:w="7371" w:type="dxa"/>
            <w:shd w:val="pct10" w:color="000000" w:fill="FFFFFF"/>
          </w:tcPr>
          <w:p w:rsidR="00D76AD4" w:rsidRPr="002910D1" w:rsidP="00A664A0" w14:paraId="5BCF1CA3" w14:textId="77777777">
            <w:pPr>
              <w:pStyle w:val="RollCallSymbols14pt"/>
            </w:pPr>
            <w:r w:rsidRPr="002910D1">
              <w:t>0</w:t>
            </w:r>
          </w:p>
        </w:tc>
      </w:tr>
      <w:tr w14:paraId="2C4F950D" w14:textId="77777777" w:rsidTr="00A664A0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D76AD4" w:rsidRPr="002910D1" w:rsidP="00A664A0" w14:paraId="63C296DB" w14:textId="77777777">
            <w:pPr>
              <w:pStyle w:val="RollCallTable"/>
            </w:pPr>
            <w:r w:rsidRPr="002910D1">
              <w:t>ECR</w:t>
            </w:r>
          </w:p>
        </w:tc>
        <w:tc>
          <w:tcPr>
            <w:tcW w:w="7371" w:type="dxa"/>
            <w:shd w:val="clear" w:color="auto" w:fill="FFFFFF"/>
          </w:tcPr>
          <w:p w:rsidR="00D76AD4" w:rsidRPr="002910D1" w:rsidP="00A664A0" w14:paraId="3B224220" w14:textId="77777777">
            <w:pPr>
              <w:pStyle w:val="RollCallTable"/>
            </w:pPr>
            <w:r w:rsidRPr="002910D1">
              <w:t>Tobiasz Bocheński, Mario Mantovani, Dominik Tarczyński</w:t>
            </w:r>
          </w:p>
        </w:tc>
      </w:tr>
    </w:tbl>
    <w:p w:rsidR="00D76AD4" w:rsidRPr="002910D1" w:rsidP="00D76AD4" w14:paraId="0415DBE2" w14:textId="77777777">
      <w:pPr>
        <w:pStyle w:val="Normal12a"/>
      </w:pPr>
    </w:p>
    <w:p w:rsidR="00D76AD4" w:rsidRPr="002910D1" w:rsidP="00D76AD4" w14:paraId="55A11D81" w14:textId="77777777">
      <w:r w:rsidRPr="002910D1">
        <w:t>Tifsira tas-simboli użati:</w:t>
      </w:r>
    </w:p>
    <w:p w:rsidR="00D76AD4" w:rsidRPr="002910D1" w:rsidP="00D76AD4" w14:paraId="20F5C4BE" w14:textId="77777777">
      <w:pPr>
        <w:pStyle w:val="RollCallTabs"/>
      </w:pPr>
      <w:r w:rsidRPr="002910D1">
        <w:t>+</w:t>
      </w:r>
      <w:r w:rsidRPr="002910D1">
        <w:tab/>
        <w:t>:</w:t>
      </w:r>
      <w:r w:rsidRPr="002910D1">
        <w:tab/>
        <w:t>favur</w:t>
      </w:r>
    </w:p>
    <w:p w:rsidR="00D76AD4" w:rsidRPr="002910D1" w:rsidP="00D76AD4" w14:paraId="0F896F90" w14:textId="77777777">
      <w:pPr>
        <w:pStyle w:val="RollCallTabs"/>
      </w:pPr>
      <w:r w:rsidRPr="002910D1">
        <w:t>-</w:t>
      </w:r>
      <w:r w:rsidRPr="002910D1">
        <w:tab/>
        <w:t>:</w:t>
      </w:r>
      <w:r w:rsidRPr="002910D1">
        <w:tab/>
        <w:t>kontra</w:t>
      </w:r>
    </w:p>
    <w:p w:rsidR="00D76AD4" w:rsidRPr="002910D1" w:rsidP="00D76AD4" w14:paraId="2689A62E" w14:textId="77777777">
      <w:pPr>
        <w:pStyle w:val="RollCallTabs"/>
      </w:pPr>
      <w:r w:rsidRPr="002910D1">
        <w:t>0</w:t>
      </w:r>
      <w:r w:rsidRPr="002910D1">
        <w:tab/>
        <w:t>:</w:t>
      </w:r>
      <w:r w:rsidRPr="002910D1">
        <w:tab/>
        <w:t>astensjoni</w:t>
      </w:r>
    </w:p>
    <w:bookmarkEnd w:id="2"/>
    <w:p w:rsidR="00D76AD4" w:rsidRPr="002910D1" w:rsidP="00D76AD4" w14:paraId="09B8F567" w14:textId="77777777"/>
    <w:p w:rsidR="009D564F" w:rsidRPr="002910D1" w:rsidP="00D76AD4" w14:paraId="17AB16DC" w14:textId="77777777">
      <w:pPr>
        <w:pStyle w:val="Normal12a"/>
      </w:pPr>
    </w:p>
    <w:sectPr w:rsidSect="00D76AD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Warnock 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4A32" w:rsidRPr="002910D1" w:rsidP="00D14A32" w14:paraId="73B0FCFA" w14:textId="77777777">
    <w:pPr>
      <w:pStyle w:val="EPFooter"/>
    </w:pPr>
    <w:r w:rsidRPr="002910D1">
      <w:t>PE</w:t>
    </w:r>
    <w:r w:rsidRPr="002910D1">
      <w:rPr>
        <w:rStyle w:val="HideTWBExt"/>
      </w:rPr>
      <w:t>&lt;NoPE&gt;</w:t>
    </w:r>
    <w:r w:rsidRPr="002910D1">
      <w:t>791.076</w:t>
    </w:r>
    <w:r w:rsidRPr="002910D1">
      <w:rPr>
        <w:rStyle w:val="HideTWBExt"/>
      </w:rPr>
      <w:t>&lt;/NoPE&gt;&lt;Version&gt;</w:t>
    </w:r>
    <w:r w:rsidRPr="002910D1">
      <w:t>v01-00</w:t>
    </w:r>
    <w:r w:rsidRPr="002910D1">
      <w:rPr>
        <w:rStyle w:val="HideTWBExt"/>
      </w:rPr>
      <w:t>&lt;/Version&gt;</w:t>
    </w:r>
    <w:r w:rsidRPr="002910D1">
      <w:tab/>
    </w:r>
    <w:r w:rsidRPr="002910D1">
      <w:fldChar w:fldCharType="begin"/>
    </w:r>
    <w:r w:rsidRPr="002910D1">
      <w:instrText xml:space="preserve"> PAGE  \* MERGEFORMAT </w:instrText>
    </w:r>
    <w:r w:rsidRPr="002910D1">
      <w:fldChar w:fldCharType="separate"/>
    </w:r>
    <w:r w:rsidRPr="002910D1">
      <w:rPr>
        <w:noProof/>
      </w:rPr>
      <w:t>2</w:t>
    </w:r>
    <w:r w:rsidRPr="002910D1">
      <w:fldChar w:fldCharType="end"/>
    </w:r>
    <w:r w:rsidRPr="002910D1"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2910D1">
      <w:rPr>
        <w:noProof/>
      </w:rPr>
      <w:t>9</w:t>
    </w:r>
    <w:r w:rsidRPr="002910D1">
      <w:rPr>
        <w:noProof/>
      </w:rPr>
      <w:fldChar w:fldCharType="end"/>
    </w:r>
    <w:r w:rsidRPr="002910D1">
      <w:tab/>
    </w:r>
    <w:r w:rsidRPr="002910D1">
      <w:rPr>
        <w:rStyle w:val="HideTWBExt"/>
      </w:rPr>
      <w:t>&lt;PathFdR&gt;</w:t>
    </w:r>
    <w:r w:rsidRPr="002910D1">
      <w:t>AL\1349553MT.docx</w:t>
    </w:r>
    <w:r w:rsidRPr="002910D1">
      <w:rPr>
        <w:rStyle w:val="HideTWBExt"/>
      </w:rPr>
      <w:t>&lt;/PathFdR&gt;</w:t>
    </w:r>
  </w:p>
  <w:p w:rsidR="00000C7D" w:rsidRPr="002910D1" w:rsidP="00D14A32" w14:paraId="626ECC91" w14:textId="23242334">
    <w:pPr>
      <w:pStyle w:val="EPFooter2"/>
    </w:pPr>
    <w:r w:rsidRPr="002910D1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4A32" w:rsidRPr="002910D1" w:rsidP="00D14A32" w14:paraId="3BA3A931" w14:textId="77777777">
    <w:pPr>
      <w:pStyle w:val="EPFooter"/>
    </w:pPr>
    <w:r w:rsidRPr="002910D1">
      <w:rPr>
        <w:rStyle w:val="HideTWBExt"/>
      </w:rPr>
      <w:t>&lt;PathFdR&gt;</w:t>
    </w:r>
    <w:r w:rsidRPr="002910D1">
      <w:t>AL\1349553MT.docx</w:t>
    </w:r>
    <w:r w:rsidRPr="002910D1">
      <w:rPr>
        <w:rStyle w:val="HideTWBExt"/>
      </w:rPr>
      <w:t>&lt;/PathFdR&gt;</w:t>
    </w:r>
    <w:r w:rsidRPr="002910D1">
      <w:tab/>
    </w:r>
    <w:r w:rsidRPr="002910D1">
      <w:fldChar w:fldCharType="begin"/>
    </w:r>
    <w:r w:rsidRPr="002910D1">
      <w:instrText xml:space="preserve"> PAGE  \* MERGEFORMAT </w:instrText>
    </w:r>
    <w:r w:rsidRPr="002910D1">
      <w:fldChar w:fldCharType="separate"/>
    </w:r>
    <w:r w:rsidRPr="002910D1">
      <w:rPr>
        <w:noProof/>
      </w:rPr>
      <w:t>3</w:t>
    </w:r>
    <w:r w:rsidRPr="002910D1">
      <w:fldChar w:fldCharType="end"/>
    </w:r>
    <w:r w:rsidRPr="002910D1"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2910D1">
      <w:rPr>
        <w:noProof/>
      </w:rPr>
      <w:t>9</w:t>
    </w:r>
    <w:r w:rsidRPr="002910D1">
      <w:rPr>
        <w:noProof/>
      </w:rPr>
      <w:fldChar w:fldCharType="end"/>
    </w:r>
    <w:r w:rsidRPr="002910D1">
      <w:tab/>
      <w:t>PE</w:t>
    </w:r>
    <w:r w:rsidRPr="002910D1">
      <w:rPr>
        <w:rStyle w:val="HideTWBExt"/>
      </w:rPr>
      <w:t>&lt;NoPE&gt;</w:t>
    </w:r>
    <w:r w:rsidRPr="002910D1">
      <w:t>791.076</w:t>
    </w:r>
    <w:r w:rsidRPr="002910D1">
      <w:rPr>
        <w:rStyle w:val="HideTWBExt"/>
      </w:rPr>
      <w:t>&lt;/NoPE&gt;&lt;Version&gt;</w:t>
    </w:r>
    <w:r w:rsidRPr="002910D1">
      <w:t>v01-00</w:t>
    </w:r>
    <w:r w:rsidRPr="002910D1">
      <w:rPr>
        <w:rStyle w:val="HideTWBExt"/>
      </w:rPr>
      <w:t>&lt;/Version&gt;</w:t>
    </w:r>
  </w:p>
  <w:p w:rsidR="00000C7D" w:rsidRPr="002910D1" w:rsidP="00D14A32" w14:paraId="293D3EDB" w14:textId="07F30011">
    <w:pPr>
      <w:pStyle w:val="EPFooter2"/>
    </w:pPr>
    <w:r w:rsidRPr="002910D1">
      <w:tab/>
    </w:r>
    <w:r w:rsidRPr="002910D1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4A32" w:rsidRPr="002910D1" w:rsidP="00D14A32" w14:paraId="7383FB56" w14:textId="77777777">
    <w:pPr>
      <w:pStyle w:val="EPFooter"/>
    </w:pPr>
    <w:r w:rsidRPr="002910D1">
      <w:rPr>
        <w:rStyle w:val="HideTWBExt"/>
      </w:rPr>
      <w:t>&lt;PathFdR&gt;</w:t>
    </w:r>
    <w:r w:rsidRPr="002910D1">
      <w:t>AL\1349553MT.docx</w:t>
    </w:r>
    <w:r w:rsidRPr="002910D1">
      <w:rPr>
        <w:rStyle w:val="HideTWBExt"/>
      </w:rPr>
      <w:t>&lt;/PathFdR&gt;</w:t>
    </w:r>
    <w:r w:rsidRPr="002910D1">
      <w:tab/>
    </w:r>
    <w:r w:rsidRPr="002910D1">
      <w:tab/>
      <w:t>PE</w:t>
    </w:r>
    <w:r w:rsidRPr="002910D1">
      <w:rPr>
        <w:rStyle w:val="HideTWBExt"/>
      </w:rPr>
      <w:t>&lt;NoPE&gt;</w:t>
    </w:r>
    <w:r w:rsidRPr="002910D1">
      <w:t>791.076</w:t>
    </w:r>
    <w:r w:rsidRPr="002910D1">
      <w:rPr>
        <w:rStyle w:val="HideTWBExt"/>
      </w:rPr>
      <w:t>&lt;/NoPE&gt;&lt;Version&gt;</w:t>
    </w:r>
    <w:r w:rsidRPr="002910D1">
      <w:t>v01-00</w:t>
    </w:r>
    <w:r w:rsidRPr="002910D1">
      <w:rPr>
        <w:rStyle w:val="HideTWBExt"/>
      </w:rPr>
      <w:t>&lt;/Version&gt;</w:t>
    </w:r>
  </w:p>
  <w:p w:rsidR="00000C7D" w:rsidRPr="002910D1" w:rsidP="00D14A32" w14:paraId="23E749C9" w14:textId="1AD83217">
    <w:pPr>
      <w:pStyle w:val="EPFooter2"/>
    </w:pPr>
    <w:r w:rsidRPr="002910D1">
      <w:t>MT</w:t>
    </w:r>
    <w:r w:rsidRPr="002910D1">
      <w:tab/>
    </w:r>
    <w:r w:rsidRPr="002910D1">
      <w:rPr>
        <w:b w:val="0"/>
        <w:i/>
        <w:color w:val="C0C0C0"/>
        <w:sz w:val="22"/>
      </w:rPr>
      <w:t>Magħquda fid-diversità</w:t>
    </w:r>
    <w:r w:rsidRPr="002910D1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155C91" w:rsidRPr="002910D1" w14:paraId="344B5D73" w14:textId="77777777">
      <w:r w:rsidRPr="002910D1">
        <w:separator/>
      </w:r>
    </w:p>
  </w:footnote>
  <w:footnote w:type="continuationSeparator" w:id="1">
    <w:p w:rsidR="00155C91" w:rsidRPr="002910D1" w14:paraId="0291FEBD" w14:textId="77777777">
      <w:r w:rsidRPr="002910D1">
        <w:continuationSeparator/>
      </w:r>
    </w:p>
  </w:footnote>
  <w:footnote w:id="2">
    <w:p w:rsidR="00D76AD4" w:rsidRPr="002910D1" w:rsidP="00D76AD4" w14:paraId="35C2F01E" w14:textId="77777777">
      <w:pPr>
        <w:ind w:left="284" w:hanging="284"/>
        <w:rPr>
          <w:sz w:val="20"/>
        </w:rPr>
      </w:pPr>
      <w:r w:rsidRPr="002910D1">
        <w:rPr>
          <w:sz w:val="20"/>
          <w:vertAlign w:val="superscript"/>
        </w:rPr>
        <w:footnoteRef/>
      </w:r>
      <w:r w:rsidRPr="002910D1">
        <w:t xml:space="preserve"> </w:t>
      </w:r>
      <w:r w:rsidRPr="002910D1">
        <w:tab/>
      </w:r>
      <w:r w:rsidRPr="002910D1">
        <w:rPr>
          <w:i/>
        </w:rPr>
        <w:t>L-Opinjoni 2/00 (“Protokoll ta’ Kartaġena”)</w:t>
      </w:r>
      <w:r w:rsidRPr="002910D1">
        <w:t>, ECLI:EU:C:2001:664, il-punt 5.</w:t>
      </w:r>
    </w:p>
  </w:footnote>
  <w:footnote w:id="3">
    <w:p w:rsidR="00D76AD4" w:rsidRPr="002910D1" w:rsidP="00D76AD4" w14:paraId="12826DB1" w14:textId="77777777">
      <w:pPr>
        <w:ind w:left="284" w:hanging="284"/>
        <w:rPr>
          <w:sz w:val="20"/>
        </w:rPr>
      </w:pPr>
      <w:r w:rsidRPr="002910D1">
        <w:rPr>
          <w:sz w:val="20"/>
          <w:vertAlign w:val="superscript"/>
        </w:rPr>
        <w:footnoteRef/>
      </w:r>
      <w:r w:rsidRPr="002910D1">
        <w:rPr>
          <w:sz w:val="20"/>
        </w:rPr>
        <w:t xml:space="preserve"> </w:t>
      </w:r>
      <w:r w:rsidRPr="002910D1">
        <w:rPr>
          <w:sz w:val="20"/>
        </w:rPr>
        <w:tab/>
        <w:t xml:space="preserve">Il-Kawża C-300/89, Il-Kummissjoni vs Il-Kunsill (“Diossidu tat-titanju”), </w:t>
      </w:r>
      <w:r w:rsidRPr="002910D1">
        <w:rPr>
          <w:rStyle w:val="outputecliaff"/>
          <w:sz w:val="20"/>
        </w:rPr>
        <w:t xml:space="preserve">ECLI:EU:C:1991:244, </w:t>
      </w:r>
      <w:r w:rsidRPr="002910D1">
        <w:rPr>
          <w:sz w:val="20"/>
        </w:rPr>
        <w:t>il-punt 10.</w:t>
      </w:r>
    </w:p>
  </w:footnote>
  <w:footnote w:id="4">
    <w:p w:rsidR="00D76AD4" w:rsidRPr="002910D1" w:rsidP="00D76AD4" w14:paraId="30B6DB05" w14:textId="77777777">
      <w:pPr>
        <w:ind w:left="284" w:hanging="284"/>
        <w:rPr>
          <w:sz w:val="20"/>
        </w:rPr>
      </w:pPr>
      <w:r w:rsidRPr="002910D1">
        <w:rPr>
          <w:sz w:val="20"/>
          <w:vertAlign w:val="superscript"/>
        </w:rPr>
        <w:footnoteRef/>
      </w:r>
      <w:r w:rsidRPr="002910D1">
        <w:rPr>
          <w:sz w:val="20"/>
        </w:rPr>
        <w:t xml:space="preserve"> </w:t>
      </w:r>
      <w:r w:rsidRPr="002910D1">
        <w:rPr>
          <w:sz w:val="20"/>
        </w:rPr>
        <w:tab/>
        <w:t xml:space="preserve">Il-Kawża C-137/12, </w:t>
      </w:r>
      <w:r w:rsidRPr="002910D1">
        <w:rPr>
          <w:rStyle w:val="affairetitle"/>
          <w:sz w:val="20"/>
        </w:rPr>
        <w:t>Il-Kummissjoni vs Il-Kunsill, ECLI:</w:t>
      </w:r>
      <w:r w:rsidRPr="002910D1">
        <w:rPr>
          <w:rStyle w:val="outputecliaff"/>
          <w:sz w:val="20"/>
        </w:rPr>
        <w:t>EU:C:2013:675,</w:t>
      </w:r>
      <w:r w:rsidRPr="002910D1">
        <w:rPr>
          <w:sz w:val="20"/>
        </w:rPr>
        <w:t xml:space="preserve"> il-punt 53 u l-ġurisprudenza ċċitata.</w:t>
      </w:r>
    </w:p>
  </w:footnote>
  <w:footnote w:id="5">
    <w:p w:rsidR="00D76AD4" w:rsidRPr="002910D1" w:rsidP="00D76AD4" w14:paraId="71FD1FBC" w14:textId="77777777">
      <w:pPr>
        <w:ind w:left="284" w:hanging="284"/>
        <w:rPr>
          <w:sz w:val="20"/>
        </w:rPr>
      </w:pPr>
      <w:r w:rsidRPr="002910D1">
        <w:rPr>
          <w:sz w:val="20"/>
          <w:vertAlign w:val="superscript"/>
        </w:rPr>
        <w:footnoteRef/>
      </w:r>
      <w:r w:rsidRPr="002910D1">
        <w:rPr>
          <w:sz w:val="20"/>
        </w:rPr>
        <w:t xml:space="preserve"> </w:t>
      </w:r>
      <w:r w:rsidRPr="002910D1">
        <w:rPr>
          <w:sz w:val="20"/>
        </w:rPr>
        <w:tab/>
        <w:t xml:space="preserve">Il-Kawża C-300/89, il-punti 13 u 17; Il-Kawża C-42/97, </w:t>
      </w:r>
      <w:r w:rsidRPr="002910D1">
        <w:rPr>
          <w:rStyle w:val="affairetitle"/>
          <w:sz w:val="20"/>
        </w:rPr>
        <w:t>Il-Parlament vs Il-Kunsill, ECLI:</w:t>
      </w:r>
      <w:r w:rsidRPr="002910D1">
        <w:rPr>
          <w:rStyle w:val="outputecliaff"/>
          <w:sz w:val="20"/>
        </w:rPr>
        <w:t>EU:C:1999:81,</w:t>
      </w:r>
      <w:r w:rsidRPr="002910D1">
        <w:rPr>
          <w:sz w:val="20"/>
        </w:rPr>
        <w:t xml:space="preserve"> il-punt 38; </w:t>
      </w:r>
      <w:r w:rsidRPr="002910D1">
        <w:rPr>
          <w:i/>
          <w:sz w:val="20"/>
        </w:rPr>
        <w:t>L-Opinjoni 2/00</w:t>
      </w:r>
      <w:r w:rsidRPr="002910D1">
        <w:rPr>
          <w:sz w:val="20"/>
        </w:rPr>
        <w:t xml:space="preserve">, il-punt 23; Il-Kawża C-94/03, </w:t>
      </w:r>
      <w:r w:rsidRPr="002910D1">
        <w:rPr>
          <w:rStyle w:val="affairetitle"/>
          <w:sz w:val="20"/>
        </w:rPr>
        <w:t>Il-Kummissjoni vs Il-Kunsill (“Konvenzjoni ta’ Rotterdam”), ECLI:</w:t>
      </w:r>
      <w:r w:rsidRPr="002910D1">
        <w:rPr>
          <w:rStyle w:val="outputecliaff"/>
          <w:sz w:val="20"/>
        </w:rPr>
        <w:t>EU:C:2006:2</w:t>
      </w:r>
      <w:r w:rsidRPr="002910D1">
        <w:rPr>
          <w:sz w:val="20"/>
        </w:rPr>
        <w:t xml:space="preserve"> u l-Kawża C-178/03, </w:t>
      </w:r>
      <w:r w:rsidRPr="002910D1">
        <w:rPr>
          <w:rStyle w:val="affairetitle"/>
          <w:sz w:val="20"/>
        </w:rPr>
        <w:t>Il-Kummissjoni vs Il-Parlament u l-Kunsill, ECLI:</w:t>
      </w:r>
      <w:r w:rsidRPr="002910D1">
        <w:rPr>
          <w:rStyle w:val="outputecliaff"/>
          <w:sz w:val="20"/>
        </w:rPr>
        <w:t>EU:C:2006:4,</w:t>
      </w:r>
      <w:r w:rsidRPr="002910D1">
        <w:rPr>
          <w:sz w:val="20"/>
        </w:rPr>
        <w:t xml:space="preserve"> il-punti 36 u 43.</w:t>
      </w:r>
    </w:p>
  </w:footnote>
  <w:footnote w:id="6">
    <w:p w:rsidR="00D76AD4" w:rsidRPr="002910D1" w:rsidP="00D76AD4" w14:paraId="16B77619" w14:textId="77777777">
      <w:pPr>
        <w:ind w:left="284" w:hanging="284"/>
      </w:pPr>
      <w:r w:rsidRPr="002910D1">
        <w:rPr>
          <w:sz w:val="20"/>
          <w:vertAlign w:val="superscript"/>
        </w:rPr>
        <w:footnoteRef/>
      </w:r>
      <w:r w:rsidRPr="002910D1">
        <w:rPr>
          <w:sz w:val="20"/>
        </w:rPr>
        <w:t xml:space="preserve"> </w:t>
      </w:r>
      <w:r w:rsidRPr="002910D1">
        <w:rPr>
          <w:sz w:val="20"/>
        </w:rPr>
        <w:tab/>
        <w:t>Il-Kawża C-300/89, il-punti 17-25; il-Kawża C-268/94, Il-Portugall vs Il-Kunsill, ECLI:EU:C:1996:461.</w:t>
      </w:r>
    </w:p>
  </w:footnote>
  <w:footnote w:id="7">
    <w:p w:rsidR="00D76AD4" w:rsidRPr="002910D1" w:rsidP="00D76AD4" w14:paraId="173A47DE" w14:textId="77777777">
      <w:pPr>
        <w:ind w:left="284" w:hanging="284"/>
      </w:pPr>
      <w:r w:rsidRPr="002910D1">
        <w:footnoteRef/>
      </w:r>
      <w:r w:rsidRPr="002910D1">
        <w:t xml:space="preserve"> </w:t>
      </w:r>
      <w:r w:rsidRPr="002910D1">
        <w:tab/>
        <w:t>Is-Sentenza, 12/11/1996, Ir-Renju Unit vs Il-Kunsill, C-84/94, ECLI:EU:C:1996:431.</w:t>
      </w:r>
    </w:p>
  </w:footnote>
  <w:footnote w:id="8">
    <w:p w:rsidR="00D76AD4" w:rsidRPr="002910D1" w:rsidP="00D76AD4" w14:paraId="31E3DEA0" w14:textId="77777777">
      <w:pPr>
        <w:ind w:left="284" w:hanging="284"/>
      </w:pPr>
      <w:r w:rsidRPr="002910D1">
        <w:footnoteRef/>
      </w:r>
      <w:r w:rsidRPr="002910D1">
        <w:t xml:space="preserve"> ĠU L 183, 29.6.1989, p. 1.</w:t>
      </w:r>
    </w:p>
  </w:footnote>
  <w:footnote w:id="9">
    <w:p w:rsidR="00D76AD4" w:rsidRPr="002910D1" w14:paraId="0DE064D6" w14:textId="3373CF69">
      <w:pPr>
        <w:pStyle w:val="FootnoteText"/>
      </w:pPr>
      <w:r w:rsidRPr="002910D1">
        <w:rPr>
          <w:rStyle w:val="FootnoteReference"/>
        </w:rPr>
        <w:footnoteRef/>
      </w:r>
      <w:r w:rsidRPr="002910D1">
        <w:t xml:space="preserve">   Il-Ftehim Interistituzzjonali tal-20 ta’ Mejju 2021 bejn il-Parlament Ewropew, il-Kunsill tal-Unjoni Ewropea u l-Kummissjoni Ewropea dwar Reġistru Obbligatorju ta’ Trasparenza (ĠU L 207, 11.6.2021, p. 1, ELI: </w:t>
      </w:r>
      <w:hyperlink r:id="rId1" w:tooltip="http://data.europa.eu/eli/agree_interinstit/2021/611/oj" w:history="1">
        <w:r w:rsidRPr="002910D1">
          <w:rPr>
            <w:rStyle w:val="Hyperlink"/>
          </w:rPr>
          <w:t>http://data.europa.eu/eli/agree_interinstit/2021/611/oj</w:t>
        </w:r>
      </w:hyperlink>
      <w:r w:rsidRPr="002910D1"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693" w14:paraId="601FB5B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693" w14:paraId="666CD859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693" w14:paraId="463FAAA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640A28"/>
    <w:multiLevelType w:val="singleLevel"/>
    <w:tmpl w:val="A01CE988"/>
    <w:lvl w:ilvl="0">
      <w:start w:val="352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06495604"/>
    <w:multiLevelType w:val="multilevel"/>
    <w:tmpl w:val="B8A4F914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  <w:rPr>
        <w:i w:val="0"/>
        <w:iCs w:val="0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2">
    <w:nsid w:val="3A866D9D"/>
    <w:multiLevelType w:val="singleLevel"/>
    <w:tmpl w:val="88A23CC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4C092F15"/>
    <w:multiLevelType w:val="singleLevel"/>
    <w:tmpl w:val="0809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3"/>
  </w:num>
  <w:num w:numId="43">
    <w:abstractNumId w:val="12"/>
  </w:num>
  <w:num w:numId="4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mirrorMargins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C91"/>
    <w:rsid w:val="00000C7D"/>
    <w:rsid w:val="0000696F"/>
    <w:rsid w:val="00035402"/>
    <w:rsid w:val="00037518"/>
    <w:rsid w:val="000C3F41"/>
    <w:rsid w:val="0012665B"/>
    <w:rsid w:val="001422AE"/>
    <w:rsid w:val="00155C91"/>
    <w:rsid w:val="001701D6"/>
    <w:rsid w:val="001D1646"/>
    <w:rsid w:val="00250DDD"/>
    <w:rsid w:val="002910D1"/>
    <w:rsid w:val="002B2C72"/>
    <w:rsid w:val="002C3CDE"/>
    <w:rsid w:val="00332170"/>
    <w:rsid w:val="003666DE"/>
    <w:rsid w:val="003763A3"/>
    <w:rsid w:val="003C6D88"/>
    <w:rsid w:val="00463119"/>
    <w:rsid w:val="00482DA5"/>
    <w:rsid w:val="00493031"/>
    <w:rsid w:val="004D0D33"/>
    <w:rsid w:val="004D0D4E"/>
    <w:rsid w:val="004D6BB5"/>
    <w:rsid w:val="004E5B27"/>
    <w:rsid w:val="004F676F"/>
    <w:rsid w:val="00501E47"/>
    <w:rsid w:val="00595C9D"/>
    <w:rsid w:val="005E56E0"/>
    <w:rsid w:val="007179A7"/>
    <w:rsid w:val="00737BBE"/>
    <w:rsid w:val="007829F6"/>
    <w:rsid w:val="007E6351"/>
    <w:rsid w:val="00802D65"/>
    <w:rsid w:val="008249C6"/>
    <w:rsid w:val="0084209A"/>
    <w:rsid w:val="00853AFA"/>
    <w:rsid w:val="0089677B"/>
    <w:rsid w:val="008A7815"/>
    <w:rsid w:val="008E2161"/>
    <w:rsid w:val="00902693"/>
    <w:rsid w:val="009957FA"/>
    <w:rsid w:val="009D564F"/>
    <w:rsid w:val="009F796C"/>
    <w:rsid w:val="00A04228"/>
    <w:rsid w:val="00A37F67"/>
    <w:rsid w:val="00A664A0"/>
    <w:rsid w:val="00AC0580"/>
    <w:rsid w:val="00AE6929"/>
    <w:rsid w:val="00C127ED"/>
    <w:rsid w:val="00C7705E"/>
    <w:rsid w:val="00C85AEE"/>
    <w:rsid w:val="00C85D0F"/>
    <w:rsid w:val="00CE1655"/>
    <w:rsid w:val="00D14A32"/>
    <w:rsid w:val="00D478EA"/>
    <w:rsid w:val="00D76AD4"/>
    <w:rsid w:val="00D77B8C"/>
    <w:rsid w:val="00D92A83"/>
    <w:rsid w:val="00E71F4C"/>
    <w:rsid w:val="00F501D2"/>
    <w:rsid w:val="00F70D50"/>
    <w:rsid w:val="00FD6D4B"/>
  </w:rsids>
  <w:docVars>
    <w:docVar w:name="ADDRESSMNU" w:val=" 2"/>
    <w:docVar w:name="AUTHORMFMNU" w:val=" 1"/>
    <w:docVar w:name="COMKEY" w:val="EMPL"/>
    <w:docVar w:name="CONTRIBUTIONMNU" w:val=" 2"/>
    <w:docVar w:name="FONCTIONMNU" w:val=" 1"/>
    <w:docVar w:name="LastEditedSection" w:val=" 1"/>
    <w:docVar w:name="strSubDir" w:val="1349"/>
    <w:docVar w:name="TXTLANGUE" w:val="MT"/>
    <w:docVar w:name="TXTLANGUEMIN" w:val="mt"/>
    <w:docVar w:name="TXTNRPE" w:val="791.076"/>
    <w:docVar w:name="TXTPEorAP" w:val="PE"/>
    <w:docVar w:name="TXTROUTE" w:val="AL\1349553MT.docx"/>
    <w:docVar w:name="TXTVERSION" w:val="01-00"/>
  </w:docVars>
  <m:mathPr>
    <m:mathFont m:val="Cambria Math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B312F88F-6E0B-4EBD-A3EB-6101BAF9A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665B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EPFooter2">
    <w:name w:val="EPFooter2"/>
    <w:basedOn w:val="Normal"/>
    <w:next w:val="Normal"/>
    <w:rsid w:val="00A0422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LetterDate">
    <w:name w:val="LetterDate"/>
    <w:basedOn w:val="Normal"/>
    <w:rsid w:val="00A04228"/>
    <w:pPr>
      <w:spacing w:before="720" w:after="240"/>
    </w:p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Name">
    <w:name w:val="EPName"/>
    <w:basedOn w:val="Normal"/>
    <w:rsid w:val="00CE1655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CE1655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CE1655"/>
    <w:pPr>
      <w:jc w:val="right"/>
    </w:pPr>
  </w:style>
  <w:style w:type="paragraph" w:customStyle="1" w:styleId="LetterSubject">
    <w:name w:val="LetterSubject"/>
    <w:basedOn w:val="Normal"/>
    <w:rsid w:val="00463119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595C9D"/>
    <w:pPr>
      <w:spacing w:before="1320"/>
    </w:pPr>
  </w:style>
  <w:style w:type="table" w:styleId="TableGrid">
    <w:name w:val="Table Grid"/>
    <w:basedOn w:val="TableNormal"/>
    <w:rsid w:val="00000C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A0422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00C7D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0696F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LetterSalutation">
    <w:name w:val="LetterSalutation"/>
    <w:basedOn w:val="Normal"/>
    <w:rsid w:val="008A7815"/>
    <w:pPr>
      <w:spacing w:before="600" w:after="360"/>
    </w:pPr>
  </w:style>
  <w:style w:type="paragraph" w:customStyle="1" w:styleId="EPFooter">
    <w:name w:val="EPFooter"/>
    <w:basedOn w:val="Normal"/>
    <w:rsid w:val="000C3F4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semiHidden/>
    <w:rsid w:val="000C3F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332170"/>
    <w:rPr>
      <w:sz w:val="24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802D65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customStyle="1" w:styleId="Default">
    <w:name w:val="Default"/>
    <w:rsid w:val="00D76AD4"/>
    <w:pPr>
      <w:autoSpaceDE w:val="0"/>
      <w:autoSpaceDN w:val="0"/>
      <w:adjustRightInd w:val="0"/>
    </w:pPr>
    <w:rPr>
      <w:rFonts w:ascii="Warnock Pro" w:hAnsi="Warnock Pro" w:eastAsiaTheme="minorHAnsi" w:cs="Warnock Pro"/>
      <w:color w:val="000000"/>
      <w:sz w:val="24"/>
      <w:szCs w:val="24"/>
      <w:lang w:eastAsia="en-US"/>
    </w:rPr>
  </w:style>
  <w:style w:type="character" w:customStyle="1" w:styleId="Nessuno">
    <w:name w:val="Nessuno"/>
    <w:rsid w:val="00D76AD4"/>
  </w:style>
  <w:style w:type="paragraph" w:customStyle="1" w:styleId="Pointabc">
    <w:name w:val="Point abc"/>
    <w:basedOn w:val="Normal"/>
    <w:rsid w:val="00D76AD4"/>
    <w:pPr>
      <w:widowControl/>
      <w:numPr>
        <w:ilvl w:val="1"/>
        <w:numId w:val="4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1">
    <w:name w:val="Point abc (1)"/>
    <w:basedOn w:val="Normal"/>
    <w:rsid w:val="00D76AD4"/>
    <w:pPr>
      <w:widowControl/>
      <w:numPr>
        <w:ilvl w:val="3"/>
        <w:numId w:val="4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2">
    <w:name w:val="Point abc (2)"/>
    <w:basedOn w:val="Normal"/>
    <w:rsid w:val="00D76AD4"/>
    <w:pPr>
      <w:widowControl/>
      <w:numPr>
        <w:ilvl w:val="5"/>
        <w:numId w:val="4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3">
    <w:name w:val="Point abc (3)"/>
    <w:basedOn w:val="Normal"/>
    <w:rsid w:val="00D76AD4"/>
    <w:pPr>
      <w:widowControl/>
      <w:numPr>
        <w:ilvl w:val="7"/>
        <w:numId w:val="4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4">
    <w:name w:val="Point abc (4)"/>
    <w:basedOn w:val="Normal"/>
    <w:rsid w:val="00D76AD4"/>
    <w:pPr>
      <w:widowControl/>
      <w:numPr>
        <w:ilvl w:val="8"/>
        <w:numId w:val="4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">
    <w:name w:val="Point 123"/>
    <w:basedOn w:val="Normal"/>
    <w:rsid w:val="00D76AD4"/>
    <w:pPr>
      <w:widowControl/>
      <w:numPr>
        <w:numId w:val="4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1">
    <w:name w:val="Point 123 (1)"/>
    <w:basedOn w:val="Normal"/>
    <w:rsid w:val="00D76AD4"/>
    <w:pPr>
      <w:widowControl/>
      <w:numPr>
        <w:ilvl w:val="2"/>
        <w:numId w:val="4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2">
    <w:name w:val="Point 123 (2)"/>
    <w:basedOn w:val="Normal"/>
    <w:rsid w:val="00D76AD4"/>
    <w:pPr>
      <w:widowControl/>
      <w:numPr>
        <w:ilvl w:val="4"/>
        <w:numId w:val="4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3">
    <w:name w:val="Point 123 (3)"/>
    <w:basedOn w:val="Normal"/>
    <w:rsid w:val="00D76AD4"/>
    <w:pPr>
      <w:widowControl/>
      <w:numPr>
        <w:ilvl w:val="6"/>
        <w:numId w:val="4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character" w:customStyle="1" w:styleId="outputecliaff">
    <w:name w:val="outputecliaff"/>
    <w:basedOn w:val="DefaultParagraphFont"/>
    <w:rsid w:val="00D76AD4"/>
  </w:style>
  <w:style w:type="character" w:customStyle="1" w:styleId="affairetitle">
    <w:name w:val="affaire_title"/>
    <w:basedOn w:val="DefaultParagraphFont"/>
    <w:rsid w:val="00D76AD4"/>
  </w:style>
  <w:style w:type="paragraph" w:customStyle="1" w:styleId="Normal24a">
    <w:name w:val="Normal24a"/>
    <w:basedOn w:val="Normal"/>
    <w:rsid w:val="00D76AD4"/>
    <w:pPr>
      <w:spacing w:after="480"/>
    </w:pPr>
    <w:rPr>
      <w:szCs w:val="24"/>
    </w:rPr>
  </w:style>
  <w:style w:type="paragraph" w:customStyle="1" w:styleId="NormalBoldCenter">
    <w:name w:val="NormalBoldCenter"/>
    <w:basedOn w:val="Normal"/>
    <w:rsid w:val="00D76AD4"/>
    <w:pPr>
      <w:jc w:val="center"/>
    </w:pPr>
    <w:rPr>
      <w:b/>
      <w:szCs w:val="24"/>
    </w:rPr>
  </w:style>
  <w:style w:type="paragraph" w:customStyle="1" w:styleId="PageHeadingNotTOC">
    <w:name w:val="PageHeadingNotTOC"/>
    <w:basedOn w:val="Normal"/>
    <w:rsid w:val="00D76AD4"/>
    <w:pPr>
      <w:keepNext/>
      <w:spacing w:after="480"/>
      <w:jc w:val="center"/>
    </w:pPr>
    <w:rPr>
      <w:rFonts w:ascii="Arial" w:hAnsi="Arial" w:cs="Arial"/>
      <w:b/>
      <w:szCs w:val="24"/>
    </w:rPr>
  </w:style>
  <w:style w:type="paragraph" w:customStyle="1" w:styleId="NormalSingle">
    <w:name w:val="NormalSingle"/>
    <w:basedOn w:val="Normal"/>
    <w:qFormat/>
    <w:rsid w:val="00D76AD4"/>
    <w:rPr>
      <w:szCs w:val="24"/>
    </w:rPr>
  </w:style>
  <w:style w:type="paragraph" w:customStyle="1" w:styleId="Footprint12b">
    <w:name w:val="Footprint12b"/>
    <w:basedOn w:val="Normal"/>
    <w:rsid w:val="00D76AD4"/>
    <w:pPr>
      <w:spacing w:before="240"/>
    </w:pPr>
    <w:rPr>
      <w:szCs w:val="24"/>
    </w:rPr>
  </w:style>
  <w:style w:type="paragraph" w:styleId="FootnoteText">
    <w:name w:val="footnote text"/>
    <w:basedOn w:val="Normal"/>
    <w:link w:val="FootnoteTextChar"/>
    <w:rsid w:val="00D76AD4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D76AD4"/>
    <w:rPr>
      <w:lang w:val="mt-MT"/>
    </w:rPr>
  </w:style>
  <w:style w:type="character" w:styleId="FootnoteReference">
    <w:name w:val="footnote reference"/>
    <w:basedOn w:val="DefaultParagraphFont"/>
    <w:rsid w:val="00D76AD4"/>
    <w:rPr>
      <w:vertAlign w:val="superscript"/>
    </w:rPr>
  </w:style>
  <w:style w:type="character" w:styleId="Hyperlink">
    <w:name w:val="Hyperlink"/>
    <w:basedOn w:val="DefaultParagraphFont"/>
    <w:rsid w:val="00D76AD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76AD4"/>
    <w:rPr>
      <w:color w:val="605E5C"/>
      <w:shd w:val="clear" w:color="auto" w:fill="E1DFDD"/>
    </w:rPr>
  </w:style>
  <w:style w:type="paragraph" w:customStyle="1" w:styleId="RollCallSymbols14pt">
    <w:name w:val="RollCallSymbols14pt"/>
    <w:basedOn w:val="Normal"/>
    <w:rsid w:val="00D76AD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D76AD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D76AD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D76AD4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semiHidden/>
    <w:rsid w:val="00737BB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737BBE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footnotes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agree_interinstit/2021/611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2007</Words>
  <Characters>15017</Characters>
  <Application>Microsoft Office Word</Application>
  <DocSecurity>0</DocSecurity>
  <Lines>312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AL_JURI</vt:lpstr>
    </vt:vector>
  </TitlesOfParts>
  <Company/>
  <LinksUpToDate>false</LinksUpToDate>
  <CharactersWithSpaces>16908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AL_JURI</dc:title>
  <dc:creator>European Parliament</dc:creator>
  <cp:lastModifiedBy>European Parliament</cp:lastModifiedBy>
  <cp:revision>2</cp:revision>
  <cp:lastPrinted>2004-06-24T10:04:00Z</cp:lastPrinted>
  <dcterms:created xsi:type="dcterms:W3CDTF">2026-08-28T06:48:00Z</dcterms:created>
  <dcterms:modified xsi:type="dcterms:W3CDTF">2026-08-28T06:48:00Z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1349553</vt:lpwstr>
  </property>
  <property fmtid="{D5CDD505-2E9C-101B-9397-08002B2CF9AE}" pid="4" name="&lt;Model&gt;">
    <vt:lpwstr>AL_JURI</vt:lpwstr>
  </property>
  <property fmtid="{D5CDD505-2E9C-101B-9397-08002B2CF9AE}" pid="5" name="&lt;ModelCod&gt;">
    <vt:lpwstr>\\eiciBRUpr1\pdocep$\DocEP\DOCS\General\AL\AL_JURI.dotx(20/01/2023 22:25:05)</vt:lpwstr>
  </property>
  <property fmtid="{D5CDD505-2E9C-101B-9397-08002B2CF9AE}" pid="6" name="&lt;ModelTra&gt;">
    <vt:lpwstr>\\eiciBRUpr1\pdocep$\DocEP\TRANSFIL\MT\AL_JURI.MT(04/05/2026 10:48:06)</vt:lpwstr>
  </property>
  <property fmtid="{D5CDD505-2E9C-101B-9397-08002B2CF9AE}" pid="7" name="&lt;Type&gt;">
    <vt:lpwstr>AL</vt:lpwstr>
  </property>
  <property fmtid="{D5CDD505-2E9C-101B-9397-08002B2CF9AE}" pid="8" name="Bookout">
    <vt:lpwstr>OK - 2026/08/28 08:48</vt:lpwstr>
  </property>
  <property fmtid="{D5CDD505-2E9C-101B-9397-08002B2CF9AE}" pid="9" name="Created with">
    <vt:lpwstr>10.3.1 Build [20260701]</vt:lpwstr>
  </property>
  <property fmtid="{D5CDD505-2E9C-101B-9397-08002B2CF9AE}" pid="10" name="FooterPath">
    <vt:lpwstr>AL\1349553MT.docx</vt:lpwstr>
  </property>
  <property fmtid="{D5CDD505-2E9C-101B-9397-08002B2CF9AE}" pid="11" name="LastEdited with">
    <vt:lpwstr>10.3.1 Build [20260701]</vt:lpwstr>
  </property>
  <property fmtid="{D5CDD505-2E9C-101B-9397-08002B2CF9AE}" pid="12" name="PE number">
    <vt:lpwstr>791.076</vt:lpwstr>
  </property>
  <property fmtid="{D5CDD505-2E9C-101B-9397-08002B2CF9AE}" pid="13" name="RegistreCheck">
    <vt:lpwstr>OK</vt:lpwstr>
  </property>
  <property fmtid="{D5CDD505-2E9C-101B-9397-08002B2CF9AE}" pid="14" name="SDLStudio">
    <vt:lpwstr/>
  </property>
</Properties>
</file>