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12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36F9119" w14:textId="77777777" w:rsidTr="00C85D0F">
        <w:tblPrEx>
          <w:tblW w:w="9072" w:type="dxa"/>
          <w:tblCellMar>
            <w:left w:w="0" w:type="dxa"/>
            <w:right w:w="0" w:type="dxa"/>
          </w:tblCellMar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3666DE" w:rsidRPr="00CC0087" w:rsidP="00C85D0F" w14:paraId="46254DF4" w14:textId="77777777">
            <w:pPr>
              <w:pStyle w:val="EPName"/>
            </w:pPr>
            <w:r w:rsidRPr="00CC0087">
              <w:t>Parlament Europejski</w:t>
            </w:r>
          </w:p>
          <w:p w:rsidR="003666DE" w:rsidRPr="00CC0087" w:rsidP="00C85D0F" w14:paraId="202C54A5" w14:textId="62D78FD2">
            <w:pPr>
              <w:pStyle w:val="EPTerm"/>
            </w:pPr>
            <w:r w:rsidRPr="00CC0087">
              <w:t>2024-2029</w:t>
            </w:r>
          </w:p>
        </w:tc>
        <w:tc>
          <w:tcPr>
            <w:tcW w:w="2268" w:type="dxa"/>
            <w:shd w:val="clear" w:color="auto" w:fill="auto"/>
          </w:tcPr>
          <w:p w:rsidR="003666DE" w:rsidRPr="00CC0087" w:rsidP="00C85D0F" w14:paraId="5FB810F6" w14:textId="77777777">
            <w:pPr>
              <w:pStyle w:val="EPLogo"/>
            </w:pPr>
            <w:r w:rsidRPr="00CC0087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6694627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C7D" w:rsidRPr="00CC0087" w:rsidP="00000C7D" w14:paraId="5A1E3CDA" w14:textId="77777777">
      <w:pPr>
        <w:pStyle w:val="LineTop"/>
      </w:pPr>
    </w:p>
    <w:p w:rsidR="00000C7D" w:rsidRPr="00CC0087" w:rsidP="00000C7D" w14:paraId="5511700E" w14:textId="77777777">
      <w:pPr>
        <w:pStyle w:val="EPBody"/>
      </w:pPr>
      <w:r w:rsidRPr="00CC0087">
        <w:rPr>
          <w:rStyle w:val="HideTWBExt"/>
        </w:rPr>
        <w:t>&lt;</w:t>
      </w:r>
      <w:r w:rsidRPr="00CC0087">
        <w:rPr>
          <w:rStyle w:val="HideTWBExt"/>
          <w:i w:val="0"/>
        </w:rPr>
        <w:t>Commission</w:t>
      </w:r>
      <w:r w:rsidRPr="00CC0087">
        <w:rPr>
          <w:rStyle w:val="HideTWBExt"/>
        </w:rPr>
        <w:t>&gt;</w:t>
      </w:r>
      <w:r w:rsidRPr="00CC0087">
        <w:rPr>
          <w:rStyle w:val="HideTWBInt"/>
        </w:rPr>
        <w:t>{JURI}</w:t>
      </w:r>
      <w:r w:rsidRPr="00CC0087">
        <w:t>Komisja Prawna</w:t>
      </w:r>
      <w:r w:rsidRPr="00CC0087">
        <w:rPr>
          <w:rStyle w:val="HideTWBExt"/>
        </w:rPr>
        <w:t>&lt;/</w:t>
      </w:r>
      <w:r w:rsidRPr="00CC0087">
        <w:rPr>
          <w:rStyle w:val="HideTWBExt"/>
          <w:i w:val="0"/>
        </w:rPr>
        <w:t>Commission</w:t>
      </w:r>
      <w:r w:rsidRPr="00CC0087">
        <w:rPr>
          <w:rStyle w:val="HideTWBExt"/>
        </w:rPr>
        <w:t>&gt;</w:t>
      </w:r>
    </w:p>
    <w:p w:rsidR="00000C7D" w:rsidRPr="00CC0087" w:rsidP="00000C7D" w14:paraId="1904A267" w14:textId="77777777">
      <w:pPr>
        <w:pStyle w:val="EPBody"/>
      </w:pPr>
      <w:r w:rsidRPr="00CC0087">
        <w:t>Przewodniczący</w:t>
      </w:r>
    </w:p>
    <w:p w:rsidR="00000C7D" w:rsidRPr="00CC0087" w:rsidP="00000C7D" w14:paraId="61D710AC" w14:textId="77777777">
      <w:pPr>
        <w:pStyle w:val="LineBottom"/>
      </w:pPr>
    </w:p>
    <w:p w:rsidR="00E71F4C" w:rsidRPr="00CC0087" w:rsidP="00A04228" w14:paraId="12A78CB9" w14:textId="26145C4B">
      <w:pPr>
        <w:pStyle w:val="LetterDate"/>
      </w:pPr>
      <w:r w:rsidRPr="00CC0087">
        <w:rPr>
          <w:rStyle w:val="HideTWBExt"/>
        </w:rPr>
        <w:t>&lt;Date&gt;</w:t>
      </w:r>
      <w:r w:rsidRPr="00CC0087">
        <w:rPr>
          <w:rStyle w:val="HideTWBInt"/>
        </w:rPr>
        <w:t>{23/07/2026}</w:t>
      </w:r>
      <w:r w:rsidRPr="00CC0087">
        <w:t>23.7.2026</w:t>
      </w:r>
      <w:r w:rsidRPr="00CC0087">
        <w:rPr>
          <w:rStyle w:val="HideTWBExt"/>
        </w:rPr>
        <w:t>&lt;/Date&gt;</w:t>
      </w:r>
    </w:p>
    <w:p w:rsidR="007179A7" w:rsidRPr="00CC0087" w14:paraId="40CE60CF" w14:textId="5BE5014C">
      <w:r w:rsidRPr="00CC0087">
        <w:t>Sz.P</w:t>
      </w:r>
      <w:r w:rsidRPr="00CC0087">
        <w:t>. Li Andersson</w:t>
      </w:r>
    </w:p>
    <w:p w:rsidR="007179A7" w:rsidRPr="00CC0087" w14:paraId="4864C99A" w14:textId="77777777">
      <w:r w:rsidRPr="00CC0087">
        <w:t>Przewodnicząca</w:t>
      </w:r>
    </w:p>
    <w:p w:rsidR="007179A7" w:rsidRPr="00CC0087" w14:paraId="5D970211" w14:textId="7A7260FC">
      <w:r w:rsidRPr="00CC0087">
        <w:t>Komisja Zatrudnienia i Spraw Socjalnych</w:t>
      </w:r>
    </w:p>
    <w:p w:rsidR="007179A7" w:rsidRPr="00CC0087" w14:paraId="05374050" w14:textId="77777777">
      <w:r w:rsidRPr="00CC0087">
        <w:t>BRUKSELA</w:t>
      </w:r>
    </w:p>
    <w:p w:rsidR="009F796C" w:rsidRPr="00CC0087" w:rsidP="009F796C" w14:paraId="33AAF363" w14:textId="0A3482FE">
      <w:pPr>
        <w:pStyle w:val="LetterSubject"/>
      </w:pPr>
      <w:r w:rsidRPr="00CC0087">
        <w:t>Przedmiot:</w:t>
      </w:r>
      <w:r w:rsidRPr="00CC0087">
        <w:tab/>
      </w:r>
      <w:r w:rsidRPr="00CC0087">
        <w:rPr>
          <w:rStyle w:val="HideTWBExt"/>
        </w:rPr>
        <w:t>&lt;Titre&gt;</w:t>
      </w:r>
      <w:r w:rsidRPr="00CC0087">
        <w:t>Opinia w sprawie podstawy prawnej zaleceń dla Komisji dotyczących zagrożeń psychospołecznych, stresu i zdrowia psychicznego w pracy</w:t>
      </w:r>
      <w:r w:rsidRPr="00CC0087">
        <w:rPr>
          <w:rStyle w:val="HideTWBExt"/>
        </w:rPr>
        <w:t>&lt;/Titre&gt;&lt;DocRef&gt;</w:t>
      </w:r>
      <w:r w:rsidRPr="00CC0087">
        <w:t>(2026/2023(INL))</w:t>
      </w:r>
      <w:r w:rsidRPr="00CC0087">
        <w:rPr>
          <w:rStyle w:val="HideTWBExt"/>
        </w:rPr>
        <w:t>&lt;/DocRef&gt;</w:t>
      </w:r>
    </w:p>
    <w:p w:rsidR="007179A7" w:rsidRPr="00CC0087" w:rsidP="00A04228" w14:paraId="4047EAE4" w14:textId="7B6FA589">
      <w:pPr>
        <w:pStyle w:val="LetterSalutation"/>
      </w:pPr>
      <w:r w:rsidRPr="00CC0087">
        <w:t>Szanowna Pani Przewodnicząca,</w:t>
      </w:r>
    </w:p>
    <w:p w:rsidR="007172C8" w:rsidRPr="00CC0087" w:rsidP="007172C8" w14:paraId="374D16E7" w14:textId="052E6C50">
      <w:pPr>
        <w:jc w:val="both"/>
      </w:pPr>
      <w:r w:rsidRPr="00CC0087">
        <w:t xml:space="preserve">21 listopada 2025 r. Komisja Zatrudnienia i Spraw Socjalnych (EMPL) zwróciła się o zgodę na sporządzenie – zgodnie z art. 47 Regulaminu – sprawozdania z własnej inicjatywy w kwestiach ustawodawczych na podstawie art. 225 Traktatu o funkcjonowaniu Unii Europejskiej (TFUE) w sprawie zagrożeń psychospołecznych, stresu i zdrowia psychicznego w pracy („wniosek INL”). 4 marca 2026 r. Konferencja Przewodniczących wyraziła zgodę na jego sporządzenie przez komisję EMPL. </w:t>
      </w:r>
    </w:p>
    <w:p w:rsidR="007172C8" w:rsidRPr="00CC0087" w:rsidP="007172C8" w14:paraId="23747682" w14:textId="77777777">
      <w:pPr>
        <w:pStyle w:val="Default"/>
        <w:jc w:val="both"/>
        <w:rPr>
          <w:rFonts w:ascii="Times New Roman" w:hAnsi="Times New Roman" w:cs="Times New Roman"/>
        </w:rPr>
      </w:pPr>
    </w:p>
    <w:p w:rsidR="007172C8" w:rsidRPr="00CC0087" w:rsidP="007172C8" w14:paraId="45F323DB" w14:textId="77777777">
      <w:pPr>
        <w:jc w:val="both"/>
      </w:pPr>
      <w:r w:rsidRPr="00CC0087">
        <w:t>W piśmie z 27 marca 2026 r. komisja EMPL zwróciła się do Komisji Prawnej (JURI) o wydanie opinii zgodnie z art. 47 ust. 3 Regulaminu w sprawie adekwatności podstawy prawnej sprawozdania INL, tj. art. 153 ust. 2 lit. b) w związku z art. 153 ust. 1 lit. a) Traktatu o funkcjonowaniu Unii Europejskiej (TFUE).</w:t>
      </w:r>
    </w:p>
    <w:p w:rsidR="007172C8" w:rsidRPr="00CC0087" w:rsidP="007172C8" w14:paraId="1BB35F1A" w14:textId="77777777">
      <w:pPr>
        <w:pStyle w:val="Default"/>
        <w:jc w:val="both"/>
        <w:rPr>
          <w:rFonts w:ascii="Times New Roman" w:hAnsi="Times New Roman" w:cs="Times New Roman"/>
        </w:rPr>
      </w:pPr>
    </w:p>
    <w:p w:rsidR="007172C8" w:rsidRPr="00CC0087" w:rsidP="007172C8" w14:paraId="4B543A6B" w14:textId="77777777">
      <w:pPr>
        <w:pStyle w:val="Default"/>
        <w:jc w:val="both"/>
        <w:rPr>
          <w:rFonts w:ascii="Times New Roman" w:hAnsi="Times New Roman" w:cs="Times New Roman"/>
        </w:rPr>
      </w:pPr>
      <w:r w:rsidRPr="00CC0087">
        <w:rPr>
          <w:rFonts w:ascii="Times New Roman" w:hAnsi="Times New Roman"/>
        </w:rPr>
        <w:t>Na posiedzeniu 15 lipca 2026 r. Komisja Prawna rozpatrzyła kwestię adekwatności podstawy prawnej zaproponowanej w przedmiotowym projekcie sprawozdania INL.</w:t>
      </w:r>
    </w:p>
    <w:p w:rsidR="007179A7" w:rsidRPr="00CC0087" w14:paraId="1B81A601" w14:textId="31C03F67">
      <w:pPr>
        <w:pStyle w:val="Normal12a"/>
      </w:pPr>
    </w:p>
    <w:p w:rsidR="007172C8" w:rsidRPr="00CC0087" w:rsidP="007172C8" w14:paraId="156BE56D" w14:textId="77777777">
      <w:pPr>
        <w:jc w:val="both"/>
        <w:rPr>
          <w:b/>
          <w:bCs/>
          <w:u w:val="single"/>
        </w:rPr>
      </w:pPr>
      <w:r w:rsidRPr="00CC0087">
        <w:rPr>
          <w:b/>
          <w:u w:val="single"/>
        </w:rPr>
        <w:t>I – Kontekst</w:t>
      </w:r>
    </w:p>
    <w:p w:rsidR="007172C8" w:rsidRPr="00CC0087" w:rsidP="007172C8" w14:paraId="674D3653" w14:textId="77777777">
      <w:pPr>
        <w:jc w:val="both"/>
      </w:pPr>
    </w:p>
    <w:p w:rsidR="007172C8" w:rsidRPr="00CC0087" w:rsidP="007172C8" w14:paraId="182A030B" w14:textId="77777777">
      <w:pPr>
        <w:jc w:val="both"/>
      </w:pPr>
      <w:r w:rsidRPr="00CC0087">
        <w:t xml:space="preserve">O udzielenie zgody na sporządzenie sprawozdania INL zwrócono się na podstawie pkt VIII ust. 3 załącznika VI do Regulaminu, który przyznaje komisji EMPL uprawnienia w zakresie środków mających na celu ochronę zdrowia i zapewnienie bezpieczeństwa w miejscu pracy. </w:t>
      </w:r>
    </w:p>
    <w:p w:rsidR="007172C8" w:rsidRPr="00CC0087" w:rsidP="007172C8" w14:paraId="1EC37E43" w14:textId="77777777">
      <w:pPr>
        <w:jc w:val="both"/>
      </w:pPr>
    </w:p>
    <w:p w:rsidR="007172C8" w:rsidRPr="00CC0087" w:rsidP="007172C8" w14:paraId="4CCF8BD5" w14:textId="77777777">
      <w:pPr>
        <w:jc w:val="both"/>
      </w:pPr>
      <w:r w:rsidRPr="00CC0087">
        <w:t xml:space="preserve">Celem wniosku INL jest zwrócenie się do Komisji, aby zaproponowała dyrektywę w sprawie zagrożeń psychospołecznych i dobrostanu w miejscu pracy mającą na celu skuteczne zapobieganie zagrożeniom psychospołecznym w miejscu pracy, takim jak lęk, depresja, wypalenie zawodowe i stres, w tym zagrożeniom wynikającym z problemów strukturalnych, takich jak organizacja pracy (tj. złe zarządzanie, złe planowanie pracy lub niewłaściwe dopasowanie wiedzy i umiejętności pracowników do wyznaczonych zadań). Parlament zwrócił się do Komisji, aby przedstawiła taki wniosek podczas dyskusji na posiedzeniu plenarnym w maju 2025 r. </w:t>
      </w:r>
    </w:p>
    <w:p w:rsidR="007172C8" w:rsidRPr="00CC0087" w:rsidP="007172C8" w14:paraId="51344CC2" w14:textId="77777777">
      <w:pPr>
        <w:pStyle w:val="Normal12a"/>
      </w:pPr>
    </w:p>
    <w:p w:rsidR="007172C8" w:rsidRPr="00CC0087" w:rsidP="007172C8" w14:paraId="5E719B45" w14:textId="77777777">
      <w:pPr>
        <w:jc w:val="both"/>
        <w:rPr>
          <w:rStyle w:val="Nessuno"/>
          <w:b/>
          <w:bCs/>
        </w:rPr>
      </w:pPr>
      <w:r w:rsidRPr="00CC0087">
        <w:rPr>
          <w:b/>
          <w:u w:val="single"/>
        </w:rPr>
        <w:t>II – Stosowne artykuły Traktatu</w:t>
      </w:r>
    </w:p>
    <w:p w:rsidR="007172C8" w:rsidRPr="00CC0087" w:rsidP="007172C8" w14:paraId="475E9C61" w14:textId="77777777">
      <w:pPr>
        <w:tabs>
          <w:tab w:val="left" w:pos="7014"/>
        </w:tabs>
        <w:rPr>
          <w:rStyle w:val="Nessuno"/>
          <w:bCs/>
        </w:rPr>
      </w:pPr>
    </w:p>
    <w:p w:rsidR="007172C8" w:rsidRPr="00CC0087" w:rsidP="007172C8" w14:paraId="13A207D0" w14:textId="77777777">
      <w:pPr>
        <w:tabs>
          <w:tab w:val="left" w:pos="7014"/>
        </w:tabs>
        <w:rPr>
          <w:rStyle w:val="Nessuno"/>
          <w:bCs/>
          <w:i/>
        </w:rPr>
      </w:pPr>
      <w:r w:rsidRPr="00CC0087">
        <w:rPr>
          <w:rStyle w:val="Nessuno"/>
          <w:i/>
        </w:rPr>
        <w:t>Tytuł X w sprawie polityki społecznej w części trzeciej TFUE stanowi m.in. (wytłuszczenie dodane):</w:t>
      </w:r>
    </w:p>
    <w:p w:rsidR="007172C8" w:rsidRPr="00CC0087" w:rsidP="007172C8" w14:paraId="4A12707B" w14:textId="77777777">
      <w:pPr>
        <w:tabs>
          <w:tab w:val="left" w:pos="7014"/>
        </w:tabs>
        <w:rPr>
          <w:rStyle w:val="Nessuno"/>
          <w:bCs/>
          <w:i/>
        </w:rPr>
      </w:pPr>
    </w:p>
    <w:p w:rsidR="007172C8" w:rsidRPr="00CC0087" w:rsidP="007172C8" w14:paraId="4072082F" w14:textId="77777777">
      <w:pPr>
        <w:tabs>
          <w:tab w:val="left" w:pos="7014"/>
        </w:tabs>
        <w:jc w:val="center"/>
      </w:pPr>
      <w:r w:rsidRPr="00CC0087">
        <w:rPr>
          <w:i/>
        </w:rPr>
        <w:t>Artykuł 153</w:t>
      </w:r>
    </w:p>
    <w:p w:rsidR="007172C8" w:rsidRPr="00CC0087" w:rsidP="007172C8" w14:paraId="71B0C352" w14:textId="77777777">
      <w:pPr>
        <w:tabs>
          <w:tab w:val="left" w:pos="7014"/>
        </w:tabs>
        <w:jc w:val="center"/>
        <w:rPr>
          <w:bCs/>
          <w:i/>
        </w:rPr>
      </w:pPr>
      <w:r w:rsidRPr="00CC0087">
        <w:rPr>
          <w:i/>
        </w:rPr>
        <w:t xml:space="preserve">(dawny artykuł 137 TWE) </w:t>
      </w:r>
    </w:p>
    <w:p w:rsidR="007172C8" w:rsidRPr="00CC0087" w:rsidP="007172C8" w14:paraId="25420F3C" w14:textId="77777777">
      <w:pPr>
        <w:tabs>
          <w:tab w:val="left" w:pos="7014"/>
        </w:tabs>
        <w:jc w:val="center"/>
        <w:rPr>
          <w:rStyle w:val="Nessuno"/>
        </w:rPr>
      </w:pPr>
    </w:p>
    <w:p w:rsidR="007172C8" w:rsidRPr="00CC0087" w:rsidP="007172C8" w14:paraId="724F40BE" w14:textId="77777777">
      <w:pPr>
        <w:spacing w:after="240"/>
        <w:ind w:left="567" w:hanging="567"/>
        <w:jc w:val="both"/>
        <w:rPr>
          <w:b/>
        </w:rPr>
      </w:pPr>
      <w:r w:rsidRPr="00CC0087">
        <w:rPr>
          <w:b/>
          <w:i/>
        </w:rPr>
        <w:t>1.</w:t>
      </w:r>
      <w:r w:rsidRPr="00CC0087">
        <w:rPr>
          <w:b/>
          <w:i/>
        </w:rPr>
        <w:tab/>
        <w:t>Mając na względzie urzeczywistnienie celów określonych w artykule 151, Unia wspiera i uzupełnia działania Państw Członkowskich w następujących dziedzinach:</w:t>
      </w:r>
      <w:r w:rsidRPr="00CC0087">
        <w:rPr>
          <w:b/>
          <w:i/>
          <w:vanish/>
        </w:rPr>
        <w:t xml:space="preserve">(a) </w:t>
      </w:r>
      <w:r w:rsidRPr="00CC0087">
        <w:rPr>
          <w:b/>
          <w:i/>
          <w:vanish/>
        </w:rPr>
        <w:tab/>
        <w:t>improvement in particular of the working environment to protect workers’ health and safety;</w:t>
      </w:r>
    </w:p>
    <w:p w:rsidR="007172C8" w:rsidRPr="00CC0087" w:rsidP="007172C8" w14:paraId="6573B1F5" w14:textId="77777777">
      <w:pPr>
        <w:ind w:left="1134" w:hanging="567"/>
        <w:rPr>
          <w:b/>
          <w:bCs/>
          <w:i/>
          <w:iCs/>
        </w:rPr>
      </w:pPr>
      <w:r w:rsidRPr="00CC0087">
        <w:rPr>
          <w:b/>
          <w:i/>
        </w:rPr>
        <w:t xml:space="preserve">a) </w:t>
      </w:r>
      <w:r w:rsidRPr="00CC0087">
        <w:rPr>
          <w:b/>
          <w:i/>
        </w:rPr>
        <w:tab/>
        <w:t>polepszania w szczególności środowiska pracy w celu ochrony zdrowia i bezpieczeństwa pracowników;</w:t>
      </w:r>
    </w:p>
    <w:p w:rsidR="007172C8" w:rsidRPr="00CC0087" w:rsidP="007172C8" w14:paraId="227EE470" w14:textId="77777777">
      <w:pPr>
        <w:ind w:left="1134" w:hanging="567"/>
        <w:rPr>
          <w:i/>
          <w:iCs/>
        </w:rPr>
      </w:pPr>
    </w:p>
    <w:p w:rsidR="007172C8" w:rsidRPr="00CC0087" w:rsidP="007172C8" w14:paraId="790E6DC2" w14:textId="77777777">
      <w:pPr>
        <w:ind w:left="1134" w:hanging="567"/>
        <w:rPr>
          <w:i/>
          <w:iCs/>
        </w:rPr>
      </w:pPr>
      <w:r w:rsidRPr="00CC0087">
        <w:rPr>
          <w:i/>
        </w:rPr>
        <w:t xml:space="preserve">b) </w:t>
      </w:r>
      <w:r w:rsidRPr="00CC0087">
        <w:rPr>
          <w:i/>
        </w:rPr>
        <w:tab/>
        <w:t xml:space="preserve">warunków pracy; </w:t>
      </w:r>
    </w:p>
    <w:p w:rsidR="007172C8" w:rsidRPr="00CC0087" w:rsidP="007172C8" w14:paraId="399599D9" w14:textId="77777777">
      <w:pPr>
        <w:ind w:left="1134" w:hanging="567"/>
        <w:rPr>
          <w:i/>
          <w:iCs/>
        </w:rPr>
      </w:pPr>
    </w:p>
    <w:p w:rsidR="007172C8" w:rsidRPr="00CC0087" w:rsidP="007172C8" w14:paraId="3B3BE2BD" w14:textId="77777777">
      <w:pPr>
        <w:ind w:left="1134" w:hanging="567"/>
        <w:rPr>
          <w:i/>
          <w:iCs/>
        </w:rPr>
      </w:pPr>
      <w:r w:rsidRPr="00CC0087">
        <w:rPr>
          <w:i/>
        </w:rPr>
        <w:t xml:space="preserve">c) </w:t>
      </w:r>
      <w:r w:rsidRPr="00CC0087">
        <w:rPr>
          <w:i/>
        </w:rPr>
        <w:tab/>
        <w:t xml:space="preserve">zabezpieczenia społecznego i ochrony socjalnej pracowników; </w:t>
      </w:r>
    </w:p>
    <w:p w:rsidR="007172C8" w:rsidRPr="00CC0087" w:rsidP="007172C8" w14:paraId="03763C63" w14:textId="77777777">
      <w:pPr>
        <w:ind w:left="1134" w:hanging="567"/>
        <w:rPr>
          <w:i/>
          <w:iCs/>
        </w:rPr>
      </w:pPr>
    </w:p>
    <w:p w:rsidR="007172C8" w:rsidRPr="00CC0087" w:rsidP="007172C8" w14:paraId="69F75FA1" w14:textId="77777777">
      <w:pPr>
        <w:ind w:left="1134" w:hanging="567"/>
        <w:rPr>
          <w:i/>
          <w:iCs/>
        </w:rPr>
      </w:pPr>
      <w:r w:rsidRPr="00CC0087">
        <w:rPr>
          <w:i/>
        </w:rPr>
        <w:t xml:space="preserve">d) </w:t>
      </w:r>
      <w:r w:rsidRPr="00CC0087">
        <w:rPr>
          <w:i/>
        </w:rPr>
        <w:tab/>
        <w:t xml:space="preserve">ochrony pracowników w przypadku wypowiedzenia umowy o pracę; </w:t>
      </w:r>
    </w:p>
    <w:p w:rsidR="007172C8" w:rsidRPr="00CC0087" w:rsidP="007172C8" w14:paraId="521C9022" w14:textId="77777777">
      <w:pPr>
        <w:ind w:left="1134" w:hanging="567"/>
        <w:rPr>
          <w:i/>
          <w:iCs/>
        </w:rPr>
      </w:pPr>
    </w:p>
    <w:p w:rsidR="007172C8" w:rsidRPr="00CC0087" w:rsidP="007172C8" w14:paraId="2CD250BA" w14:textId="77777777">
      <w:pPr>
        <w:ind w:left="1134" w:hanging="567"/>
        <w:rPr>
          <w:i/>
          <w:iCs/>
        </w:rPr>
      </w:pPr>
      <w:r w:rsidRPr="00CC0087">
        <w:rPr>
          <w:i/>
        </w:rPr>
        <w:t xml:space="preserve">e) </w:t>
      </w:r>
      <w:r w:rsidRPr="00CC0087">
        <w:rPr>
          <w:i/>
        </w:rPr>
        <w:tab/>
        <w:t>informacji i konsultacji z pracownikami;</w:t>
      </w:r>
    </w:p>
    <w:p w:rsidR="007172C8" w:rsidRPr="00CC0087" w:rsidP="007172C8" w14:paraId="1B6FCA63" w14:textId="77777777">
      <w:pPr>
        <w:ind w:left="1134" w:hanging="567"/>
        <w:rPr>
          <w:i/>
          <w:iCs/>
        </w:rPr>
      </w:pPr>
    </w:p>
    <w:p w:rsidR="007172C8" w:rsidRPr="00CC0087" w:rsidP="007172C8" w14:paraId="2AB3F123" w14:textId="77777777">
      <w:pPr>
        <w:ind w:left="1134" w:hanging="567"/>
        <w:rPr>
          <w:i/>
          <w:iCs/>
        </w:rPr>
      </w:pPr>
      <w:r w:rsidRPr="00CC0087">
        <w:rPr>
          <w:i/>
        </w:rPr>
        <w:t xml:space="preserve">f) </w:t>
      </w:r>
      <w:r w:rsidRPr="00CC0087">
        <w:rPr>
          <w:i/>
        </w:rPr>
        <w:tab/>
        <w:t xml:space="preserve">reprezentacji i obrony zbiorowej interesów pracowników i pracodawców, w tym współzarządzania, z zastrzeżeniem ustępu 5; </w:t>
      </w:r>
    </w:p>
    <w:p w:rsidR="007172C8" w:rsidRPr="00CC0087" w:rsidP="007172C8" w14:paraId="543695E5" w14:textId="77777777">
      <w:pPr>
        <w:ind w:left="1134" w:hanging="567"/>
        <w:rPr>
          <w:i/>
          <w:iCs/>
        </w:rPr>
      </w:pPr>
    </w:p>
    <w:p w:rsidR="007172C8" w:rsidRPr="00CC0087" w:rsidP="007172C8" w14:paraId="4D214549" w14:textId="77777777">
      <w:pPr>
        <w:ind w:left="1134" w:hanging="567"/>
        <w:rPr>
          <w:i/>
          <w:iCs/>
        </w:rPr>
      </w:pPr>
      <w:r w:rsidRPr="00CC0087">
        <w:rPr>
          <w:i/>
        </w:rPr>
        <w:t xml:space="preserve">g) </w:t>
      </w:r>
      <w:r w:rsidRPr="00CC0087">
        <w:rPr>
          <w:i/>
        </w:rPr>
        <w:tab/>
        <w:t xml:space="preserve">warunków zatrudnienia obywateli państw trzecich legalnie przebywających na terytorium Unii; </w:t>
      </w:r>
    </w:p>
    <w:p w:rsidR="007172C8" w:rsidRPr="00CC0087" w:rsidP="007172C8" w14:paraId="106BEC38" w14:textId="77777777">
      <w:pPr>
        <w:ind w:left="1134" w:hanging="567"/>
        <w:rPr>
          <w:i/>
          <w:iCs/>
        </w:rPr>
      </w:pPr>
    </w:p>
    <w:p w:rsidR="007172C8" w:rsidRPr="00CC0087" w:rsidP="007172C8" w14:paraId="1751ED00" w14:textId="77777777">
      <w:pPr>
        <w:ind w:left="1134" w:hanging="567"/>
        <w:rPr>
          <w:i/>
          <w:iCs/>
        </w:rPr>
      </w:pPr>
      <w:r w:rsidRPr="00CC0087">
        <w:rPr>
          <w:i/>
        </w:rPr>
        <w:t xml:space="preserve">h) </w:t>
      </w:r>
      <w:r w:rsidRPr="00CC0087">
        <w:rPr>
          <w:i/>
        </w:rPr>
        <w:tab/>
        <w:t xml:space="preserve">integracji osób wykluczonych z rynku pracy, bez uszczerbku dla artykułu 166; </w:t>
      </w:r>
    </w:p>
    <w:p w:rsidR="007172C8" w:rsidRPr="00CC0087" w:rsidP="007172C8" w14:paraId="3CFDC582" w14:textId="77777777">
      <w:pPr>
        <w:ind w:left="1134" w:hanging="567"/>
        <w:rPr>
          <w:i/>
          <w:iCs/>
        </w:rPr>
      </w:pPr>
    </w:p>
    <w:p w:rsidR="007172C8" w:rsidRPr="00CC0087" w:rsidP="007172C8" w14:paraId="6E8EE204" w14:textId="77777777">
      <w:pPr>
        <w:ind w:left="1134" w:hanging="567"/>
        <w:rPr>
          <w:i/>
          <w:iCs/>
        </w:rPr>
      </w:pPr>
      <w:r w:rsidRPr="00CC0087">
        <w:rPr>
          <w:i/>
        </w:rPr>
        <w:t xml:space="preserve">i) </w:t>
      </w:r>
      <w:r w:rsidRPr="00CC0087">
        <w:rPr>
          <w:i/>
        </w:rPr>
        <w:tab/>
        <w:t xml:space="preserve">równości mężczyzn i kobiet w odniesieniu do ich szans na rynku pracy i traktowania w pracy; </w:t>
      </w:r>
    </w:p>
    <w:p w:rsidR="007172C8" w:rsidRPr="00CC0087" w:rsidP="007172C8" w14:paraId="7A81B2D4" w14:textId="77777777">
      <w:pPr>
        <w:ind w:left="1134" w:hanging="567"/>
        <w:rPr>
          <w:i/>
          <w:iCs/>
        </w:rPr>
      </w:pPr>
    </w:p>
    <w:p w:rsidR="007172C8" w:rsidRPr="00CC0087" w:rsidP="007172C8" w14:paraId="5CB66720" w14:textId="77777777">
      <w:pPr>
        <w:ind w:left="1134" w:hanging="567"/>
        <w:rPr>
          <w:i/>
          <w:iCs/>
        </w:rPr>
      </w:pPr>
      <w:r w:rsidRPr="00CC0087">
        <w:rPr>
          <w:i/>
        </w:rPr>
        <w:t xml:space="preserve">j) </w:t>
      </w:r>
      <w:r w:rsidRPr="00CC0087">
        <w:rPr>
          <w:i/>
        </w:rPr>
        <w:tab/>
        <w:t xml:space="preserve">zwalczania wykluczenia społecznego; </w:t>
      </w:r>
    </w:p>
    <w:p w:rsidR="007172C8" w:rsidRPr="00CC0087" w:rsidP="007172C8" w14:paraId="5C9F170E" w14:textId="77777777">
      <w:pPr>
        <w:ind w:left="1134" w:hanging="567"/>
        <w:rPr>
          <w:i/>
          <w:iCs/>
        </w:rPr>
      </w:pPr>
    </w:p>
    <w:p w:rsidR="007172C8" w:rsidRPr="00CC0087" w:rsidP="007172C8" w14:paraId="5E446B85" w14:textId="77777777">
      <w:pPr>
        <w:ind w:left="1134" w:hanging="567"/>
        <w:rPr>
          <w:i/>
          <w:iCs/>
        </w:rPr>
      </w:pPr>
      <w:r w:rsidRPr="00CC0087">
        <w:rPr>
          <w:i/>
        </w:rPr>
        <w:t>k) modernizacji systemów ochrony socjalnej, bez uszczerbku dla litery c).</w:t>
      </w:r>
    </w:p>
    <w:p w:rsidR="007172C8" w:rsidRPr="00CC0087" w:rsidP="007172C8" w14:paraId="01DDBBB1" w14:textId="77777777">
      <w:pPr>
        <w:tabs>
          <w:tab w:val="left" w:pos="7014"/>
        </w:tabs>
        <w:jc w:val="both"/>
        <w:rPr>
          <w:bCs/>
          <w:i/>
        </w:rPr>
      </w:pPr>
    </w:p>
    <w:p w:rsidR="007172C8" w:rsidRPr="00CC0087" w:rsidP="007172C8" w14:paraId="327617C5" w14:textId="77777777">
      <w:pPr>
        <w:tabs>
          <w:tab w:val="left" w:pos="7014"/>
        </w:tabs>
        <w:spacing w:after="240"/>
        <w:ind w:left="567" w:hanging="567"/>
        <w:jc w:val="both"/>
        <w:rPr>
          <w:b/>
          <w:i/>
        </w:rPr>
      </w:pPr>
      <w:r w:rsidRPr="00CC0087">
        <w:rPr>
          <w:b/>
          <w:i/>
        </w:rPr>
        <w:t xml:space="preserve">2. </w:t>
      </w:r>
      <w:r w:rsidRPr="00CC0087">
        <w:rPr>
          <w:b/>
          <w:i/>
        </w:rPr>
        <w:tab/>
        <w:t>W tym celu Parlament Europejski i Rada:</w:t>
      </w:r>
    </w:p>
    <w:p w:rsidR="007172C8" w:rsidRPr="00CC0087" w:rsidP="007172C8" w14:paraId="777AA952" w14:textId="77777777">
      <w:pPr>
        <w:tabs>
          <w:tab w:val="left" w:pos="7014"/>
        </w:tabs>
        <w:spacing w:after="240"/>
        <w:ind w:left="1134" w:hanging="567"/>
        <w:jc w:val="both"/>
        <w:rPr>
          <w:bCs/>
          <w:i/>
        </w:rPr>
      </w:pPr>
      <w:r w:rsidRPr="00CC0087">
        <w:rPr>
          <w:i/>
        </w:rPr>
        <w:t xml:space="preserve">a) </w:t>
      </w:r>
      <w:r w:rsidRPr="00CC0087">
        <w:rPr>
          <w:i/>
        </w:rPr>
        <w:tab/>
        <w:t>mogą przyjąć środki w celu zachęcania do współpracy między Państwami Członkowskimi w drodze inicjatyw zmierzających do pogłębiania wiedzy, rozwijania wymiany informacji i najlepszych praktyk, wspierania podejść nowatorskich oraz oceny doświadczeń, z wyłączeniem jakiejkolwiek harmonizacji przepisów ustawowych i wykonawczych Państw Członkowskich;</w:t>
      </w:r>
    </w:p>
    <w:p w:rsidR="007172C8" w:rsidRPr="00CC0087" w:rsidP="00242B20" w14:paraId="2923D9D5" w14:textId="5C5802E3">
      <w:pPr>
        <w:tabs>
          <w:tab w:val="left" w:pos="7014"/>
        </w:tabs>
        <w:spacing w:after="240"/>
        <w:ind w:left="1134" w:hanging="567"/>
        <w:jc w:val="both"/>
        <w:rPr>
          <w:b/>
          <w:i/>
        </w:rPr>
      </w:pPr>
      <w:r w:rsidRPr="00CC0087">
        <w:rPr>
          <w:b/>
          <w:i/>
        </w:rPr>
        <w:t>b)</w:t>
      </w:r>
      <w:r w:rsidRPr="00CC0087">
        <w:rPr>
          <w:b/>
          <w:i/>
        </w:rPr>
        <w:tab/>
        <w:t xml:space="preserve">mogą przyjąć, w dziedzinach określonych w ustępie 1 litery </w:t>
      </w:r>
      <w:r w:rsidRPr="00CC0087">
        <w:rPr>
          <w:b/>
          <w:i/>
        </w:rPr>
        <w:t>a)–</w:t>
      </w:r>
      <w:r w:rsidRPr="00CC0087">
        <w:rPr>
          <w:b/>
          <w:i/>
        </w:rPr>
        <w:t>i), w drodze dyrektyw, minimalne wymagania stopniowo wprowadzane w życie, z uwzględnieniem warunków i norm technicznych istniejących w każdym z Państw Członkowskich. Dyrektywy te unikają nakładania administracyjnych, finansowych i prawnych ograniczeń, które utrudniałyby tworzenie i rozwijanie małych i średnich przedsiębiorstw.</w:t>
      </w:r>
    </w:p>
    <w:p w:rsidR="007172C8" w:rsidRPr="00CC0087" w:rsidP="007172C8" w14:paraId="5F688DB4" w14:textId="77777777">
      <w:pPr>
        <w:tabs>
          <w:tab w:val="left" w:pos="7014"/>
        </w:tabs>
        <w:spacing w:after="240"/>
        <w:ind w:left="567"/>
        <w:jc w:val="both"/>
        <w:rPr>
          <w:bCs/>
          <w:i/>
        </w:rPr>
      </w:pPr>
      <w:r w:rsidRPr="00CC0087">
        <w:rPr>
          <w:i/>
        </w:rPr>
        <w:t>Parlament Europejski i Rada stanowią zgodnie ze zwykłą procedurą ustawodawczą po konsultacji z Komitetem Ekonomiczno-Społecznym i Komitetem Regionów.</w:t>
      </w:r>
    </w:p>
    <w:p w:rsidR="007172C8" w:rsidRPr="00CC0087" w:rsidP="007172C8" w14:paraId="49111D9D" w14:textId="77777777">
      <w:pPr>
        <w:tabs>
          <w:tab w:val="left" w:pos="7014"/>
        </w:tabs>
        <w:spacing w:after="240"/>
        <w:ind w:left="567"/>
        <w:jc w:val="both"/>
        <w:rPr>
          <w:bCs/>
          <w:i/>
        </w:rPr>
      </w:pPr>
      <w:r w:rsidRPr="00CC0087">
        <w:rPr>
          <w:i/>
        </w:rPr>
        <w:t>W dziedzinach, o których mowa w ustępie 1 litery c), d), f) i g), Rada stanowi jednomyślnie zgodnie ze specjalną procedurą ustawodawczą, po konsultacji z Parlamentem Europejskim i wymienionymi wyżej Komitetami.</w:t>
      </w:r>
    </w:p>
    <w:p w:rsidR="007172C8" w:rsidRPr="00CC0087" w:rsidP="007172C8" w14:paraId="30A9E71A" w14:textId="77777777">
      <w:pPr>
        <w:tabs>
          <w:tab w:val="left" w:pos="7014"/>
        </w:tabs>
        <w:spacing w:after="240"/>
        <w:ind w:left="567"/>
        <w:jc w:val="both"/>
        <w:rPr>
          <w:bCs/>
          <w:i/>
        </w:rPr>
      </w:pPr>
      <w:r w:rsidRPr="00CC0087">
        <w:rPr>
          <w:i/>
        </w:rPr>
        <w:t>Rada, stanowiąc jednomyślnie na wniosek Komisji, po konsultacji z Parlamentem Europejskim, może zadecydować o stosowaniu do ustępu 1 litery d), f) i g) zwykłej procedury ustawodawczej.</w:t>
      </w:r>
    </w:p>
    <w:p w:rsidR="007172C8" w:rsidRPr="00CC0087" w:rsidP="007172C8" w14:paraId="0113ACD6" w14:textId="77777777">
      <w:pPr>
        <w:tabs>
          <w:tab w:val="left" w:pos="7014"/>
        </w:tabs>
        <w:spacing w:after="240"/>
        <w:ind w:left="567" w:hanging="567"/>
        <w:jc w:val="both"/>
        <w:rPr>
          <w:bCs/>
          <w:i/>
        </w:rPr>
      </w:pPr>
      <w:r w:rsidRPr="00CC0087">
        <w:rPr>
          <w:i/>
        </w:rPr>
        <w:t>3.</w:t>
      </w:r>
      <w:r w:rsidRPr="00CC0087">
        <w:rPr>
          <w:i/>
        </w:rPr>
        <w:tab/>
        <w:t xml:space="preserve">Państwo Członkowskie może powierzyć partnerom społecznym, na ich wspólne żądanie, wykonanie dyrektyw przyjętych w zastosowaniu ustępu 2 </w:t>
      </w:r>
      <w:r w:rsidRPr="00CC0087">
        <w:rPr>
          <w:i/>
        </w:rPr>
        <w:t>lub,</w:t>
      </w:r>
      <w:r w:rsidRPr="00CC0087">
        <w:rPr>
          <w:i/>
        </w:rPr>
        <w:t xml:space="preserve"> w stosownych przypadkach, wykonanie decyzji Rady przyjętej zgodnie z artykułem 155.</w:t>
      </w:r>
    </w:p>
    <w:p w:rsidR="007172C8" w:rsidRPr="00CC0087" w:rsidP="007172C8" w14:paraId="6ADA3FCB" w14:textId="77777777">
      <w:pPr>
        <w:tabs>
          <w:tab w:val="left" w:pos="7014"/>
        </w:tabs>
        <w:spacing w:after="240"/>
        <w:ind w:left="567" w:hanging="567"/>
        <w:jc w:val="both"/>
        <w:rPr>
          <w:bCs/>
          <w:i/>
        </w:rPr>
      </w:pPr>
      <w:r w:rsidRPr="00CC0087">
        <w:rPr>
          <w:i/>
        </w:rPr>
        <w:tab/>
        <w:t>W tym przypadku dane Państwo Członkowskie, będąc zobowiązanym do przedsięwzięcia wszelkich środków pozwalających mu w każdej chwili na zagwarantowanie realizacji celów dyrektywy lub decyzji, zapewnia, że najpóźniej w dniu, w którym dyrektywa lub decyzja powinna być przetransponowana lub wykonana, partnerzy społeczni przyjęli niezbędne środki w drodze porozumienia.</w:t>
      </w:r>
    </w:p>
    <w:p w:rsidR="007172C8" w:rsidRPr="00CC0087" w:rsidP="007172C8" w14:paraId="51CE3579" w14:textId="77777777">
      <w:pPr>
        <w:tabs>
          <w:tab w:val="left" w:pos="7014"/>
        </w:tabs>
        <w:spacing w:after="240"/>
        <w:ind w:left="567" w:hanging="567"/>
        <w:jc w:val="both"/>
        <w:rPr>
          <w:bCs/>
          <w:i/>
        </w:rPr>
      </w:pPr>
      <w:r w:rsidRPr="00CC0087">
        <w:rPr>
          <w:i/>
        </w:rPr>
        <w:t>4.</w:t>
      </w:r>
      <w:r w:rsidRPr="00CC0087">
        <w:rPr>
          <w:i/>
        </w:rPr>
        <w:tab/>
        <w:t>Przepisy uchwalone na mocy niniejszego artykułu:</w:t>
      </w:r>
    </w:p>
    <w:p w:rsidR="007172C8" w:rsidRPr="00CC0087" w:rsidP="007172C8" w14:paraId="6EE64988" w14:textId="77777777">
      <w:pPr>
        <w:tabs>
          <w:tab w:val="left" w:pos="7014"/>
        </w:tabs>
        <w:spacing w:after="240"/>
        <w:ind w:left="1134" w:hanging="567"/>
        <w:jc w:val="both"/>
        <w:rPr>
          <w:bCs/>
          <w:i/>
        </w:rPr>
      </w:pPr>
      <w:r w:rsidRPr="00CC0087">
        <w:rPr>
          <w:i/>
        </w:rPr>
        <w:t xml:space="preserve">- </w:t>
      </w:r>
      <w:r w:rsidRPr="00CC0087">
        <w:rPr>
          <w:i/>
        </w:rPr>
        <w:tab/>
        <w:t>nie naruszają prawa Państw Członkowskich do określenia podstawowych zasad ich systemów zabezpieczenia społecznego i nie mogą znacząco wpływać na równowagę finansową tych systemów,</w:t>
      </w:r>
    </w:p>
    <w:p w:rsidR="007172C8" w:rsidRPr="00CC0087" w:rsidP="00242B20" w14:paraId="76733675" w14:textId="37739BFA">
      <w:pPr>
        <w:tabs>
          <w:tab w:val="left" w:pos="7014"/>
        </w:tabs>
        <w:spacing w:after="240"/>
        <w:ind w:left="1134" w:hanging="567"/>
        <w:jc w:val="both"/>
        <w:rPr>
          <w:bCs/>
          <w:i/>
        </w:rPr>
      </w:pPr>
      <w:r w:rsidRPr="00CC0087">
        <w:rPr>
          <w:i/>
        </w:rPr>
        <w:t>-</w:t>
      </w:r>
      <w:r w:rsidRPr="00CC0087">
        <w:rPr>
          <w:i/>
        </w:rPr>
        <w:tab/>
        <w:t>nie stanowią przeszkody dla Państwa Członkowskiego w utrzymywaniu lub ustanawianiu bardziej rygorystycznych środków ochronnych zgodnych z Traktatami.</w:t>
      </w:r>
    </w:p>
    <w:p w:rsidR="007172C8" w:rsidRPr="00CC0087" w:rsidP="007172C8" w14:paraId="3CFD0E0E" w14:textId="77777777">
      <w:pPr>
        <w:tabs>
          <w:tab w:val="left" w:pos="7014"/>
        </w:tabs>
        <w:spacing w:after="120"/>
        <w:ind w:left="567" w:hanging="567"/>
        <w:jc w:val="both"/>
        <w:rPr>
          <w:bCs/>
          <w:i/>
        </w:rPr>
      </w:pPr>
      <w:r w:rsidRPr="00CC0087">
        <w:rPr>
          <w:i/>
        </w:rPr>
        <w:t>5.   </w:t>
      </w:r>
      <w:r w:rsidRPr="00CC0087">
        <w:rPr>
          <w:i/>
        </w:rPr>
        <w:tab/>
        <w:t>Postanowienia niniejszego artykułu nie mają zastosowania do wynagrodzeń ani do prawa zrzeszania się, ani do prawa strajku, ani do prawa lokautu.</w:t>
      </w:r>
    </w:p>
    <w:p w:rsidR="007172C8" w:rsidRPr="00CC0087" w:rsidP="007172C8" w14:paraId="16E1FCE9" w14:textId="77777777">
      <w:pPr>
        <w:pStyle w:val="Normal12a"/>
        <w:spacing w:after="120"/>
        <w:rPr>
          <w:b/>
          <w:u w:val="single"/>
        </w:rPr>
      </w:pPr>
    </w:p>
    <w:p w:rsidR="007172C8" w:rsidRPr="00CC0087" w:rsidP="007172C8" w14:paraId="2EB0C704" w14:textId="354AEFE5">
      <w:pPr>
        <w:spacing w:after="240"/>
        <w:jc w:val="both"/>
        <w:rPr>
          <w:b/>
          <w:u w:val="single"/>
        </w:rPr>
      </w:pPr>
      <w:r w:rsidRPr="00CC0087">
        <w:rPr>
          <w:b/>
          <w:u w:val="single"/>
        </w:rPr>
        <w:t>III – Orzecznictwo TSUE w sprawie wyboru podstawy prawnej</w:t>
      </w:r>
    </w:p>
    <w:p w:rsidR="007172C8" w:rsidRPr="00CC0087" w:rsidP="007172C8" w14:paraId="4ECFA56A" w14:textId="77777777">
      <w:pPr>
        <w:pStyle w:val="Point123"/>
        <w:numPr>
          <w:ilvl w:val="0"/>
          <w:numId w:val="0"/>
        </w:numPr>
        <w:tabs>
          <w:tab w:val="left" w:pos="720"/>
        </w:tabs>
        <w:spacing w:before="0" w:after="0" w:line="240" w:lineRule="auto"/>
        <w:jc w:val="both"/>
      </w:pPr>
      <w:r w:rsidRPr="00CC0087">
        <w:t>Trybunał Sprawiedliwości tradycyjnie uznaje kwestię właściwej podstawy prawnej za zagadnienie o znaczeniu konstytucjonalnym, które gwarantuje zgodność z zasadą przyznania kompetencji (art. 5 Traktatu o Unii Europejskiej) oraz określa charakter i zakres kompetencji Unii</w:t>
      </w:r>
      <w:r>
        <w:rPr>
          <w:vertAlign w:val="superscript"/>
        </w:rPr>
        <w:footnoteReference w:id="2"/>
      </w:r>
      <w:r w:rsidRPr="00CC0087">
        <w:t>.</w:t>
      </w:r>
    </w:p>
    <w:p w:rsidR="007172C8" w:rsidRPr="00CC0087" w:rsidP="007172C8" w14:paraId="0F09BFDC" w14:textId="77777777">
      <w:pPr>
        <w:pStyle w:val="Point123"/>
        <w:numPr>
          <w:ilvl w:val="0"/>
          <w:numId w:val="0"/>
        </w:numPr>
        <w:tabs>
          <w:tab w:val="left" w:pos="720"/>
        </w:tabs>
        <w:spacing w:before="0" w:after="0" w:line="240" w:lineRule="auto"/>
        <w:jc w:val="both"/>
      </w:pPr>
    </w:p>
    <w:p w:rsidR="007172C8" w:rsidRPr="00CC0087" w:rsidP="007172C8" w14:paraId="04120110" w14:textId="77777777">
      <w:pPr>
        <w:pStyle w:val="Point123"/>
        <w:numPr>
          <w:ilvl w:val="0"/>
          <w:numId w:val="0"/>
        </w:numPr>
        <w:tabs>
          <w:tab w:val="left" w:pos="720"/>
        </w:tabs>
        <w:spacing w:before="0" w:after="0" w:line="240" w:lineRule="auto"/>
        <w:jc w:val="both"/>
        <w:rPr>
          <w:rFonts w:asciiTheme="majorBidi" w:hAnsiTheme="majorBidi" w:cstheme="majorBidi"/>
          <w:vertAlign w:val="superscript"/>
        </w:rPr>
      </w:pPr>
      <w:r w:rsidRPr="00CC0087">
        <w:t>Zgodnie z utrwalonym orzecznictwem wybór podstawy prawnej aktu Unii nie zależy od tego, na czym – zdaniem danej instytucji – polega realizowany cel, lecz musi zostać dokonany na podstawie obiektywnych kryteriów mogących podlegać kontroli sądowej, w tym w szczególności na podstawie celu i treści danego aktu</w:t>
      </w:r>
      <w:r>
        <w:rPr>
          <w:vertAlign w:val="superscript"/>
        </w:rPr>
        <w:footnoteReference w:id="3"/>
      </w:r>
      <w:r w:rsidRPr="00CC0087">
        <w:t>.</w:t>
      </w:r>
      <w:r w:rsidRPr="00CC0087">
        <w:rPr>
          <w:rFonts w:asciiTheme="majorBidi" w:hAnsiTheme="majorBidi"/>
          <w:vertAlign w:val="superscript"/>
        </w:rPr>
        <w:t xml:space="preserve"> </w:t>
      </w:r>
    </w:p>
    <w:p w:rsidR="007172C8" w:rsidRPr="00CC0087" w:rsidP="007172C8" w14:paraId="41BF87BF" w14:textId="77777777">
      <w:pPr>
        <w:pStyle w:val="Point123"/>
        <w:numPr>
          <w:ilvl w:val="0"/>
          <w:numId w:val="0"/>
        </w:numPr>
        <w:tabs>
          <w:tab w:val="left" w:pos="720"/>
        </w:tabs>
        <w:spacing w:before="0" w:after="0" w:line="240" w:lineRule="auto"/>
        <w:jc w:val="both"/>
        <w:rPr>
          <w:rFonts w:asciiTheme="majorBidi" w:hAnsiTheme="majorBidi" w:cstheme="majorBidi"/>
          <w:vertAlign w:val="superscript"/>
        </w:rPr>
      </w:pPr>
    </w:p>
    <w:p w:rsidR="007172C8" w:rsidRPr="00CC0087" w:rsidP="007172C8" w14:paraId="6BC7886B" w14:textId="77777777">
      <w:pPr>
        <w:pStyle w:val="Point123"/>
        <w:numPr>
          <w:ilvl w:val="0"/>
          <w:numId w:val="0"/>
        </w:numPr>
        <w:tabs>
          <w:tab w:val="left" w:pos="720"/>
        </w:tabs>
        <w:spacing w:before="0" w:after="0" w:line="240" w:lineRule="auto"/>
        <w:jc w:val="both"/>
      </w:pPr>
      <w:r w:rsidRPr="00CC0087">
        <w:t>Jeżeli analiza danego aktu wykaże, że służy on realizacji dwóch celów lub że ma on dwa elementy składowe i jeden z tych celów lub elementów składowych można zidentyfikować jako główny lub dominujący, podczas gdy drugi ma jedynie charakter pomocniczy, wówczas ten akt prawny powinien opierać się na jednej podstawie prawnej, a mianowicie na tej, która wymagana jest z racji głównego lub dominującego celu lub elementu składowego</w:t>
      </w:r>
      <w:r>
        <w:rPr>
          <w:vertAlign w:val="superscript"/>
        </w:rPr>
        <w:footnoteReference w:id="4"/>
      </w:r>
      <w:r w:rsidRPr="00CC0087">
        <w:t>.</w:t>
      </w:r>
      <w:r w:rsidRPr="00CC0087">
        <w:rPr>
          <w:rFonts w:asciiTheme="majorBidi" w:hAnsiTheme="majorBidi"/>
        </w:rPr>
        <w:t xml:space="preserve"> </w:t>
      </w:r>
      <w:r w:rsidRPr="00CC0087">
        <w:t>Jedynie w wyjątkowych przypadkach, jeżeli zostanie ustalone, że dany akt służy jednocześnie realizacji większej liczby celów, które są ze sobą nierozerwalnie związane, przy czym żaden z celów nie jest drugorzędny ani pośredni w stosunku do pozostałych, taki akt można oprzeć na odpowiadających im różnych podstawach prawnych</w:t>
      </w:r>
      <w:r>
        <w:rPr>
          <w:vertAlign w:val="superscript"/>
        </w:rPr>
        <w:footnoteReference w:id="5"/>
      </w:r>
      <w:r w:rsidRPr="00CC0087">
        <w:t>. Jest to jednak możliwe tylko wtedy, gdy procedury ustanowione dla odpowiednich podstaw prawnych nie są sprzeczne z uprawnieniami Parlamentu Europejskiego ani ich nie naruszają</w:t>
      </w:r>
      <w:r>
        <w:rPr>
          <w:vertAlign w:val="superscript"/>
        </w:rPr>
        <w:footnoteReference w:id="6"/>
      </w:r>
      <w:r w:rsidRPr="00CC0087">
        <w:t>.</w:t>
      </w:r>
    </w:p>
    <w:p w:rsidR="007172C8" w:rsidRPr="00CC0087" w:rsidP="00EC3D76" w14:paraId="60C96F80" w14:textId="77777777">
      <w:pPr>
        <w:pStyle w:val="Normal12a"/>
      </w:pPr>
    </w:p>
    <w:p w:rsidR="007172C8" w:rsidRPr="00CC0087" w:rsidP="007172C8" w14:paraId="2AC75A71" w14:textId="77777777">
      <w:pPr>
        <w:pStyle w:val="Point123"/>
        <w:numPr>
          <w:ilvl w:val="0"/>
          <w:numId w:val="0"/>
        </w:numPr>
        <w:tabs>
          <w:tab w:val="left" w:pos="720"/>
        </w:tabs>
        <w:spacing w:before="0" w:after="0" w:line="240" w:lineRule="auto"/>
        <w:jc w:val="both"/>
        <w:rPr>
          <w:b/>
          <w:u w:val="single"/>
        </w:rPr>
      </w:pPr>
      <w:r w:rsidRPr="00CC0087">
        <w:rPr>
          <w:b/>
          <w:u w:val="single"/>
        </w:rPr>
        <w:t xml:space="preserve">IV – Cel i treść sprawozdania INL </w:t>
      </w:r>
    </w:p>
    <w:p w:rsidR="007172C8" w:rsidRPr="00CC0087" w:rsidP="007172C8" w14:paraId="3CE56BD4" w14:textId="77777777">
      <w:pPr>
        <w:pStyle w:val="Point123"/>
        <w:numPr>
          <w:ilvl w:val="0"/>
          <w:numId w:val="0"/>
        </w:numPr>
        <w:tabs>
          <w:tab w:val="left" w:pos="720"/>
        </w:tabs>
        <w:spacing w:before="0" w:after="0" w:line="240" w:lineRule="auto"/>
        <w:jc w:val="both"/>
      </w:pPr>
    </w:p>
    <w:p w:rsidR="007172C8" w:rsidRPr="00CC0087" w:rsidP="007172C8" w14:paraId="4866887F" w14:textId="49650DF7">
      <w:pPr>
        <w:jc w:val="both"/>
      </w:pPr>
      <w:bookmarkStart w:id="0" w:name="_Ref232764548"/>
      <w:r w:rsidRPr="00CC0087">
        <w:t xml:space="preserve">W następstwie ostatniej dostępnej wersji poprawek kompromisowych z 22 czerwca 2026 r. proponowane podstawy prawne wniosku ustawodawczego, o które wystąpiła komisja EMPL, a mianowicie art. 153 ust. 2 lit. b) oraz art. 153 ust. 1 lit. a), określono w motywach projektu rezolucji. </w:t>
      </w:r>
    </w:p>
    <w:p w:rsidR="007172C8" w:rsidRPr="00CC0087" w:rsidP="007172C8" w14:paraId="208F39DE" w14:textId="77777777">
      <w:pPr>
        <w:jc w:val="both"/>
      </w:pPr>
    </w:p>
    <w:p w:rsidR="007172C8" w:rsidRPr="00CC0087" w:rsidP="007172C8" w14:paraId="31ABC94C" w14:textId="77777777">
      <w:pPr>
        <w:jc w:val="both"/>
      </w:pPr>
      <w:r w:rsidRPr="00CC0087">
        <w:t>Jeżeli chodzi o cel wnioskowanego środka, początkowo w art. 1 załącznika do projektu sprawozdania stwierdzono, że „[n]</w:t>
      </w:r>
      <w:r w:rsidRPr="00CC0087">
        <w:t>iniejsza</w:t>
      </w:r>
      <w:r w:rsidRPr="00CC0087">
        <w:t xml:space="preserve"> dyrektywa ustanawia minimalne wymogi w zakresie zapobiegania zagrożeniom psychospołecznym związanym z pracą oraz czynnikom ryzyka, ich eliminowania </w:t>
      </w:r>
      <w:r w:rsidRPr="00CC0087">
        <w:t>lub,</w:t>
      </w:r>
      <w:r w:rsidRPr="00CC0087">
        <w:t xml:space="preserve"> jeżeli nie jest to możliwe, ograniczania”. W poprawkach kompromisowych z 22 czerwca 2026 r. w pierwszym zaleceniu dla Komisji ponownie podkreślono, że „[c]</w:t>
      </w:r>
      <w:r w:rsidRPr="00CC0087">
        <w:t>elem</w:t>
      </w:r>
      <w:r w:rsidRPr="00CC0087">
        <w:t xml:space="preserve"> wniosku powinno być ustanowienie minimalnych wymogów w celu zapobiegania zagrożeniom </w:t>
      </w:r>
      <w:r w:rsidRPr="00CC0087">
        <w:t xml:space="preserve">psychospołecznym związanym z pracą, ich eliminowania </w:t>
      </w:r>
      <w:r w:rsidRPr="00CC0087">
        <w:t>lub,</w:t>
      </w:r>
      <w:r w:rsidRPr="00CC0087">
        <w:t xml:space="preserve"> jeżeli nie jest to możliwe, ich ograniczania [...]”.</w:t>
      </w:r>
      <w:bookmarkEnd w:id="0"/>
      <w:r w:rsidRPr="00CC0087">
        <w:t xml:space="preserve"> </w:t>
      </w:r>
    </w:p>
    <w:p w:rsidR="007172C8" w:rsidRPr="00CC0087" w:rsidP="007172C8" w14:paraId="265645AC" w14:textId="77777777">
      <w:pPr>
        <w:jc w:val="both"/>
      </w:pPr>
    </w:p>
    <w:p w:rsidR="007172C8" w:rsidRPr="00CC0087" w:rsidP="007172C8" w14:paraId="56BBA1E3" w14:textId="77777777">
      <w:pPr>
        <w:jc w:val="both"/>
      </w:pPr>
      <w:r w:rsidRPr="00CC0087">
        <w:t xml:space="preserve">Drugie zalecenie dotyczy zakresu stosowania </w:t>
      </w:r>
      <w:r w:rsidRPr="00CC0087">
        <w:rPr>
          <w:i/>
        </w:rPr>
        <w:t>ratione</w:t>
      </w:r>
      <w:r w:rsidRPr="00CC0087">
        <w:rPr>
          <w:i/>
        </w:rPr>
        <w:t xml:space="preserve"> </w:t>
      </w:r>
      <w:r w:rsidRPr="00CC0087">
        <w:rPr>
          <w:i/>
        </w:rPr>
        <w:t>personae</w:t>
      </w:r>
      <w:r w:rsidRPr="00CC0087">
        <w:t xml:space="preserve"> wnioskowanego środka, tj. „pracowników – zdefiniowanych jako osoby zatrudnione przez pracodawcę, w tym stażyści i praktykanci – we wszystkich sektorach działalności gospodarczej, zarówno publicznych, jak i prywatnych”. Zakładany zakres stosowania tego środka pokrywałby się zatem z zakresem nierozerwalnie związanym z art. 153 TFUE.</w:t>
      </w:r>
    </w:p>
    <w:p w:rsidR="007172C8" w:rsidRPr="00CC0087" w:rsidP="007172C8" w14:paraId="773E6976" w14:textId="77777777">
      <w:pPr>
        <w:jc w:val="both"/>
      </w:pPr>
    </w:p>
    <w:p w:rsidR="007172C8" w:rsidRPr="00CC0087" w:rsidP="007172C8" w14:paraId="3060D891" w14:textId="77777777">
      <w:pPr>
        <w:jc w:val="both"/>
      </w:pPr>
      <w:r w:rsidRPr="00CC0087">
        <w:t>W zaleceniach 4, 5 i 6 wyszczególniono obowiązki, jakie ma nałożyć na pracodawców wnioskowany środek, a mianowicie ogólny obowiązek zapobiegania, obowiązek regularnego przeprowadzania oceny ryzyka i przyjmowania planu działania oraz obowiązek przeprowadzania oceny ryzyka w następstwie reorganizacji pracy lub wprowadzenia systemów zautomatyzowanego podejmowania decyzji i zautomatyzowanego monitorowania.</w:t>
      </w:r>
    </w:p>
    <w:p w:rsidR="007172C8" w:rsidRPr="00CC0087" w:rsidP="007172C8" w14:paraId="0E610088" w14:textId="77777777">
      <w:pPr>
        <w:jc w:val="both"/>
      </w:pPr>
    </w:p>
    <w:p w:rsidR="007172C8" w:rsidRPr="00CC0087" w:rsidP="007172C8" w14:paraId="3A5E0A51" w14:textId="77777777">
      <w:pPr>
        <w:jc w:val="both"/>
      </w:pPr>
      <w:r w:rsidRPr="00CC0087">
        <w:t xml:space="preserve">W poniższych zaleceniach (nr 7–11) skoncentrowano się na prawach, które na mocy wnioskowanego środka należy przyznać pracownikom. W szczególności w zaleceniu 7 zapisano prawo pracowników do środowiska pracy zapewniającego bezpieczeństwo psychiczne. W zaleceniach 8 i 9 skoncentrowano się na prawach pracowników, którzy wracają do pracy po długotrwałej nieobecności lub powtarzających się nieobecnościach spowodowanych uszczerbkiem na zdrowiu związanym z zagrożeniami psychospołecznymi w miejscu pracy. W zaleceniu 10 zapisano prawo pracowników do zgłaszania czynników zagrożeń psychospołecznych bez narażania się na działania odwetowe. W zaleceniu 11 określono zakaz, zgodnie z którym od pracowników nie można wymagać, aby angażowali się w komunikację lub zadania związane z pracą poza godzinami pracy („prawo do bycia offline”). </w:t>
      </w:r>
    </w:p>
    <w:p w:rsidR="007172C8" w:rsidRPr="00CC0087" w:rsidP="007172C8" w14:paraId="44BEA602" w14:textId="77777777">
      <w:pPr>
        <w:jc w:val="both"/>
      </w:pPr>
    </w:p>
    <w:p w:rsidR="007172C8" w:rsidRPr="00CC0087" w:rsidP="007172C8" w14:paraId="60F379BC" w14:textId="77777777">
      <w:pPr>
        <w:jc w:val="both"/>
      </w:pPr>
      <w:r w:rsidRPr="00CC0087">
        <w:t xml:space="preserve">Zalecenia 12 i 13 dotyczą środków organizacyjnych zorientowanych na zapobieganie zagrożeniom psychospołecznym związanym z pracą. W szczególności zaleca się w nich, aby wnioskowany środek zawierał przepisy dotyczące wyznaczania służb ochrony i zapobiegania ds. zagrożeń psychospołecznych oraz informowania pracowników, konsultowania się z nimi i ich uczestnictwa w odniesieniu do oceny ryzyka i działań w zakresie zarządzania ryzykiem związanym z zagrożeniami psychospołecznymi. </w:t>
      </w:r>
    </w:p>
    <w:p w:rsidR="007172C8" w:rsidRPr="00CC0087" w:rsidP="007172C8" w14:paraId="7792076C" w14:textId="77777777">
      <w:pPr>
        <w:jc w:val="both"/>
      </w:pPr>
    </w:p>
    <w:p w:rsidR="007172C8" w:rsidRPr="00CC0087" w:rsidP="007172C8" w14:paraId="3833AA2E" w14:textId="276D1C30">
      <w:pPr>
        <w:jc w:val="both"/>
      </w:pPr>
      <w:r w:rsidRPr="00CC0087">
        <w:t xml:space="preserve">W kolejnym zestawie zaleceń (nr 14–18) określono kilka obowiązków, które wnioskowany środek powinien nakładać na państwa członkowskie. Obejmują one wspieranie działalności inspektoratów pracy w odniesieniu do zagrożeń psychospołecznych związanych z pracą; wprowadzenie wzruszalnego domniemania prawnego obejmującego związek przyczynowy między okolicznościami faktycznymi a szkodą, jeżeli pracownik ustali okoliczności wskazujące na narażenie na zagrożenia psychospołeczne i szkodę zgodną z takim narażeniem; opracowywanie programów kształcenia i szkolenia na ten temat; monitorowanie tendencji i gromadzenie danych dotyczących zagrożeń psychospołecznych oraz ustanowienie skutecznych, proporcjonalnych i odstraszających kar mających zastosowanie w razie naruszeń wnioskowanego środka. </w:t>
      </w:r>
    </w:p>
    <w:p w:rsidR="007172C8" w:rsidRPr="00CC0087" w:rsidP="007172C8" w14:paraId="31146893" w14:textId="77777777">
      <w:pPr>
        <w:jc w:val="both"/>
      </w:pPr>
    </w:p>
    <w:p w:rsidR="007172C8" w:rsidRPr="00CC0087" w:rsidP="007172C8" w14:paraId="76FC9C47" w14:textId="77777777">
      <w:pPr>
        <w:jc w:val="both"/>
      </w:pPr>
      <w:r w:rsidRPr="00CC0087">
        <w:t xml:space="preserve">W zaleceniu 19 wyjaśniono, że wnioskowany środek powinien pozostawać bez uszczerbku dla prerogatyw państw członkowskich dotyczących utrzymania lub wprowadzenia przepisów, które w większym stopniu chronią zdrowie i bezpieczeństwo pracowników. Wydaje się zatem, że we wnioskowanym środku należy określić „minimalne wymagania”, zgodnie z przepisem </w:t>
      </w:r>
      <w:r w:rsidRPr="00CC0087">
        <w:t xml:space="preserve">art. 153 ust. 2 lit. b). </w:t>
      </w:r>
    </w:p>
    <w:p w:rsidR="007172C8" w:rsidRPr="00CC0087" w:rsidP="007172C8" w14:paraId="54043791" w14:textId="77777777">
      <w:pPr>
        <w:ind w:left="567" w:hanging="567"/>
      </w:pPr>
    </w:p>
    <w:p w:rsidR="007172C8" w:rsidRPr="00CC0087" w:rsidP="007172C8" w14:paraId="40D4A58B" w14:textId="77777777">
      <w:pPr>
        <w:jc w:val="both"/>
      </w:pPr>
      <w:r w:rsidRPr="00CC0087">
        <w:t xml:space="preserve">Ponadto w zaleceniu 20 zachęca się do zaangażowania partnerów społecznych we wdrażanie wnioskowanego środka.  </w:t>
      </w:r>
    </w:p>
    <w:p w:rsidR="007172C8" w:rsidRPr="00CC0087" w:rsidP="00EC3D76" w14:paraId="38DFA69B" w14:textId="77777777">
      <w:pPr>
        <w:pStyle w:val="Normal12a"/>
      </w:pPr>
    </w:p>
    <w:p w:rsidR="007172C8" w:rsidRPr="00CC0087" w:rsidP="007172C8" w14:paraId="77074B5E" w14:textId="77777777">
      <w:pPr>
        <w:spacing w:after="240"/>
        <w:jc w:val="both"/>
        <w:rPr>
          <w:b/>
          <w:u w:val="single"/>
        </w:rPr>
      </w:pPr>
      <w:r w:rsidRPr="00CC0087">
        <w:rPr>
          <w:b/>
          <w:u w:val="single"/>
        </w:rPr>
        <w:t xml:space="preserve">V – Analiza </w:t>
      </w:r>
    </w:p>
    <w:p w:rsidR="007172C8" w:rsidRPr="00CC0087" w:rsidP="007172C8" w14:paraId="6DE344CA" w14:textId="77777777">
      <w:pPr>
        <w:jc w:val="both"/>
      </w:pPr>
      <w:r w:rsidRPr="00CC0087">
        <w:t>Zgodnie z orzecznictwem Trybunału pojęcia „środowisko pracy”, „bezpieczeństwo” i „zdrowie” użyte w art. 153 ust. 1 lit. a) obejmują wszystkie czynniki fizyczne lub inne, które mogą mieć wpływ na zdrowie i bezpieczeństwo pracowników w ich środowisku pracy</w:t>
      </w:r>
      <w:r>
        <w:rPr>
          <w:color w:val="000000"/>
          <w:vertAlign w:val="superscript"/>
        </w:rPr>
        <w:footnoteReference w:id="7"/>
      </w:r>
      <w:r w:rsidRPr="00CC0087">
        <w:t>.</w:t>
      </w:r>
      <w:r w:rsidRPr="00CC0087">
        <w:rPr>
          <w:color w:val="000000"/>
        </w:rPr>
        <w:t xml:space="preserve"> </w:t>
      </w:r>
      <w:r w:rsidRPr="00CC0087">
        <w:t xml:space="preserve">W związku z tym obowiązujące prawodawstwo UE oparte na tej podstawie prawnej ma już zastosowanie do zagrożeń psychospołecznych, choć nie odnosi się do nich konkretnie. </w:t>
      </w:r>
    </w:p>
    <w:p w:rsidR="007172C8" w:rsidRPr="00CC0087" w:rsidP="007172C8" w14:paraId="42D2EC19" w14:textId="77777777">
      <w:pPr>
        <w:autoSpaceDE w:val="0"/>
        <w:autoSpaceDN w:val="0"/>
        <w:adjustRightInd w:val="0"/>
        <w:jc w:val="both"/>
        <w:rPr>
          <w:color w:val="000000"/>
        </w:rPr>
      </w:pPr>
    </w:p>
    <w:p w:rsidR="007172C8" w:rsidRPr="00CC0087" w:rsidP="007172C8" w14:paraId="30B85885" w14:textId="4C92C76E">
      <w:pPr>
        <w:jc w:val="both"/>
      </w:pPr>
      <w:r w:rsidRPr="00CC0087">
        <w:t>Należy podkreślić, że prawa i obowiązki określone w dyrektywie Rady 89/391/EWG z dnia 12 czerwca 1989 r. w sprawie wprowadzenia środków w celu poprawy bezpieczeństwa i zdrowia pracowników w miejscu pracy</w:t>
      </w:r>
      <w:r>
        <w:rPr>
          <w:vertAlign w:val="superscript"/>
        </w:rPr>
        <w:footnoteReference w:id="8"/>
      </w:r>
      <w:r w:rsidRPr="00CC0087">
        <w:t xml:space="preserve"> („dyrektywa ramowa BHP”) mają zastosowanie do wszystkich zagrożeń zawodowych, w tym zagrożeń psychospołecznych. Art. 6 ust. 2 lit. g) tej dyrektywy stanowi, że ogólna polityka zapobiegania opracowana przez każdego pracodawcę powinna obejmować między innymi „relacje społeczne”, przez co umieszcza w strukturze dyrektywy ramowej w sprawie BHP znaczenie zagrożeń psychospołecznych w miejscu pracy.</w:t>
      </w:r>
    </w:p>
    <w:p w:rsidR="007172C8" w:rsidRPr="00CC0087" w:rsidP="007172C8" w14:paraId="2B28AD33" w14:textId="77777777">
      <w:pPr>
        <w:jc w:val="both"/>
      </w:pPr>
    </w:p>
    <w:p w:rsidR="007172C8" w:rsidRPr="00CC0087" w:rsidP="007172C8" w14:paraId="528950EC" w14:textId="77777777">
      <w:pPr>
        <w:jc w:val="both"/>
      </w:pPr>
      <w:r w:rsidRPr="00CC0087">
        <w:t>Główny cel wniosku INL – jak stwierdzono w pierwszym zaleceniu – precyzuje, że środek, o który zwrócono się we wniosku INL, powinien służyć poprawie środowiska pracy z myślą o ochronie zdrowia i zapewnieniu bezpieczeństwa pracowników, zgodnie z art. 153 ust. 1 lit. a) TFUE. Treść wniosku, a zwłaszcza jego głównych zaleceń dotyczących praw i obowiązków, które należy nałożyć – odpowiednio – na pracowników i pracodawców, jest zasadniczo zgodna z tym celem.</w:t>
      </w:r>
    </w:p>
    <w:p w:rsidR="007172C8" w:rsidRPr="00CC0087" w:rsidP="007172C8" w14:paraId="78F24DF0" w14:textId="77777777">
      <w:pPr>
        <w:jc w:val="both"/>
      </w:pPr>
    </w:p>
    <w:p w:rsidR="007172C8" w:rsidRPr="00CC0087" w:rsidP="007172C8" w14:paraId="02A4F916" w14:textId="77777777">
      <w:pPr>
        <w:jc w:val="both"/>
      </w:pPr>
      <w:r w:rsidRPr="00CC0087">
        <w:t>Niektóre aspekty zaleceń wydają się jednak odbiegać czasami od pojęcia bezpieczeństwa i higieny pracy sensu stricte, co obejmuje środki, które mogą być również istotne w innych sąsiadujących obszarach polityki, dla których istnieje konkretna podstawa prawna, w szczególności:</w:t>
      </w:r>
    </w:p>
    <w:p w:rsidR="007172C8" w:rsidRPr="00CC0087" w:rsidP="007172C8" w14:paraId="0DF46F14" w14:textId="77777777">
      <w:pPr>
        <w:jc w:val="both"/>
      </w:pPr>
    </w:p>
    <w:p w:rsidR="007172C8" w:rsidRPr="00CC0087" w:rsidP="007172C8" w14:paraId="7555FA94" w14:textId="1C66A8BF">
      <w:pPr>
        <w:ind w:left="567" w:hanging="567"/>
        <w:jc w:val="both"/>
      </w:pPr>
      <w:r w:rsidRPr="00CC0087">
        <w:t>–</w:t>
      </w:r>
      <w:r w:rsidRPr="00CC0087">
        <w:tab/>
        <w:t>zalecenie, aby plan działania obejmował środki regulujące zagrożenia psychospołeczne związane z pracą odnoszące się do przetwarzania danych pracowników w celu profilowania lub w innych celach (zalecenie 5 ust. 4b lit. e)), co można też uznać za wyraz celu, jakim jest ochrona osób fizycznych w związku z przetwarzaniem danych osobowych, zapisanego w art. 16 TFUE;</w:t>
      </w:r>
    </w:p>
    <w:p w:rsidR="007172C8" w:rsidRPr="00CC0087" w:rsidP="007172C8" w14:paraId="7E7AE5F7" w14:textId="77777777">
      <w:pPr>
        <w:jc w:val="both"/>
      </w:pPr>
    </w:p>
    <w:p w:rsidR="007172C8" w:rsidRPr="00CC0087" w:rsidP="007172C8" w14:paraId="4BD52BA4" w14:textId="0D0F5EA8">
      <w:pPr>
        <w:ind w:left="567" w:hanging="567"/>
        <w:jc w:val="both"/>
      </w:pPr>
      <w:r w:rsidRPr="00CC0087">
        <w:t>–</w:t>
      </w:r>
      <w:r w:rsidRPr="00CC0087">
        <w:tab/>
        <w:t>zalecenie, aby państwa członkowskie zapewniły ciągłość opieki i dostęp do wsparcia w zakresie zdrowia psychicznego w przypadku pracowników narażonych na zagrożenia psychospołeczne nawet po ustaniu stosunku pracy (zalecenie 7 akapit trzeci), które – jako że dotyczy zabezpieczenia społecznego pracowników – mogłoby zostać ujęte w podstawie prawnej art. 153 ust. 1 lit. c).</w:t>
      </w:r>
    </w:p>
    <w:p w:rsidR="007172C8" w:rsidRPr="00CC0087" w:rsidP="007172C8" w14:paraId="4BF8169B" w14:textId="77777777">
      <w:pPr>
        <w:jc w:val="both"/>
      </w:pPr>
    </w:p>
    <w:p w:rsidR="007172C8" w:rsidRPr="00CC0087" w:rsidP="007172C8" w14:paraId="078824F5" w14:textId="77777777">
      <w:pPr>
        <w:jc w:val="both"/>
      </w:pPr>
      <w:r w:rsidRPr="00CC0087">
        <w:t>Niemniej jednak względne znaczenie tych aspektów w odnośnych zaleceniach i w ogólnej strukturze wnioskowanego środka nie wystarcza, aby podać w wątpliwość fakt, że celem tego środka pozostaje poprawa środowiska pracy z myślą o ochronie zdrowia i zapewnieniu bezpieczeństwa pracowników.</w:t>
      </w:r>
    </w:p>
    <w:p w:rsidR="007172C8" w:rsidRPr="00CC0087" w:rsidP="00EC3D76" w14:paraId="323E11C9" w14:textId="77777777">
      <w:pPr>
        <w:pStyle w:val="Normal12a"/>
      </w:pPr>
    </w:p>
    <w:p w:rsidR="007172C8" w:rsidRPr="00CC0087" w:rsidP="007172C8" w14:paraId="67F29C5F" w14:textId="77777777">
      <w:pPr>
        <w:pStyle w:val="Normal12a"/>
      </w:pPr>
      <w:r w:rsidRPr="00CC0087">
        <w:rPr>
          <w:b/>
          <w:u w:val="single"/>
        </w:rPr>
        <w:t>VI – Podsumowanie</w:t>
      </w:r>
    </w:p>
    <w:p w:rsidR="007172C8" w:rsidRPr="00CC0087" w:rsidP="007172C8" w14:paraId="1BA92DEB" w14:textId="428CA1D0">
      <w:pPr>
        <w:pStyle w:val="Normal12a"/>
      </w:pPr>
      <w:r w:rsidRPr="00CC0087">
        <w:t>Na posiedzeniu 15 lipca 2026 r. Komisja Prawna uznała – 22 głosami za, przy braku głosów przeciw i 3 głosach wstrzymujących się – że wniosek INL realizuje cele objęte pojęciami „środowisko pracy”, „bezpieczeństwo” i „zdrowie”, o których mowa w art. 153 ust. 1 lit. a) TFUE, a art. 153 ust. 2 lit. b) w związku z art. 153 ust. 1 lit. a) TFUE wydaje się zatem właściwą podstawą prawną.</w:t>
      </w:r>
    </w:p>
    <w:p w:rsidR="00EC3D76" w:rsidRPr="00CC0087" w:rsidP="00EC3D76" w14:paraId="2A2B0A2A" w14:textId="77777777">
      <w:pPr>
        <w:pStyle w:val="Normal12a"/>
        <w:spacing w:after="480"/>
      </w:pPr>
      <w:r w:rsidRPr="00CC0087">
        <w:t>Z wyrazami szacunku</w:t>
      </w:r>
    </w:p>
    <w:p w:rsidR="00426BB2" w:rsidRPr="00CC0087" w:rsidP="00EC3D76" w14:paraId="5A8429CE" w14:textId="102954CB">
      <w:pPr>
        <w:pStyle w:val="Normal12a"/>
      </w:pPr>
      <w:r w:rsidRPr="00CC0087">
        <w:t>Ilhan</w:t>
      </w:r>
      <w:r w:rsidRPr="00CC0087">
        <w:t xml:space="preserve"> </w:t>
      </w:r>
      <w:r w:rsidRPr="00CC0087">
        <w:t>Kyuchyuk</w:t>
      </w:r>
    </w:p>
    <w:p w:rsidR="00426BB2" w:rsidRPr="00CC0087" w14:paraId="618E63A5" w14:textId="77777777">
      <w:pPr>
        <w:widowControl/>
        <w:sectPr w:rsidSect="00CC0087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  <w:docGrid w:linePitch="326"/>
        </w:sectPr>
      </w:pPr>
    </w:p>
    <w:p w:rsidR="00426BB2" w:rsidRPr="00CC0087" w14:paraId="1CA6AE8A" w14:textId="2E91A023">
      <w:pPr>
        <w:widowControl/>
      </w:pPr>
    </w:p>
    <w:p w:rsidR="00426BB2" w:rsidRPr="00CC0087" w:rsidP="002B2C72" w14:paraId="27FDF020" w14:textId="7B92FA2C">
      <w:pPr>
        <w:pStyle w:val="PageHeadingNotTOC"/>
        <w:rPr>
          <w:noProof/>
        </w:rPr>
      </w:pPr>
      <w:bookmarkStart w:id="1" w:name="FootprintPageAL"/>
      <w:r w:rsidRPr="00CC0087">
        <w:t>ZAŁĄCZNIK: WYKAZ PODMIOTÓW, OD KTÓRYCH SPRAWOZDAWCA OTRZYMAŁ INFORMACJE</w:t>
      </w:r>
    </w:p>
    <w:p w:rsidR="00426BB2" w:rsidRPr="00CC0087" w:rsidP="00037518" w14:paraId="53F1D4CA" w14:textId="1FAD3785">
      <w:pPr>
        <w:pStyle w:val="Normal24a"/>
      </w:pPr>
      <w:r w:rsidRPr="00CC0087">
        <w:rPr>
          <w:rStyle w:val="HideTWBExt"/>
        </w:rPr>
        <w:t>&lt;FootprintIntro&gt;</w:t>
      </w:r>
      <w:r w:rsidRPr="00CC0087">
        <w:t>Sprawozdawca komisji opiniodawczej oświadcza na swoją wyłączną odpowiedzialność, że nie ujął w swojej opinii żadnych informacji od przedstawicieli grup interesu objętych zakresem porozumienia międzyinstytucjonalnego w sprawie obowiązkowego rejestru służącego przejrzystości</w:t>
      </w:r>
      <w:r>
        <w:rPr>
          <w:vertAlign w:val="superscript"/>
        </w:rPr>
        <w:footnoteReference w:id="9"/>
      </w:r>
      <w:r w:rsidRPr="00CC0087">
        <w:t xml:space="preserve"> ani od przedstawicieli organów publicznych państw trzecich, w tym ich misji dyplomatycznych i ambasad, których należy wskazać w tym załączniku zgodnie z art. 8 załącznika I do Regulaminu.</w:t>
      </w:r>
      <w:r w:rsidRPr="00CC0087">
        <w:rPr>
          <w:rStyle w:val="HideTWBExt"/>
        </w:rPr>
        <w:t>&lt;/FootprintIntro&gt;</w:t>
      </w:r>
    </w:p>
    <w:p w:rsidR="00426BB2" w:rsidRPr="00CC0087" w:rsidP="00426BB2" w14:paraId="3AF14255" w14:textId="77777777"/>
    <w:bookmarkEnd w:id="1"/>
    <w:p w:rsidR="00426BB2" w:rsidRPr="00CC0087" w:rsidP="00EC3D76" w14:paraId="548A87F3" w14:textId="77777777">
      <w:pPr>
        <w:pStyle w:val="Normal12a"/>
        <w:sectPr w:rsidSect="00426BB2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179A7" w:rsidRPr="00CC0087" w:rsidP="00EC3D76" w14:paraId="35802572" w14:textId="77777777">
      <w:pPr>
        <w:pStyle w:val="Normal12a"/>
      </w:pPr>
    </w:p>
    <w:p w:rsidR="00EC3D76" w:rsidRPr="00CC0087" w:rsidP="00C36610" w14:paraId="7452818C" w14:textId="4086B94A">
      <w:pPr>
        <w:pStyle w:val="PageHeadingNotTOC"/>
      </w:pPr>
      <w:bookmarkStart w:id="2" w:name="RollCallPageAL"/>
      <w:r w:rsidRPr="00CC0087">
        <w:t>GŁOSOWANIE KOŃCOWE W FORMIE GŁOSOWANIA IMIENNEGO</w:t>
      </w:r>
      <w:r w:rsidRPr="00CC0087">
        <w:br/>
        <w:t>W KOMISJI OPINIODAWCZEJ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58431227" w14:textId="77777777" w:rsidTr="008920AC">
        <w:tblPrEx>
          <w:tblW w:w="0" w:type="auto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EC3D76" w:rsidRPr="00CC0087" w:rsidP="003858C5" w14:paraId="1C40DFB5" w14:textId="2F34E97F">
            <w:pPr>
              <w:pStyle w:val="RollCallVotes"/>
            </w:pPr>
            <w:r w:rsidRPr="00CC0087">
              <w:t>22</w:t>
            </w:r>
          </w:p>
        </w:tc>
        <w:tc>
          <w:tcPr>
            <w:tcW w:w="7371" w:type="dxa"/>
            <w:shd w:val="pct10" w:color="000000" w:fill="FFFFFF"/>
          </w:tcPr>
          <w:p w:rsidR="00EC3D76" w:rsidRPr="00CC0087" w:rsidP="003858C5" w14:paraId="7FD2E25D" w14:textId="77777777">
            <w:pPr>
              <w:pStyle w:val="RollCallSymbols14pt"/>
            </w:pPr>
            <w:r w:rsidRPr="00CC0087">
              <w:t>+</w:t>
            </w:r>
          </w:p>
        </w:tc>
      </w:tr>
      <w:tr w14:paraId="6E4F3BA4" w14:textId="77777777" w:rsidTr="008920AC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EC3D76" w:rsidRPr="00CC0087" w:rsidP="003858C5" w14:paraId="201C527D" w14:textId="27D2DC9C">
            <w:pPr>
              <w:pStyle w:val="RollCallTable"/>
            </w:pPr>
            <w:r w:rsidRPr="00CC0087">
              <w:t>ESN</w:t>
            </w:r>
          </w:p>
        </w:tc>
        <w:tc>
          <w:tcPr>
            <w:tcW w:w="7371" w:type="dxa"/>
            <w:shd w:val="clear" w:color="auto" w:fill="FFFFFF"/>
          </w:tcPr>
          <w:p w:rsidR="00EC3D76" w:rsidRPr="00CC0087" w:rsidP="003858C5" w14:paraId="79954399" w14:textId="6AB85A17">
            <w:pPr>
              <w:pStyle w:val="RollCallTable"/>
            </w:pPr>
            <w:r w:rsidRPr="00CC0087">
              <w:t>Mary Khan</w:t>
            </w:r>
          </w:p>
        </w:tc>
      </w:tr>
      <w:tr w14:paraId="12961D89" w14:textId="77777777" w:rsidTr="008920AC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EC3D76" w:rsidRPr="00CC0087" w:rsidP="003858C5" w14:paraId="7D76EDCC" w14:textId="23F7D1A9">
            <w:pPr>
              <w:pStyle w:val="RollCallTable"/>
            </w:pPr>
            <w:r w:rsidRPr="00CC0087">
              <w:t>PPE</w:t>
            </w:r>
          </w:p>
        </w:tc>
        <w:tc>
          <w:tcPr>
            <w:tcW w:w="7371" w:type="dxa"/>
            <w:shd w:val="clear" w:color="auto" w:fill="FFFFFF"/>
          </w:tcPr>
          <w:p w:rsidR="00EC3D76" w:rsidRPr="00CC0087" w:rsidP="003858C5" w14:paraId="568DA23F" w14:textId="7532FF68">
            <w:pPr>
              <w:pStyle w:val="RollCallTable"/>
            </w:pPr>
            <w:r w:rsidRPr="00CC0087">
              <w:t xml:space="preserve">Henrik </w:t>
            </w:r>
            <w:r w:rsidRPr="00CC0087">
              <w:t>Dahl</w:t>
            </w:r>
            <w:r w:rsidRPr="00CC0087">
              <w:t xml:space="preserve">, Angelika </w:t>
            </w:r>
            <w:r w:rsidRPr="00CC0087">
              <w:t>Niebler</w:t>
            </w:r>
            <w:r w:rsidRPr="00CC0087">
              <w:t xml:space="preserve">, Emil </w:t>
            </w:r>
            <w:r w:rsidRPr="00CC0087">
              <w:t>Radev</w:t>
            </w:r>
            <w:r w:rsidRPr="00CC0087">
              <w:t xml:space="preserve">, Sven Simon, Axel </w:t>
            </w:r>
            <w:r w:rsidRPr="00CC0087">
              <w:t>Voss</w:t>
            </w:r>
            <w:r w:rsidRPr="00CC0087">
              <w:t xml:space="preserve">, Marion </w:t>
            </w:r>
            <w:r w:rsidRPr="00CC0087">
              <w:t>Walsmann</w:t>
            </w:r>
            <w:r w:rsidRPr="00CC0087">
              <w:t xml:space="preserve">, Michał </w:t>
            </w:r>
            <w:r w:rsidRPr="00CC0087">
              <w:t>Wawrykiewicz</w:t>
            </w:r>
          </w:p>
        </w:tc>
      </w:tr>
      <w:tr w14:paraId="36B5BE0C" w14:textId="77777777" w:rsidTr="008920AC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EC3D76" w:rsidRPr="00CC0087" w:rsidP="003858C5" w14:paraId="5F67762E" w14:textId="7548A0CE">
            <w:pPr>
              <w:pStyle w:val="RollCallTable"/>
            </w:pPr>
            <w:r w:rsidRPr="00CC0087">
              <w:t>PfE</w:t>
            </w:r>
          </w:p>
        </w:tc>
        <w:tc>
          <w:tcPr>
            <w:tcW w:w="7371" w:type="dxa"/>
            <w:shd w:val="clear" w:color="auto" w:fill="FFFFFF"/>
          </w:tcPr>
          <w:p w:rsidR="00EC3D76" w:rsidRPr="00CC0087" w:rsidP="003858C5" w14:paraId="1F2DAF96" w14:textId="7E4E05DA">
            <w:pPr>
              <w:pStyle w:val="RollCallTable"/>
            </w:pPr>
            <w:r w:rsidRPr="00CC0087">
              <w:t xml:space="preserve">Ton </w:t>
            </w:r>
            <w:r w:rsidRPr="00CC0087">
              <w:t>Diepeveen</w:t>
            </w:r>
            <w:r w:rsidRPr="00CC0087">
              <w:t xml:space="preserve">, Juan Carlos </w:t>
            </w:r>
            <w:r w:rsidRPr="00CC0087">
              <w:t>Girauta</w:t>
            </w:r>
            <w:r w:rsidRPr="00CC0087">
              <w:t xml:space="preserve"> Vidal, Philippe Olivier</w:t>
            </w:r>
          </w:p>
        </w:tc>
      </w:tr>
      <w:tr w14:paraId="429030C4" w14:textId="77777777" w:rsidTr="008920AC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EC3D76" w:rsidRPr="00CC0087" w:rsidP="003858C5" w14:paraId="72E13CE5" w14:textId="30AB9B55">
            <w:pPr>
              <w:pStyle w:val="RollCallTable"/>
            </w:pPr>
            <w:r w:rsidRPr="00CC0087">
              <w:t>Renew</w:t>
            </w:r>
          </w:p>
        </w:tc>
        <w:tc>
          <w:tcPr>
            <w:tcW w:w="7371" w:type="dxa"/>
            <w:shd w:val="clear" w:color="auto" w:fill="FFFFFF"/>
          </w:tcPr>
          <w:p w:rsidR="00EC3D76" w:rsidRPr="00CC0087" w:rsidP="003858C5" w14:paraId="45EA24BD" w14:textId="4272D456">
            <w:pPr>
              <w:pStyle w:val="RollCallTable"/>
            </w:pPr>
            <w:r w:rsidRPr="00CC0087">
              <w:t>Ilhan</w:t>
            </w:r>
            <w:r w:rsidRPr="00CC0087">
              <w:t xml:space="preserve"> </w:t>
            </w:r>
            <w:r w:rsidRPr="00CC0087">
              <w:t>Kyuchyuk</w:t>
            </w:r>
            <w:r w:rsidRPr="00CC0087">
              <w:t xml:space="preserve">, Lukas </w:t>
            </w:r>
            <w:r w:rsidRPr="00CC0087">
              <w:t>Sieper</w:t>
            </w:r>
            <w:r w:rsidRPr="00CC0087">
              <w:t xml:space="preserve">, </w:t>
            </w:r>
            <w:r w:rsidRPr="00CC0087">
              <w:t>Dainius</w:t>
            </w:r>
            <w:r w:rsidRPr="00CC0087">
              <w:t xml:space="preserve"> </w:t>
            </w:r>
            <w:r w:rsidRPr="00CC0087">
              <w:t>Žalimas</w:t>
            </w:r>
          </w:p>
        </w:tc>
      </w:tr>
      <w:tr w14:paraId="00D11E0F" w14:textId="77777777" w:rsidTr="008920AC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EC3D76" w:rsidRPr="00CC0087" w:rsidP="003858C5" w14:paraId="5F62C927" w14:textId="717AD387">
            <w:pPr>
              <w:pStyle w:val="RollCallTable"/>
            </w:pPr>
            <w:r w:rsidRPr="00CC0087">
              <w:t>S&amp;D</w:t>
            </w:r>
          </w:p>
        </w:tc>
        <w:tc>
          <w:tcPr>
            <w:tcW w:w="7371" w:type="dxa"/>
            <w:shd w:val="clear" w:color="auto" w:fill="FFFFFF"/>
          </w:tcPr>
          <w:p w:rsidR="00EC3D76" w:rsidRPr="00CC0087" w:rsidP="003858C5" w14:paraId="6BCBB44F" w14:textId="1011D716">
            <w:pPr>
              <w:pStyle w:val="RollCallTable"/>
            </w:pPr>
            <w:r w:rsidRPr="00CC0087">
              <w:t xml:space="preserve">José </w:t>
            </w:r>
            <w:r w:rsidRPr="00CC0087">
              <w:t>Cepeda</w:t>
            </w:r>
            <w:r w:rsidRPr="00CC0087">
              <w:t xml:space="preserve">, </w:t>
            </w:r>
            <w:r w:rsidRPr="00CC0087">
              <w:t>Matthias</w:t>
            </w:r>
            <w:r w:rsidRPr="00CC0087">
              <w:t xml:space="preserve"> </w:t>
            </w:r>
            <w:r w:rsidRPr="00CC0087">
              <w:t>Ecke</w:t>
            </w:r>
            <w:r w:rsidRPr="00CC0087">
              <w:t xml:space="preserve">, </w:t>
            </w:r>
            <w:r w:rsidRPr="00CC0087">
              <w:t>Marit</w:t>
            </w:r>
            <w:r w:rsidRPr="00CC0087">
              <w:t xml:space="preserve"> </w:t>
            </w:r>
            <w:r w:rsidRPr="00CC0087">
              <w:t>Maij</w:t>
            </w:r>
            <w:r w:rsidRPr="00CC0087">
              <w:t xml:space="preserve">, </w:t>
            </w:r>
            <w:r w:rsidRPr="00CC0087">
              <w:t>René</w:t>
            </w:r>
            <w:r w:rsidRPr="00CC0087">
              <w:t xml:space="preserve"> </w:t>
            </w:r>
            <w:r w:rsidRPr="00CC0087">
              <w:t>Repasi</w:t>
            </w:r>
            <w:r w:rsidRPr="00CC0087">
              <w:t xml:space="preserve">, Krzysztof </w:t>
            </w:r>
            <w:r w:rsidRPr="00CC0087">
              <w:t>Śmiszek</w:t>
            </w:r>
          </w:p>
        </w:tc>
      </w:tr>
      <w:tr w14:paraId="7F1F622B" w14:textId="77777777" w:rsidTr="008920AC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EC3D76" w:rsidRPr="00CC0087" w:rsidP="003858C5" w14:paraId="7825E3C7" w14:textId="72061124">
            <w:pPr>
              <w:pStyle w:val="RollCallTable"/>
            </w:pPr>
            <w:r w:rsidRPr="00CC0087">
              <w:t xml:space="preserve">The </w:t>
            </w:r>
            <w:r w:rsidRPr="00CC0087">
              <w:t>Left</w:t>
            </w:r>
          </w:p>
        </w:tc>
        <w:tc>
          <w:tcPr>
            <w:tcW w:w="7371" w:type="dxa"/>
            <w:shd w:val="clear" w:color="auto" w:fill="FFFFFF"/>
          </w:tcPr>
          <w:p w:rsidR="00EC3D76" w:rsidRPr="00CC0087" w:rsidP="003858C5" w14:paraId="60A04261" w14:textId="6DCC864A">
            <w:pPr>
              <w:pStyle w:val="RollCallTable"/>
            </w:pPr>
            <w:r w:rsidRPr="00CC0087">
              <w:t xml:space="preserve">Mario </w:t>
            </w:r>
            <w:r w:rsidRPr="00CC0087">
              <w:t>Furore</w:t>
            </w:r>
          </w:p>
        </w:tc>
      </w:tr>
      <w:tr w14:paraId="3E1F9834" w14:textId="77777777" w:rsidTr="008920AC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EC3D76" w:rsidRPr="00CC0087" w:rsidP="003858C5" w14:paraId="1D638054" w14:textId="5D1ED2D6">
            <w:pPr>
              <w:pStyle w:val="RollCallTable"/>
            </w:pPr>
            <w:r w:rsidRPr="00CC0087">
              <w:t>Verts</w:t>
            </w:r>
            <w:r w:rsidRPr="00CC0087">
              <w:t>/ALE</w:t>
            </w:r>
          </w:p>
        </w:tc>
        <w:tc>
          <w:tcPr>
            <w:tcW w:w="7371" w:type="dxa"/>
            <w:shd w:val="clear" w:color="auto" w:fill="FFFFFF"/>
          </w:tcPr>
          <w:p w:rsidR="00EC3D76" w:rsidRPr="00CC0087" w:rsidP="003858C5" w14:paraId="0D3ED289" w14:textId="028B54AE">
            <w:pPr>
              <w:pStyle w:val="RollCallTable"/>
            </w:pPr>
            <w:r w:rsidRPr="00CC0087">
              <w:t>Sergey</w:t>
            </w:r>
            <w:r w:rsidRPr="00CC0087">
              <w:t xml:space="preserve"> </w:t>
            </w:r>
            <w:r w:rsidRPr="00CC0087">
              <w:t>Lagodinsky</w:t>
            </w:r>
            <w:r w:rsidRPr="00CC0087">
              <w:t>, Kira Marie Peter-Hansen</w:t>
            </w:r>
          </w:p>
        </w:tc>
      </w:tr>
    </w:tbl>
    <w:p w:rsidR="00EC3D76" w:rsidRPr="00CC0087" w:rsidP="00147FBF" w14:paraId="70AFF48B" w14:textId="77777777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32474CBE" w14:textId="77777777" w:rsidTr="008920AC">
        <w:tblPrEx>
          <w:tblW w:w="0" w:type="auto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EC3D76" w:rsidRPr="00CC0087" w:rsidP="003858C5" w14:paraId="29455CFA" w14:textId="28D6D554">
            <w:pPr>
              <w:pStyle w:val="RollCallVotes"/>
            </w:pPr>
            <w:r w:rsidRPr="00CC0087">
              <w:t>0</w:t>
            </w:r>
          </w:p>
        </w:tc>
        <w:tc>
          <w:tcPr>
            <w:tcW w:w="7371" w:type="dxa"/>
            <w:shd w:val="pct10" w:color="000000" w:fill="FFFFFF"/>
          </w:tcPr>
          <w:p w:rsidR="00EC3D76" w:rsidRPr="00CC0087" w:rsidP="003858C5" w14:paraId="650CAC9F" w14:textId="77777777">
            <w:pPr>
              <w:pStyle w:val="RollCallSymbols14pt"/>
            </w:pPr>
            <w:r w:rsidRPr="00CC0087">
              <w:t>-</w:t>
            </w:r>
          </w:p>
        </w:tc>
      </w:tr>
      <w:tr w14:paraId="76CE4ADA" w14:textId="77777777" w:rsidTr="008920AC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EC3D76" w:rsidRPr="00CC0087" w:rsidP="003858C5" w14:paraId="7457EDF6" w14:textId="363C5122">
            <w:pPr>
              <w:pStyle w:val="RollCallTable"/>
            </w:pPr>
          </w:p>
        </w:tc>
        <w:tc>
          <w:tcPr>
            <w:tcW w:w="7371" w:type="dxa"/>
            <w:shd w:val="clear" w:color="auto" w:fill="FFFFFF"/>
          </w:tcPr>
          <w:p w:rsidR="00EC3D76" w:rsidRPr="00CC0087" w:rsidP="003858C5" w14:paraId="6C50E782" w14:textId="4301487D">
            <w:pPr>
              <w:pStyle w:val="RollCallTable"/>
            </w:pPr>
          </w:p>
        </w:tc>
      </w:tr>
    </w:tbl>
    <w:p w:rsidR="00EC3D76" w:rsidRPr="00CC0087" w:rsidP="00147FBF" w14:paraId="631A8B4C" w14:textId="77777777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692952CE" w14:textId="77777777" w:rsidTr="008920AC">
        <w:tblPrEx>
          <w:tblW w:w="0" w:type="auto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EC3D76" w:rsidRPr="00CC0087" w:rsidP="003858C5" w14:paraId="0C5ED76D" w14:textId="5106004F">
            <w:pPr>
              <w:pStyle w:val="RollCallVotes"/>
            </w:pPr>
            <w:r w:rsidRPr="00CC0087">
              <w:t>3</w:t>
            </w:r>
          </w:p>
        </w:tc>
        <w:tc>
          <w:tcPr>
            <w:tcW w:w="7371" w:type="dxa"/>
            <w:shd w:val="pct10" w:color="000000" w:fill="FFFFFF"/>
          </w:tcPr>
          <w:p w:rsidR="00EC3D76" w:rsidRPr="00CC0087" w:rsidP="003858C5" w14:paraId="2D7B2AE5" w14:textId="77777777">
            <w:pPr>
              <w:pStyle w:val="RollCallSymbols14pt"/>
            </w:pPr>
            <w:r w:rsidRPr="00CC0087">
              <w:t>0</w:t>
            </w:r>
          </w:p>
        </w:tc>
      </w:tr>
      <w:tr w14:paraId="7C6CF5DC" w14:textId="77777777" w:rsidTr="008920AC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EC3D76" w:rsidRPr="00CC0087" w:rsidP="003858C5" w14:paraId="715A8AD7" w14:textId="6DD99AC5">
            <w:pPr>
              <w:pStyle w:val="RollCallTable"/>
            </w:pPr>
            <w:r w:rsidRPr="00CC0087">
              <w:t>ECR</w:t>
            </w:r>
          </w:p>
        </w:tc>
        <w:tc>
          <w:tcPr>
            <w:tcW w:w="7371" w:type="dxa"/>
            <w:shd w:val="clear" w:color="auto" w:fill="FFFFFF"/>
          </w:tcPr>
          <w:p w:rsidR="00EC3D76" w:rsidRPr="00CC0087" w:rsidP="003858C5" w14:paraId="398D4A6C" w14:textId="14850226">
            <w:pPr>
              <w:pStyle w:val="RollCallTable"/>
            </w:pPr>
            <w:r w:rsidRPr="00CC0087">
              <w:t>Tobiasz Bocheński, Mario Mantovani, Dominik Tarczyński</w:t>
            </w:r>
          </w:p>
        </w:tc>
      </w:tr>
    </w:tbl>
    <w:p w:rsidR="00EC3D76" w:rsidRPr="00CC0087" w:rsidP="00147FBF" w14:paraId="7B20F6F3" w14:textId="77777777">
      <w:pPr>
        <w:pStyle w:val="Normal12a"/>
      </w:pPr>
    </w:p>
    <w:p w:rsidR="00EC3D76" w:rsidRPr="00CC0087" w:rsidP="00B735E3" w14:paraId="3AAEB633" w14:textId="44A0B4EB">
      <w:r w:rsidRPr="00CC0087">
        <w:t>Objaśnienie używanych znaków:</w:t>
      </w:r>
    </w:p>
    <w:p w:rsidR="00EC3D76" w:rsidRPr="00CC0087" w:rsidP="003858C5" w14:paraId="5B9087FC" w14:textId="709590A0">
      <w:pPr>
        <w:pStyle w:val="RollCallTabs"/>
      </w:pPr>
      <w:r w:rsidRPr="00CC0087">
        <w:t>+</w:t>
      </w:r>
      <w:r w:rsidRPr="00CC0087">
        <w:tab/>
        <w:t>:</w:t>
      </w:r>
      <w:r w:rsidRPr="00CC0087">
        <w:tab/>
        <w:t>za</w:t>
      </w:r>
    </w:p>
    <w:p w:rsidR="00EC3D76" w:rsidRPr="00CC0087" w:rsidP="003858C5" w14:paraId="52BDB6FF" w14:textId="31155BB8">
      <w:pPr>
        <w:pStyle w:val="RollCallTabs"/>
      </w:pPr>
      <w:r w:rsidRPr="00CC0087">
        <w:t>-</w:t>
      </w:r>
      <w:r w:rsidRPr="00CC0087">
        <w:tab/>
        <w:t>:</w:t>
      </w:r>
      <w:r w:rsidRPr="00CC0087">
        <w:tab/>
        <w:t>przeciw</w:t>
      </w:r>
    </w:p>
    <w:p w:rsidR="00EC3D76" w:rsidRPr="00CC0087" w:rsidP="003858C5" w14:paraId="5322366B" w14:textId="2C925195">
      <w:pPr>
        <w:pStyle w:val="RollCallTabs"/>
      </w:pPr>
      <w:r w:rsidRPr="00CC0087">
        <w:t>0</w:t>
      </w:r>
      <w:r w:rsidRPr="00CC0087">
        <w:tab/>
        <w:t>:</w:t>
      </w:r>
      <w:r w:rsidRPr="00CC0087">
        <w:tab/>
        <w:t>wstrzymało się</w:t>
      </w:r>
    </w:p>
    <w:bookmarkEnd w:id="2"/>
    <w:p w:rsidR="009D564F" w:rsidRPr="00CC0087" w:rsidP="00EC3D76" w14:paraId="1B44AE89" w14:textId="77777777"/>
    <w:sectPr w:rsidSect="00426BB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Warnock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087" w:rsidRPr="00CC0087" w:rsidP="00CC0087" w14:paraId="2A5BBFEE" w14:textId="77777777">
    <w:pPr>
      <w:pStyle w:val="EPFooter"/>
    </w:pPr>
    <w:r w:rsidRPr="00CC0087">
      <w:t>PE</w:t>
    </w:r>
    <w:r w:rsidRPr="00CC0087">
      <w:rPr>
        <w:rStyle w:val="HideTWBExt"/>
      </w:rPr>
      <w:t>&lt;NoPE&gt;</w:t>
    </w:r>
    <w:r w:rsidRPr="00CC0087">
      <w:t>791.076</w:t>
    </w:r>
    <w:r w:rsidRPr="00CC0087">
      <w:rPr>
        <w:rStyle w:val="HideTWBExt"/>
      </w:rPr>
      <w:t>&lt;/NoPE&gt;&lt;Version&gt;</w:t>
    </w:r>
    <w:r w:rsidRPr="00CC0087">
      <w:t>v02-00</w:t>
    </w:r>
    <w:r w:rsidRPr="00CC0087">
      <w:rPr>
        <w:rStyle w:val="HideTWBExt"/>
      </w:rPr>
      <w:t>&lt;/Version&gt;</w:t>
    </w:r>
    <w:r w:rsidRPr="00CC0087">
      <w:tab/>
    </w:r>
    <w:r w:rsidRPr="00CC0087">
      <w:fldChar w:fldCharType="begin"/>
    </w:r>
    <w:r w:rsidRPr="00CC0087">
      <w:instrText xml:space="preserve"> PAGE  \* MERGEFORMAT </w:instrText>
    </w:r>
    <w:r w:rsidRPr="00CC0087">
      <w:fldChar w:fldCharType="separate"/>
    </w:r>
    <w:r w:rsidRPr="00CC0087">
      <w:rPr>
        <w:noProof/>
      </w:rPr>
      <w:t>6</w:t>
    </w:r>
    <w:r w:rsidRPr="00CC0087">
      <w:fldChar w:fldCharType="end"/>
    </w:r>
    <w:r w:rsidRPr="00CC0087"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CC0087">
      <w:rPr>
        <w:noProof/>
      </w:rPr>
      <w:t>9</w:t>
    </w:r>
    <w:r w:rsidRPr="00CC0087">
      <w:rPr>
        <w:noProof/>
      </w:rPr>
      <w:fldChar w:fldCharType="end"/>
    </w:r>
    <w:r w:rsidRPr="00CC0087">
      <w:tab/>
    </w:r>
    <w:r w:rsidRPr="00CC0087">
      <w:rPr>
        <w:rStyle w:val="HideTWBExt"/>
      </w:rPr>
      <w:t>&lt;PathFdR&gt;</w:t>
    </w:r>
    <w:r w:rsidRPr="00CC0087">
      <w:t>AL\1349553PL.docx</w:t>
    </w:r>
    <w:r w:rsidRPr="00CC0087">
      <w:rPr>
        <w:rStyle w:val="HideTWBExt"/>
      </w:rPr>
      <w:t>&lt;/PathFdR&gt;</w:t>
    </w:r>
  </w:p>
  <w:p w:rsidR="00000C7D" w:rsidRPr="00CC0087" w:rsidP="00CC0087" w14:paraId="2EA44AC1" w14:textId="39894741">
    <w:pPr>
      <w:pStyle w:val="EPFooter2"/>
    </w:pPr>
    <w:r w:rsidRPr="00CC0087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087" w:rsidRPr="00CC0087" w:rsidP="00CC0087" w14:paraId="6DD28B2D" w14:textId="77777777">
    <w:pPr>
      <w:pStyle w:val="EPFooter"/>
    </w:pPr>
    <w:r w:rsidRPr="00CC0087">
      <w:rPr>
        <w:rStyle w:val="HideTWBExt"/>
      </w:rPr>
      <w:t>&lt;PathFdR&gt;</w:t>
    </w:r>
    <w:r w:rsidRPr="00CC0087">
      <w:t>AL\1349553PL.docx</w:t>
    </w:r>
    <w:r w:rsidRPr="00CC0087">
      <w:rPr>
        <w:rStyle w:val="HideTWBExt"/>
      </w:rPr>
      <w:t>&lt;/PathFdR&gt;</w:t>
    </w:r>
    <w:r w:rsidRPr="00CC0087">
      <w:tab/>
    </w:r>
    <w:r w:rsidRPr="00CC0087">
      <w:fldChar w:fldCharType="begin"/>
    </w:r>
    <w:r w:rsidRPr="00CC0087">
      <w:instrText xml:space="preserve"> PAGE  \* MERGEFORMAT </w:instrText>
    </w:r>
    <w:r w:rsidRPr="00CC0087">
      <w:fldChar w:fldCharType="separate"/>
    </w:r>
    <w:r w:rsidRPr="00CC0087">
      <w:rPr>
        <w:noProof/>
      </w:rPr>
      <w:t>5</w:t>
    </w:r>
    <w:r w:rsidRPr="00CC0087">
      <w:fldChar w:fldCharType="end"/>
    </w:r>
    <w:r w:rsidRPr="00CC0087"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CC0087">
      <w:rPr>
        <w:noProof/>
      </w:rPr>
      <w:t>9</w:t>
    </w:r>
    <w:r w:rsidRPr="00CC0087">
      <w:rPr>
        <w:noProof/>
      </w:rPr>
      <w:fldChar w:fldCharType="end"/>
    </w:r>
    <w:r w:rsidRPr="00CC0087">
      <w:tab/>
      <w:t>PE</w:t>
    </w:r>
    <w:r w:rsidRPr="00CC0087">
      <w:rPr>
        <w:rStyle w:val="HideTWBExt"/>
      </w:rPr>
      <w:t>&lt;NoPE&gt;</w:t>
    </w:r>
    <w:r w:rsidRPr="00CC0087">
      <w:t>791.076</w:t>
    </w:r>
    <w:r w:rsidRPr="00CC0087">
      <w:rPr>
        <w:rStyle w:val="HideTWBExt"/>
      </w:rPr>
      <w:t>&lt;/NoPE&gt;&lt;Version&gt;</w:t>
    </w:r>
    <w:r w:rsidRPr="00CC0087">
      <w:t>v02-00</w:t>
    </w:r>
    <w:r w:rsidRPr="00CC0087">
      <w:rPr>
        <w:rStyle w:val="HideTWBExt"/>
      </w:rPr>
      <w:t>&lt;/Version&gt;</w:t>
    </w:r>
  </w:p>
  <w:p w:rsidR="00000C7D" w:rsidRPr="00CC0087" w:rsidP="00CC0087" w14:paraId="23754F92" w14:textId="7CE8652F">
    <w:pPr>
      <w:pStyle w:val="EPFooter2"/>
    </w:pPr>
    <w:r w:rsidRPr="00CC0087">
      <w:tab/>
    </w:r>
    <w:r w:rsidRPr="00CC0087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087" w:rsidRPr="00CC0087" w:rsidP="00CC0087" w14:paraId="3036308C" w14:textId="77777777">
    <w:pPr>
      <w:pStyle w:val="EPFooter"/>
    </w:pPr>
    <w:r w:rsidRPr="00CC0087">
      <w:rPr>
        <w:rStyle w:val="HideTWBExt"/>
      </w:rPr>
      <w:t>&lt;PathFdR&gt;</w:t>
    </w:r>
    <w:r w:rsidRPr="00CC0087">
      <w:t>AL\1349553PL.docx</w:t>
    </w:r>
    <w:r w:rsidRPr="00CC0087">
      <w:rPr>
        <w:rStyle w:val="HideTWBExt"/>
      </w:rPr>
      <w:t>&lt;/PathFdR&gt;</w:t>
    </w:r>
    <w:r w:rsidRPr="00CC0087">
      <w:tab/>
    </w:r>
    <w:r w:rsidRPr="00CC0087">
      <w:tab/>
      <w:t>PE</w:t>
    </w:r>
    <w:r w:rsidRPr="00CC0087">
      <w:rPr>
        <w:rStyle w:val="HideTWBExt"/>
      </w:rPr>
      <w:t>&lt;NoPE&gt;</w:t>
    </w:r>
    <w:r w:rsidRPr="00CC0087">
      <w:t>791.076</w:t>
    </w:r>
    <w:r w:rsidRPr="00CC0087">
      <w:rPr>
        <w:rStyle w:val="HideTWBExt"/>
      </w:rPr>
      <w:t>&lt;/NoPE&gt;&lt;Version&gt;</w:t>
    </w:r>
    <w:r w:rsidRPr="00CC0087">
      <w:t>v02-00</w:t>
    </w:r>
    <w:r w:rsidRPr="00CC0087">
      <w:rPr>
        <w:rStyle w:val="HideTWBExt"/>
      </w:rPr>
      <w:t>&lt;/Version&gt;</w:t>
    </w:r>
  </w:p>
  <w:p w:rsidR="00000C7D" w:rsidRPr="00CC0087" w:rsidP="00CC0087" w14:paraId="05CDD28A" w14:textId="2140ECAF">
    <w:pPr>
      <w:pStyle w:val="EPFooter2"/>
    </w:pPr>
    <w:r w:rsidRPr="00CC0087">
      <w:t>PL</w:t>
    </w:r>
    <w:r w:rsidRPr="00CC0087">
      <w:tab/>
    </w:r>
    <w:r w:rsidRPr="00CC0087">
      <w:rPr>
        <w:b w:val="0"/>
        <w:i/>
        <w:color w:val="C0C0C0"/>
        <w:sz w:val="22"/>
      </w:rPr>
      <w:t>Zjednoczona w różnorodności</w:t>
    </w:r>
    <w:r w:rsidRPr="00CC0087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F232F3" w:rsidRPr="00CC0087" w14:paraId="2822F82F" w14:textId="77777777">
      <w:r w:rsidRPr="00CC0087">
        <w:separator/>
      </w:r>
    </w:p>
  </w:footnote>
  <w:footnote w:type="continuationSeparator" w:id="1">
    <w:p w:rsidR="00F232F3" w:rsidRPr="00CC0087" w14:paraId="3DDA9C34" w14:textId="77777777">
      <w:r w:rsidRPr="00CC0087">
        <w:continuationSeparator/>
      </w:r>
    </w:p>
  </w:footnote>
  <w:footnote w:id="2">
    <w:p w:rsidR="007172C8" w:rsidRPr="00047C44" w:rsidP="007172C8" w14:paraId="0CFE8D05" w14:textId="77777777">
      <w:pPr>
        <w:ind w:left="284" w:hanging="284"/>
        <w:rPr>
          <w:sz w:val="20"/>
        </w:rPr>
      </w:pPr>
      <w:r w:rsidRPr="00CC0087">
        <w:rPr>
          <w:sz w:val="20"/>
          <w:vertAlign w:val="superscript"/>
        </w:rPr>
        <w:footnoteRef/>
      </w:r>
      <w:r w:rsidRPr="00CC0087">
        <w:tab/>
      </w:r>
      <w:r w:rsidRPr="00047C44">
        <w:rPr>
          <w:sz w:val="20"/>
        </w:rPr>
        <w:t>Opinia 2/00 („protokół kartageński”), ECLI:EU:C:2001:664, pkt 5.</w:t>
      </w:r>
    </w:p>
  </w:footnote>
  <w:footnote w:id="3">
    <w:p w:rsidR="007172C8" w:rsidRPr="00CC0087" w:rsidP="007172C8" w14:paraId="1C74AD45" w14:textId="77777777">
      <w:pPr>
        <w:ind w:left="284" w:hanging="284"/>
        <w:rPr>
          <w:sz w:val="20"/>
        </w:rPr>
      </w:pPr>
      <w:r w:rsidRPr="00CC0087">
        <w:rPr>
          <w:sz w:val="20"/>
          <w:vertAlign w:val="superscript"/>
        </w:rPr>
        <w:footnoteRef/>
      </w:r>
      <w:r w:rsidRPr="00CC0087">
        <w:rPr>
          <w:sz w:val="20"/>
        </w:rPr>
        <w:t xml:space="preserve"> </w:t>
      </w:r>
      <w:r w:rsidRPr="00CC0087">
        <w:rPr>
          <w:sz w:val="20"/>
        </w:rPr>
        <w:tab/>
        <w:t>Sprawa C-300/89, Komisja przeciwko Radzie („</w:t>
      </w:r>
      <w:r w:rsidRPr="00CC0087">
        <w:rPr>
          <w:sz w:val="20"/>
        </w:rPr>
        <w:t>Ditlenek</w:t>
      </w:r>
      <w:r w:rsidRPr="00CC0087">
        <w:rPr>
          <w:sz w:val="20"/>
        </w:rPr>
        <w:t xml:space="preserve"> tytanu”), ECLI:</w:t>
      </w:r>
      <w:r w:rsidRPr="00CC0087">
        <w:rPr>
          <w:rStyle w:val="outputecliaff"/>
          <w:sz w:val="20"/>
        </w:rPr>
        <w:t xml:space="preserve">EU:C:1991:244, </w:t>
      </w:r>
      <w:r w:rsidRPr="00CC0087">
        <w:rPr>
          <w:sz w:val="20"/>
        </w:rPr>
        <w:t>pkt 10.</w:t>
      </w:r>
    </w:p>
  </w:footnote>
  <w:footnote w:id="4">
    <w:p w:rsidR="007172C8" w:rsidRPr="00CC0087" w:rsidP="007172C8" w14:paraId="4327E93D" w14:textId="77777777">
      <w:pPr>
        <w:ind w:left="284" w:hanging="284"/>
        <w:rPr>
          <w:sz w:val="20"/>
        </w:rPr>
      </w:pPr>
      <w:r w:rsidRPr="00CC0087">
        <w:rPr>
          <w:sz w:val="20"/>
          <w:vertAlign w:val="superscript"/>
        </w:rPr>
        <w:footnoteRef/>
      </w:r>
      <w:r w:rsidRPr="00CC0087">
        <w:rPr>
          <w:sz w:val="20"/>
        </w:rPr>
        <w:t xml:space="preserve"> </w:t>
      </w:r>
      <w:r w:rsidRPr="00CC0087">
        <w:rPr>
          <w:sz w:val="20"/>
        </w:rPr>
        <w:tab/>
        <w:t xml:space="preserve">Sprawa C-137/12, </w:t>
      </w:r>
      <w:r w:rsidRPr="00CC0087">
        <w:rPr>
          <w:rStyle w:val="affairetitle"/>
          <w:sz w:val="20"/>
        </w:rPr>
        <w:t>Komisja przeciwko Radzie, ECLI:</w:t>
      </w:r>
      <w:r w:rsidRPr="00CC0087">
        <w:rPr>
          <w:rStyle w:val="outputecliaff"/>
          <w:sz w:val="20"/>
        </w:rPr>
        <w:t xml:space="preserve">EU:C:2013:675, </w:t>
      </w:r>
      <w:r w:rsidRPr="00CC0087">
        <w:rPr>
          <w:sz w:val="20"/>
        </w:rPr>
        <w:t>pkt 53 oraz przytoczone tam orzecznictwo.</w:t>
      </w:r>
    </w:p>
  </w:footnote>
  <w:footnote w:id="5">
    <w:p w:rsidR="007172C8" w:rsidRPr="00CC0087" w:rsidP="007172C8" w14:paraId="6D2B9356" w14:textId="77777777">
      <w:pPr>
        <w:ind w:left="284" w:hanging="284"/>
        <w:rPr>
          <w:sz w:val="20"/>
        </w:rPr>
      </w:pPr>
      <w:r w:rsidRPr="00CC0087">
        <w:rPr>
          <w:sz w:val="20"/>
          <w:vertAlign w:val="superscript"/>
        </w:rPr>
        <w:footnoteRef/>
      </w:r>
      <w:r w:rsidRPr="00CC0087">
        <w:rPr>
          <w:sz w:val="20"/>
        </w:rPr>
        <w:t xml:space="preserve"> </w:t>
      </w:r>
      <w:r w:rsidRPr="00CC0087">
        <w:rPr>
          <w:sz w:val="20"/>
        </w:rPr>
        <w:tab/>
        <w:t xml:space="preserve">Sprawa C-300/89, pkt 13 i 17; sprawa C-42/97, </w:t>
      </w:r>
      <w:r w:rsidRPr="00CC0087">
        <w:rPr>
          <w:rStyle w:val="affairetitle"/>
          <w:sz w:val="20"/>
        </w:rPr>
        <w:t>Parlament przeciwko Radzie, ECLI:</w:t>
      </w:r>
      <w:r w:rsidRPr="00CC0087">
        <w:rPr>
          <w:rStyle w:val="outputecliaff"/>
          <w:sz w:val="20"/>
        </w:rPr>
        <w:t>EU:C:1999:</w:t>
      </w:r>
      <w:r w:rsidRPr="00CC0087">
        <w:rPr>
          <w:rStyle w:val="outputecliaff"/>
          <w:sz w:val="20"/>
        </w:rPr>
        <w:t xml:space="preserve">81, </w:t>
      </w:r>
      <w:r w:rsidRPr="00CC0087">
        <w:rPr>
          <w:sz w:val="20"/>
        </w:rPr>
        <w:t xml:space="preserve"> pkt</w:t>
      </w:r>
      <w:r w:rsidRPr="00CC0087">
        <w:rPr>
          <w:sz w:val="20"/>
        </w:rPr>
        <w:t xml:space="preserve"> 38; Opinia 2/00, pkt 23; sprawa C-94/03, </w:t>
      </w:r>
      <w:r w:rsidRPr="00CC0087">
        <w:rPr>
          <w:rStyle w:val="affairetitle"/>
          <w:sz w:val="20"/>
        </w:rPr>
        <w:t>Komisja przeciwko Radzie („Konwencja rotterdamska”), ECLI:</w:t>
      </w:r>
      <w:r w:rsidRPr="00CC0087">
        <w:rPr>
          <w:rStyle w:val="outputecliaff"/>
          <w:sz w:val="20"/>
        </w:rPr>
        <w:t>EU:C:2006:2</w:t>
      </w:r>
      <w:r w:rsidRPr="00CC0087">
        <w:rPr>
          <w:sz w:val="20"/>
        </w:rPr>
        <w:t xml:space="preserve"> oraz sprawa C-178/03, </w:t>
      </w:r>
      <w:r w:rsidRPr="00CC0087">
        <w:rPr>
          <w:rStyle w:val="affairetitle"/>
          <w:sz w:val="20"/>
        </w:rPr>
        <w:t>Komisja przeciwko Parlamentowi i Radzie, ECLI:</w:t>
      </w:r>
      <w:r w:rsidRPr="00CC0087">
        <w:rPr>
          <w:rStyle w:val="outputecliaff"/>
          <w:sz w:val="20"/>
        </w:rPr>
        <w:t>EU:C:2006:4,</w:t>
      </w:r>
      <w:r w:rsidRPr="00CC0087">
        <w:rPr>
          <w:sz w:val="20"/>
        </w:rPr>
        <w:t xml:space="preserve"> pkt 36 i 43.</w:t>
      </w:r>
    </w:p>
  </w:footnote>
  <w:footnote w:id="6">
    <w:p w:rsidR="007172C8" w:rsidRPr="00CC0087" w:rsidP="007172C8" w14:paraId="3BC043B4" w14:textId="77777777">
      <w:pPr>
        <w:ind w:left="284" w:hanging="284"/>
      </w:pPr>
      <w:r w:rsidRPr="00CC0087">
        <w:rPr>
          <w:sz w:val="20"/>
          <w:vertAlign w:val="superscript"/>
        </w:rPr>
        <w:footnoteRef/>
      </w:r>
      <w:r w:rsidRPr="00CC0087">
        <w:rPr>
          <w:sz w:val="20"/>
        </w:rPr>
        <w:t xml:space="preserve"> </w:t>
      </w:r>
      <w:r w:rsidRPr="00CC0087">
        <w:rPr>
          <w:sz w:val="20"/>
        </w:rPr>
        <w:tab/>
        <w:t>Sprawa C-300/89, pkt 17–25; sprawa C-268/94, Portugalia/Rada, ECLI:EU:C:1996:461.</w:t>
      </w:r>
    </w:p>
  </w:footnote>
  <w:footnote w:id="7">
    <w:p w:rsidR="007172C8" w:rsidRPr="00047C44" w:rsidP="007172C8" w14:paraId="59F214CD" w14:textId="77777777">
      <w:pPr>
        <w:ind w:left="284" w:hanging="284"/>
        <w:rPr>
          <w:sz w:val="20"/>
        </w:rPr>
      </w:pPr>
      <w:r w:rsidRPr="00047C44">
        <w:rPr>
          <w:vertAlign w:val="superscript"/>
        </w:rPr>
        <w:footnoteRef/>
      </w:r>
      <w:r w:rsidRPr="00CC0087">
        <w:t xml:space="preserve"> </w:t>
      </w:r>
      <w:r w:rsidRPr="00CC0087">
        <w:tab/>
      </w:r>
      <w:r w:rsidRPr="00047C44">
        <w:rPr>
          <w:sz w:val="20"/>
        </w:rPr>
        <w:t>Wyrok z 12 listopada 1996 r., Zjednoczone Królestwo przeciwko Radzie, C-84/94, ECLI:EU:C:1996:431.</w:t>
      </w:r>
    </w:p>
  </w:footnote>
  <w:footnote w:id="8">
    <w:p w:rsidR="007172C8" w:rsidRPr="00047C44" w:rsidP="007172C8" w14:paraId="3714D018" w14:textId="77777777">
      <w:pPr>
        <w:ind w:left="284" w:hanging="284"/>
        <w:rPr>
          <w:sz w:val="20"/>
        </w:rPr>
      </w:pPr>
      <w:r w:rsidRPr="00047C44">
        <w:rPr>
          <w:vertAlign w:val="superscript"/>
        </w:rPr>
        <w:footnoteRef/>
      </w:r>
      <w:r w:rsidRPr="00CC0087">
        <w:tab/>
      </w:r>
      <w:r w:rsidRPr="00047C44">
        <w:rPr>
          <w:sz w:val="20"/>
        </w:rPr>
        <w:t xml:space="preserve">Dz.U. L 183 z </w:t>
      </w:r>
      <w:r w:rsidRPr="00047C44">
        <w:rPr>
          <w:sz w:val="20"/>
        </w:rPr>
        <w:t>29.6.1989</w:t>
      </w:r>
      <w:r w:rsidRPr="00047C44">
        <w:rPr>
          <w:sz w:val="20"/>
        </w:rPr>
        <w:t>, s. 1.</w:t>
      </w:r>
    </w:p>
  </w:footnote>
  <w:footnote w:id="9">
    <w:p w:rsidR="00426BB2" w:rsidRPr="00585A4A" w14:paraId="5337B991" w14:textId="5FED43AF">
      <w:pPr>
        <w:rPr>
          <w:sz w:val="20"/>
        </w:rPr>
      </w:pPr>
      <w:r w:rsidRPr="00585A4A">
        <w:rPr>
          <w:vertAlign w:val="superscript"/>
        </w:rPr>
        <w:footnoteRef/>
      </w:r>
      <w:r w:rsidRPr="00CC0087">
        <w:t xml:space="preserve"> </w:t>
      </w:r>
      <w:r w:rsidRPr="00585A4A">
        <w:rPr>
          <w:sz w:val="20"/>
        </w:rPr>
        <w:t xml:space="preserve">Porozumienie międzyinstytucjonalne z 20 maja 2021 r. pomiędzy Parlamentem Europejskim, Radą Unii Europejskiej i Komisją Europejską w sprawie obowiązkowego rejestru służącego przejrzystości (Dz.U. L 207 z </w:t>
      </w:r>
      <w:r w:rsidRPr="00585A4A">
        <w:rPr>
          <w:sz w:val="20"/>
        </w:rPr>
        <w:t>11.6.2021</w:t>
      </w:r>
      <w:r w:rsidRPr="00585A4A">
        <w:rPr>
          <w:sz w:val="20"/>
        </w:rPr>
        <w:t xml:space="preserve">, s. 1, ELI: </w:t>
      </w:r>
      <w:hyperlink r:id="rId1" w:tooltip="http://data.europa.eu/eli/agree_interinstit/2021/611/oj" w:history="1">
        <w:r w:rsidRPr="00585A4A">
          <w:rPr>
            <w:rStyle w:val="Hyperlink"/>
            <w:sz w:val="20"/>
          </w:rPr>
          <w:t>http://data.europa.eu/eli/agree_interinstit/2021/611/oj</w:t>
        </w:r>
      </w:hyperlink>
      <w:r w:rsidRPr="00585A4A">
        <w:rPr>
          <w:sz w:val="20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C44" w14:paraId="096E1AF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C44" w14:paraId="526E49F6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C44" w14:paraId="7C7C446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640A28"/>
    <w:multiLevelType w:val="singleLevel"/>
    <w:tmpl w:val="A01CE988"/>
    <w:lvl w:ilvl="0">
      <w:start w:val="35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06495604"/>
    <w:multiLevelType w:val="multilevel"/>
    <w:tmpl w:val="B8A4F914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  <w:rPr>
        <w:i w:val="0"/>
        <w:iCs w:val="0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2">
    <w:nsid w:val="3A866D9D"/>
    <w:multiLevelType w:val="singleLevel"/>
    <w:tmpl w:val="88A23CC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4C092F15"/>
    <w:multiLevelType w:val="singleLevel"/>
    <w:tmpl w:val="08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3"/>
  </w:num>
  <w:num w:numId="43">
    <w:abstractNumId w:val="12"/>
  </w:num>
  <w:num w:numId="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2F3"/>
    <w:rsid w:val="00000C7D"/>
    <w:rsid w:val="0000696F"/>
    <w:rsid w:val="00035402"/>
    <w:rsid w:val="00037518"/>
    <w:rsid w:val="00047C44"/>
    <w:rsid w:val="000C3F41"/>
    <w:rsid w:val="0012665B"/>
    <w:rsid w:val="001422AE"/>
    <w:rsid w:val="00147FBF"/>
    <w:rsid w:val="001701D6"/>
    <w:rsid w:val="001D1646"/>
    <w:rsid w:val="00242B20"/>
    <w:rsid w:val="00250DDD"/>
    <w:rsid w:val="002B2C72"/>
    <w:rsid w:val="003001CD"/>
    <w:rsid w:val="00332170"/>
    <w:rsid w:val="003666DE"/>
    <w:rsid w:val="003763A3"/>
    <w:rsid w:val="003858C5"/>
    <w:rsid w:val="003B144E"/>
    <w:rsid w:val="003C6D88"/>
    <w:rsid w:val="00426BB2"/>
    <w:rsid w:val="0043791A"/>
    <w:rsid w:val="00463119"/>
    <w:rsid w:val="00482DA5"/>
    <w:rsid w:val="00483D89"/>
    <w:rsid w:val="00493031"/>
    <w:rsid w:val="004D0D33"/>
    <w:rsid w:val="004D0D4E"/>
    <w:rsid w:val="004E156C"/>
    <w:rsid w:val="004E5B27"/>
    <w:rsid w:val="004F676F"/>
    <w:rsid w:val="00501E47"/>
    <w:rsid w:val="00585A4A"/>
    <w:rsid w:val="00595C9D"/>
    <w:rsid w:val="005A767B"/>
    <w:rsid w:val="00655869"/>
    <w:rsid w:val="007172C8"/>
    <w:rsid w:val="007179A7"/>
    <w:rsid w:val="007829F6"/>
    <w:rsid w:val="007E55EB"/>
    <w:rsid w:val="007E6351"/>
    <w:rsid w:val="00802D65"/>
    <w:rsid w:val="008249C6"/>
    <w:rsid w:val="0084209A"/>
    <w:rsid w:val="00853AFA"/>
    <w:rsid w:val="0089677B"/>
    <w:rsid w:val="008A7815"/>
    <w:rsid w:val="008E2161"/>
    <w:rsid w:val="008F7F7D"/>
    <w:rsid w:val="009957FA"/>
    <w:rsid w:val="009D564F"/>
    <w:rsid w:val="009F796C"/>
    <w:rsid w:val="00A04228"/>
    <w:rsid w:val="00A37F67"/>
    <w:rsid w:val="00AC0580"/>
    <w:rsid w:val="00AC0BEF"/>
    <w:rsid w:val="00AE6929"/>
    <w:rsid w:val="00B24A79"/>
    <w:rsid w:val="00B34714"/>
    <w:rsid w:val="00B735E3"/>
    <w:rsid w:val="00C127ED"/>
    <w:rsid w:val="00C36610"/>
    <w:rsid w:val="00C53DA0"/>
    <w:rsid w:val="00C85D0F"/>
    <w:rsid w:val="00CA76DD"/>
    <w:rsid w:val="00CC0087"/>
    <w:rsid w:val="00CE1655"/>
    <w:rsid w:val="00D07CDA"/>
    <w:rsid w:val="00D478EA"/>
    <w:rsid w:val="00D77B8C"/>
    <w:rsid w:val="00D91AC3"/>
    <w:rsid w:val="00D92A83"/>
    <w:rsid w:val="00E71F4C"/>
    <w:rsid w:val="00EC3D76"/>
    <w:rsid w:val="00F05131"/>
    <w:rsid w:val="00F232F3"/>
    <w:rsid w:val="00F501D2"/>
    <w:rsid w:val="00F70D50"/>
    <w:rsid w:val="00FD6D4B"/>
  </w:rsids>
  <w:docVars>
    <w:docVar w:name="ADDRESSMNU" w:val=" 2"/>
    <w:docVar w:name="AUTHORMFMNU" w:val=" 1"/>
    <w:docVar w:name="COMKEY" w:val="EMPL"/>
    <w:docVar w:name="CONTRIBUTIONMNU" w:val=" 2"/>
    <w:docVar w:name="DOCREFMNU" w:val=" 1"/>
    <w:docVar w:name="FONCTIONMNU" w:val=" 1"/>
    <w:docVar w:name="LastEditedSection" w:val=" 1"/>
    <w:docVar w:name="strDocTypeID" w:val="AL_JURI"/>
    <w:docVar w:name="strSubDir" w:val="1348"/>
    <w:docVar w:name="TXTLANGUE" w:val="EN"/>
    <w:docVar w:name="TXTLANGUEMIN" w:val="en"/>
    <w:docVar w:name="TXTNRC" w:val="xxx"/>
    <w:docVar w:name="TXTNRCOM" w:val="(2026)xxx"/>
    <w:docVar w:name="TXTNRPE" w:val="791.076"/>
    <w:docVar w:name="TXTNRPROC" w:val="2026//2023"/>
    <w:docVar w:name="TXTPEorAP" w:val="PE"/>
    <w:docVar w:name="TXTROUTE" w:val="AL\1348403EN.docx"/>
    <w:docVar w:name="TXTVERSION" w:val="02-00"/>
  </w:docVars>
  <m:mathPr>
    <m:mathFont m:val="Cambria Math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4A63338B-FD38-47C7-A697-4C796E24C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footer" w:semiHidden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665B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EPFooter2">
    <w:name w:val="EPFooter2"/>
    <w:basedOn w:val="Normal"/>
    <w:next w:val="Normal"/>
    <w:rsid w:val="00A0422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LetterDate">
    <w:name w:val="LetterDate"/>
    <w:basedOn w:val="Normal"/>
    <w:rsid w:val="00A04228"/>
    <w:pPr>
      <w:spacing w:before="720" w:after="240"/>
    </w:p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Name">
    <w:name w:val="EPName"/>
    <w:basedOn w:val="Normal"/>
    <w:rsid w:val="00CE1655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CE1655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CE1655"/>
    <w:pPr>
      <w:jc w:val="right"/>
    </w:pPr>
  </w:style>
  <w:style w:type="paragraph" w:customStyle="1" w:styleId="LetterSubject">
    <w:name w:val="LetterSubject"/>
    <w:basedOn w:val="Normal"/>
    <w:rsid w:val="00463119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595C9D"/>
    <w:pPr>
      <w:spacing w:before="1320"/>
    </w:pPr>
  </w:style>
  <w:style w:type="table" w:styleId="TableGrid">
    <w:name w:val="Table Grid"/>
    <w:basedOn w:val="TableNormal"/>
    <w:rsid w:val="00000C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A0422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00C7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0696F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LetterSalutation">
    <w:name w:val="LetterSalutation"/>
    <w:basedOn w:val="Normal"/>
    <w:rsid w:val="008A7815"/>
    <w:pPr>
      <w:spacing w:before="600" w:after="360"/>
    </w:pPr>
  </w:style>
  <w:style w:type="paragraph" w:customStyle="1" w:styleId="EPFooter">
    <w:name w:val="EPFooter"/>
    <w:basedOn w:val="Normal"/>
    <w:rsid w:val="000C3F4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semiHidden/>
    <w:rsid w:val="000C3F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332170"/>
    <w:rPr>
      <w:sz w:val="24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802D65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customStyle="1" w:styleId="Default">
    <w:name w:val="Default"/>
    <w:rsid w:val="007172C8"/>
    <w:pPr>
      <w:autoSpaceDE w:val="0"/>
      <w:autoSpaceDN w:val="0"/>
      <w:adjustRightInd w:val="0"/>
    </w:pPr>
    <w:rPr>
      <w:rFonts w:ascii="Warnock Pro" w:hAnsi="Warnock Pro" w:eastAsiaTheme="minorHAnsi" w:cs="Warnock Pro"/>
      <w:color w:val="000000"/>
      <w:sz w:val="24"/>
      <w:szCs w:val="24"/>
      <w:lang w:eastAsia="en-US"/>
    </w:rPr>
  </w:style>
  <w:style w:type="character" w:customStyle="1" w:styleId="Nessuno">
    <w:name w:val="Nessuno"/>
    <w:rsid w:val="007172C8"/>
  </w:style>
  <w:style w:type="paragraph" w:customStyle="1" w:styleId="Pointabc">
    <w:name w:val="Point abc"/>
    <w:basedOn w:val="Normal"/>
    <w:rsid w:val="007172C8"/>
    <w:pPr>
      <w:widowControl/>
      <w:numPr>
        <w:ilvl w:val="1"/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7172C8"/>
    <w:pPr>
      <w:widowControl/>
      <w:numPr>
        <w:ilvl w:val="3"/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7172C8"/>
    <w:pPr>
      <w:widowControl/>
      <w:numPr>
        <w:ilvl w:val="5"/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7172C8"/>
    <w:pPr>
      <w:widowControl/>
      <w:numPr>
        <w:ilvl w:val="7"/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7172C8"/>
    <w:pPr>
      <w:widowControl/>
      <w:numPr>
        <w:ilvl w:val="8"/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7172C8"/>
    <w:pPr>
      <w:widowControl/>
      <w:numPr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7172C8"/>
    <w:pPr>
      <w:widowControl/>
      <w:numPr>
        <w:ilvl w:val="2"/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7172C8"/>
    <w:pPr>
      <w:widowControl/>
      <w:numPr>
        <w:ilvl w:val="4"/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7172C8"/>
    <w:pPr>
      <w:widowControl/>
      <w:numPr>
        <w:ilvl w:val="6"/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character" w:customStyle="1" w:styleId="outputecliaff">
    <w:name w:val="outputecliaff"/>
    <w:basedOn w:val="DefaultParagraphFont"/>
    <w:rsid w:val="007172C8"/>
  </w:style>
  <w:style w:type="character" w:customStyle="1" w:styleId="affairetitle">
    <w:name w:val="affaire_title"/>
    <w:basedOn w:val="DefaultParagraphFont"/>
    <w:rsid w:val="007172C8"/>
  </w:style>
  <w:style w:type="paragraph" w:customStyle="1" w:styleId="RollCallSymbols14pt">
    <w:name w:val="RollCallSymbols14pt"/>
    <w:basedOn w:val="Normal"/>
    <w:rsid w:val="00EC3D7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EC3D7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EC3D7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EC3D7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RollCallTable">
    <w:name w:val="RollCallTable"/>
    <w:basedOn w:val="Normal"/>
    <w:rsid w:val="00EC3D76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EC3D76"/>
    <w:pPr>
      <w:spacing w:after="480"/>
    </w:pPr>
    <w:rPr>
      <w:szCs w:val="24"/>
    </w:rPr>
  </w:style>
  <w:style w:type="paragraph" w:customStyle="1" w:styleId="NormalBoldCenter">
    <w:name w:val="NormalBoldCenter"/>
    <w:basedOn w:val="Normal"/>
    <w:rsid w:val="00EC3D76"/>
    <w:pPr>
      <w:jc w:val="center"/>
    </w:pPr>
    <w:rPr>
      <w:b/>
      <w:szCs w:val="24"/>
    </w:rPr>
  </w:style>
  <w:style w:type="paragraph" w:customStyle="1" w:styleId="NormalSingle">
    <w:name w:val="NormalSingle"/>
    <w:basedOn w:val="Normal"/>
    <w:qFormat/>
    <w:rsid w:val="00EC3D76"/>
    <w:rPr>
      <w:szCs w:val="24"/>
    </w:rPr>
  </w:style>
  <w:style w:type="paragraph" w:customStyle="1" w:styleId="Footprint12b">
    <w:name w:val="Footprint12b"/>
    <w:basedOn w:val="Normal"/>
    <w:rsid w:val="00EC3D76"/>
    <w:pPr>
      <w:spacing w:before="240"/>
    </w:pPr>
    <w:rPr>
      <w:szCs w:val="24"/>
    </w:rPr>
  </w:style>
  <w:style w:type="character" w:styleId="Hyperlink">
    <w:name w:val="Hyperlink"/>
    <w:basedOn w:val="DefaultParagraphFont"/>
    <w:rsid w:val="00EC3D7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C3D76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semiHidden/>
    <w:rsid w:val="00242B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242B2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footnotes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instit/2021/611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2223</Words>
  <Characters>14117</Characters>
  <Application>Microsoft Office Word</Application>
  <DocSecurity>0</DocSecurity>
  <Lines>313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AL_JURI</vt:lpstr>
    </vt:vector>
  </TitlesOfParts>
  <Company/>
  <LinksUpToDate>false</LinksUpToDate>
  <CharactersWithSpaces>16223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AL_JURI</dc:title>
  <dc:creator>European Parliament</dc:creator>
  <cp:lastModifiedBy>European Parliament</cp:lastModifiedBy>
  <cp:revision>2</cp:revision>
  <cp:lastPrinted>2026-07-20T15:19:00Z</cp:lastPrinted>
  <dcterms:created xsi:type="dcterms:W3CDTF">2026-08-27T16:00:00Z</dcterms:created>
  <dcterms:modified xsi:type="dcterms:W3CDTF">2026-08-27T16:00:00Z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1349553</vt:lpwstr>
  </property>
  <property fmtid="{D5CDD505-2E9C-101B-9397-08002B2CF9AE}" pid="4" name="&lt;Model&gt;">
    <vt:lpwstr>AL_JURI</vt:lpwstr>
  </property>
  <property fmtid="{D5CDD505-2E9C-101B-9397-08002B2CF9AE}" pid="5" name="&lt;ModelCod&gt;">
    <vt:lpwstr>\\eiciBRUpr1\pdocep$\DocEP\DOCS\General\AL\AL_JURI.dotx(20/01/2023 22:25:05)</vt:lpwstr>
  </property>
  <property fmtid="{D5CDD505-2E9C-101B-9397-08002B2CF9AE}" pid="6" name="&lt;ModelTra&gt;">
    <vt:lpwstr>\\eiciBRUpr1\pdocep$\DocEP\TRANSFIL\EN\AL_JURI.EN(04/05/2026 10:48:02)</vt:lpwstr>
  </property>
  <property fmtid="{D5CDD505-2E9C-101B-9397-08002B2CF9AE}" pid="7" name="&lt;Type&gt;">
    <vt:lpwstr>AL</vt:lpwstr>
  </property>
  <property fmtid="{D5CDD505-2E9C-101B-9397-08002B2CF9AE}" pid="8" name="Bookout">
    <vt:lpwstr>OK - 2026/08/27 18:00</vt:lpwstr>
  </property>
  <property fmtid="{D5CDD505-2E9C-101B-9397-08002B2CF9AE}" pid="9" name="Created with">
    <vt:lpwstr>10.3.0 Build [20260401]</vt:lpwstr>
  </property>
  <property fmtid="{D5CDD505-2E9C-101B-9397-08002B2CF9AE}" pid="10" name="FooterPath">
    <vt:lpwstr>AL\1349553PL.docx</vt:lpwstr>
  </property>
  <property fmtid="{D5CDD505-2E9C-101B-9397-08002B2CF9AE}" pid="11" name="LastEdited with">
    <vt:lpwstr>10.3.1 Build [20260701]</vt:lpwstr>
  </property>
  <property fmtid="{D5CDD505-2E9C-101B-9397-08002B2CF9AE}" pid="12" name="PE number">
    <vt:lpwstr>791.076</vt:lpwstr>
  </property>
  <property fmtid="{D5CDD505-2E9C-101B-9397-08002B2CF9AE}" pid="13" name="RegistreCheck">
    <vt:lpwstr>OK</vt:lpwstr>
  </property>
  <property fmtid="{D5CDD505-2E9C-101B-9397-08002B2CF9AE}" pid="14" name="SDLStudio">
    <vt:lpwstr/>
  </property>
  <property fmtid="{D5CDD505-2E9C-101B-9397-08002B2CF9AE}" pid="15" name="SendToEpades">
    <vt:lpwstr>OK - 2026/07/23 15:20</vt:lpwstr>
  </property>
</Properties>
</file>