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B5FD1" w:rsidRPr="004703DC" w:rsidTr="004602FB">
        <w:trPr>
          <w:trHeight w:hRule="exact" w:val="1418"/>
        </w:trPr>
        <w:tc>
          <w:tcPr>
            <w:tcW w:w="6804" w:type="dxa"/>
            <w:shd w:val="clear" w:color="auto" w:fill="auto"/>
            <w:vAlign w:val="center"/>
          </w:tcPr>
          <w:p w:rsidR="00C93A60" w:rsidRPr="004703DC" w:rsidRDefault="005150F5" w:rsidP="004602FB">
            <w:pPr>
              <w:pStyle w:val="EPName"/>
            </w:pPr>
            <w:bookmarkStart w:id="0" w:name="_GoBack"/>
            <w:bookmarkEnd w:id="0"/>
            <w:r w:rsidRPr="004703DC">
              <w:t>Ευρωπαϊκό Κοινοβούλιο</w:t>
            </w:r>
          </w:p>
          <w:p w:rsidR="00C93A60" w:rsidRPr="004703DC" w:rsidRDefault="005150F5" w:rsidP="00A20A95">
            <w:pPr>
              <w:pStyle w:val="EPTerm"/>
            </w:pPr>
            <w:r w:rsidRPr="004703DC">
              <w:t>2019-2024</w:t>
            </w:r>
          </w:p>
        </w:tc>
        <w:tc>
          <w:tcPr>
            <w:tcW w:w="2268" w:type="dxa"/>
            <w:shd w:val="clear" w:color="auto" w:fill="auto"/>
          </w:tcPr>
          <w:p w:rsidR="00C93A60" w:rsidRPr="004703DC" w:rsidRDefault="005150F5" w:rsidP="004602FB">
            <w:pPr>
              <w:pStyle w:val="EPLogo"/>
            </w:pPr>
            <w:r w:rsidRPr="004703D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4703DC" w:rsidRDefault="00E3537C" w:rsidP="00E3537C">
      <w:pPr>
        <w:pStyle w:val="LineTop"/>
      </w:pPr>
    </w:p>
    <w:p w:rsidR="00E3537C" w:rsidRPr="004703DC" w:rsidRDefault="005150F5" w:rsidP="00E3537C">
      <w:pPr>
        <w:pStyle w:val="EPBody"/>
      </w:pPr>
      <w:r w:rsidRPr="004703DC">
        <w:rPr>
          <w:rStyle w:val="HideTWBExt"/>
          <w:i w:val="0"/>
        </w:rPr>
        <w:t>&lt;Commission&gt;</w:t>
      </w:r>
      <w:r w:rsidRPr="004703DC">
        <w:rPr>
          <w:rStyle w:val="HideTWBInt"/>
          <w:color w:val="auto"/>
        </w:rPr>
        <w:t>{AFET}</w:t>
      </w:r>
      <w:r w:rsidRPr="004703DC">
        <w:t>Επιτροπή Εξωτερικών Υποθέσεων</w:t>
      </w:r>
      <w:r w:rsidRPr="004703DC">
        <w:rPr>
          <w:rStyle w:val="HideTWBExt"/>
          <w:i w:val="0"/>
        </w:rPr>
        <w:t>&lt;/Commission&gt;</w:t>
      </w:r>
    </w:p>
    <w:p w:rsidR="00E3537C" w:rsidRPr="004703DC" w:rsidRDefault="00E3537C" w:rsidP="00E3537C">
      <w:pPr>
        <w:pStyle w:val="LineBottom"/>
      </w:pPr>
    </w:p>
    <w:p w:rsidR="00100069" w:rsidRPr="004703DC" w:rsidRDefault="005150F5">
      <w:pPr>
        <w:pStyle w:val="CoverReference"/>
      </w:pPr>
      <w:r w:rsidRPr="004703DC">
        <w:rPr>
          <w:rStyle w:val="HideTWBExt"/>
          <w:b w:val="0"/>
        </w:rPr>
        <w:t>&lt;RefProc&gt;</w:t>
      </w:r>
      <w:r w:rsidRPr="004703DC">
        <w:t>2023/2072</w:t>
      </w:r>
      <w:r w:rsidRPr="004703DC">
        <w:rPr>
          <w:rStyle w:val="HideTWBExt"/>
          <w:b w:val="0"/>
        </w:rPr>
        <w:t>&lt;/RefProc&gt;&lt;RefTypeProc&gt;</w:t>
      </w:r>
      <w:r w:rsidRPr="004703DC">
        <w:t>(INI)</w:t>
      </w:r>
      <w:r w:rsidRPr="004703DC">
        <w:rPr>
          <w:rStyle w:val="HideTWBExt"/>
          <w:b w:val="0"/>
        </w:rPr>
        <w:t>&lt;/RefTypeProc&gt;</w:t>
      </w:r>
    </w:p>
    <w:p w:rsidR="00100069" w:rsidRPr="004703DC" w:rsidRDefault="005150F5">
      <w:pPr>
        <w:pStyle w:val="CoverDate"/>
      </w:pPr>
      <w:r w:rsidRPr="004703DC">
        <w:rPr>
          <w:rStyle w:val="HideTWBExt"/>
        </w:rPr>
        <w:t>&lt;Date&gt;</w:t>
      </w:r>
      <w:r w:rsidRPr="004703DC">
        <w:rPr>
          <w:rStyle w:val="HideTWBInt"/>
          <w:color w:val="auto"/>
        </w:rPr>
        <w:t>{05/09/2023}</w:t>
      </w:r>
      <w:r w:rsidRPr="004703DC">
        <w:t>5.9.2023</w:t>
      </w:r>
      <w:r w:rsidRPr="004703DC">
        <w:rPr>
          <w:rStyle w:val="HideTWBExt"/>
        </w:rPr>
        <w:t>&lt;/Date&gt;</w:t>
      </w:r>
    </w:p>
    <w:p w:rsidR="00100069" w:rsidRPr="004703DC" w:rsidRDefault="005150F5">
      <w:pPr>
        <w:pStyle w:val="CoverDocType24a"/>
      </w:pPr>
      <w:r w:rsidRPr="004703DC">
        <w:rPr>
          <w:rStyle w:val="HideTWBExt"/>
          <w:b w:val="0"/>
        </w:rPr>
        <w:t>&lt;TitreType&gt;</w:t>
      </w:r>
      <w:r w:rsidRPr="004703DC">
        <w:t>ΣΧΕΔΙΟ ΕΚΘΕΣΗΣ</w:t>
      </w:r>
      <w:r w:rsidRPr="004703DC">
        <w:rPr>
          <w:rStyle w:val="HideTWBExt"/>
          <w:b w:val="0"/>
        </w:rPr>
        <w:t>&lt;/TitreType&gt;</w:t>
      </w:r>
    </w:p>
    <w:p w:rsidR="00100069" w:rsidRPr="004703DC" w:rsidRDefault="005150F5">
      <w:pPr>
        <w:pStyle w:val="CoverNormal"/>
      </w:pPr>
      <w:r w:rsidRPr="004703DC">
        <w:rPr>
          <w:rStyle w:val="HideTWBExt"/>
        </w:rPr>
        <w:t>&lt;Titre&gt;</w:t>
      </w:r>
      <w:r w:rsidRPr="004703DC">
        <w:t xml:space="preserve">σχετικά με τις </w:t>
      </w:r>
      <w:r w:rsidRPr="004703DC">
        <w:t>επιπτώσεις στην ασφάλεια και την άμυνα της επιρροής της Κίνας στις κρίσιμες υποδομές στην Ευρωπαϊκή Ένωση</w:t>
      </w:r>
      <w:r w:rsidRPr="004703DC">
        <w:rPr>
          <w:rStyle w:val="HideTWBExt"/>
        </w:rPr>
        <w:t>&lt;/Titre&gt;</w:t>
      </w:r>
    </w:p>
    <w:p w:rsidR="00100069" w:rsidRPr="004703DC" w:rsidRDefault="005150F5">
      <w:pPr>
        <w:pStyle w:val="CoverNormal24a"/>
      </w:pPr>
      <w:r w:rsidRPr="004703DC">
        <w:rPr>
          <w:rStyle w:val="HideTWBExt"/>
        </w:rPr>
        <w:t>&lt;DocRef&gt;</w:t>
      </w:r>
      <w:r w:rsidRPr="004703DC">
        <w:t>(2023/2072(INI))</w:t>
      </w:r>
      <w:r w:rsidRPr="004703DC">
        <w:rPr>
          <w:rStyle w:val="HideTWBExt"/>
        </w:rPr>
        <w:t>&lt;/DocRef&gt;</w:t>
      </w:r>
    </w:p>
    <w:p w:rsidR="00100069" w:rsidRPr="004703DC" w:rsidRDefault="005150F5">
      <w:pPr>
        <w:pStyle w:val="CoverNormal24a"/>
      </w:pPr>
      <w:r w:rsidRPr="004703DC">
        <w:rPr>
          <w:rStyle w:val="HideTWBExt"/>
        </w:rPr>
        <w:t>&lt;Commission&gt;</w:t>
      </w:r>
      <w:r w:rsidRPr="004703DC">
        <w:rPr>
          <w:rStyle w:val="HideTWBInt"/>
          <w:color w:val="auto"/>
        </w:rPr>
        <w:t>{AFET}</w:t>
      </w:r>
      <w:r w:rsidRPr="004703DC">
        <w:t>Επιτροπή Εξωτερικών Υποθέσεων</w:t>
      </w:r>
      <w:r w:rsidRPr="004703DC">
        <w:rPr>
          <w:rStyle w:val="HideTWBExt"/>
        </w:rPr>
        <w:t>&lt;/Commission&gt;</w:t>
      </w:r>
    </w:p>
    <w:p w:rsidR="00100069" w:rsidRPr="004703DC" w:rsidRDefault="005150F5">
      <w:pPr>
        <w:pStyle w:val="CoverNormal24a"/>
      </w:pPr>
      <w:r w:rsidRPr="004703DC">
        <w:t xml:space="preserve">Εισηγητής: </w:t>
      </w:r>
      <w:r w:rsidRPr="004703DC">
        <w:rPr>
          <w:rStyle w:val="HideTWBExt"/>
        </w:rPr>
        <w:t>&lt;Depute&gt;</w:t>
      </w:r>
      <w:r w:rsidRPr="004703DC">
        <w:t>Klemen Grošelj</w:t>
      </w:r>
      <w:r w:rsidRPr="004703DC">
        <w:rPr>
          <w:rStyle w:val="HideTWBExt"/>
        </w:rPr>
        <w:t>&lt;/Depute&gt;</w:t>
      </w:r>
    </w:p>
    <w:p w:rsidR="00E155CA" w:rsidRPr="004703DC" w:rsidRDefault="00E155CA" w:rsidP="00E155CA">
      <w:pPr>
        <w:pStyle w:val="CoverNormal"/>
      </w:pPr>
    </w:p>
    <w:p w:rsidR="00100069" w:rsidRPr="004703DC" w:rsidRDefault="005150F5" w:rsidP="002544DF">
      <w:pPr>
        <w:widowControl/>
        <w:tabs>
          <w:tab w:val="center" w:pos="4677"/>
        </w:tabs>
      </w:pPr>
      <w:r w:rsidRPr="004703DC">
        <w:br w:type="page"/>
      </w:r>
      <w:r w:rsidRPr="004703DC">
        <w:lastRenderedPageBreak/>
        <w:t>PR_INI</w:t>
      </w:r>
    </w:p>
    <w:p w:rsidR="00100069" w:rsidRPr="004703DC" w:rsidRDefault="005150F5">
      <w:pPr>
        <w:pStyle w:val="TOCHeading"/>
      </w:pPr>
      <w:r w:rsidRPr="004703DC">
        <w:t>ΠΕΡΙΕΧΟΜΕΝΑ</w:t>
      </w:r>
    </w:p>
    <w:p w:rsidR="00100069" w:rsidRPr="004703DC" w:rsidRDefault="005150F5">
      <w:pPr>
        <w:pStyle w:val="TOCPage"/>
      </w:pPr>
      <w:r w:rsidRPr="004703DC">
        <w:t>Σελίδα</w:t>
      </w:r>
    </w:p>
    <w:p w:rsidR="005150F5" w:rsidRDefault="005150F5">
      <w:pPr>
        <w:pStyle w:val="TOC1"/>
        <w:tabs>
          <w:tab w:val="right" w:leader="dot" w:pos="9060"/>
        </w:tabs>
        <w:rPr>
          <w:rFonts w:asciiTheme="minorHAnsi" w:eastAsiaTheme="minorEastAsia" w:hAnsiTheme="minorHAnsi" w:cstheme="minorBidi"/>
          <w:noProof/>
          <w:sz w:val="22"/>
          <w:szCs w:val="22"/>
          <w:lang w:val="en-GB"/>
        </w:rPr>
      </w:pPr>
      <w:r w:rsidRPr="004703DC">
        <w:rPr>
          <w:b/>
        </w:rPr>
        <w:fldChar w:fldCharType="begin"/>
      </w:r>
      <w:r w:rsidRPr="004703DC">
        <w:rPr>
          <w:b/>
        </w:rPr>
        <w:instrText xml:space="preserve"> TOC \t "PageHeading</w:instrText>
      </w:r>
      <w:r w:rsidR="00367F82" w:rsidRPr="004703DC">
        <w:rPr>
          <w:b/>
        </w:rPr>
        <w:instrText>;</w:instrText>
      </w:r>
      <w:r w:rsidRPr="004703DC">
        <w:rPr>
          <w:b/>
        </w:rPr>
        <w:instrText xml:space="preserve">1" </w:instrText>
      </w:r>
      <w:r w:rsidRPr="004703DC">
        <w:rPr>
          <w:b/>
        </w:rPr>
        <w:fldChar w:fldCharType="separate"/>
      </w:r>
      <w:r>
        <w:rPr>
          <w:noProof/>
        </w:rPr>
        <w:t>ΠΡΟΤΑΣΗ ΨΗΦΙΣΜΑΤΟΣ ΤΟΥ ΕΥΡΩΠΑΪΚΟΥ ΚΟΙΝΟΒΟΥΛΙΟΥ</w:t>
      </w:r>
      <w:r>
        <w:rPr>
          <w:noProof/>
        </w:rPr>
        <w:tab/>
      </w:r>
      <w:r>
        <w:rPr>
          <w:noProof/>
        </w:rPr>
        <w:fldChar w:fldCharType="begin"/>
      </w:r>
      <w:r>
        <w:rPr>
          <w:noProof/>
        </w:rPr>
        <w:instrText xml:space="preserve"> PAGEREF _Toc145605781 \h </w:instrText>
      </w:r>
      <w:r>
        <w:rPr>
          <w:noProof/>
        </w:rPr>
      </w:r>
      <w:r>
        <w:rPr>
          <w:noProof/>
        </w:rPr>
        <w:fldChar w:fldCharType="separate"/>
      </w:r>
      <w:r>
        <w:rPr>
          <w:noProof/>
        </w:rPr>
        <w:t>3</w:t>
      </w:r>
      <w:r>
        <w:rPr>
          <w:noProof/>
        </w:rPr>
        <w:fldChar w:fldCharType="end"/>
      </w:r>
    </w:p>
    <w:p w:rsidR="00E155CA" w:rsidRPr="004703DC" w:rsidRDefault="005150F5" w:rsidP="0023245A">
      <w:r w:rsidRPr="004703DC">
        <w:rPr>
          <w:b/>
        </w:rPr>
        <w:fldChar w:fldCharType="end"/>
      </w:r>
    </w:p>
    <w:p w:rsidR="00F82A59" w:rsidRPr="004703DC" w:rsidRDefault="005150F5" w:rsidP="00F82A59">
      <w:pPr>
        <w:pStyle w:val="PageHeading"/>
      </w:pPr>
      <w:r w:rsidRPr="004703DC">
        <w:br w:type="page"/>
      </w:r>
      <w:bookmarkStart w:id="1" w:name="_Toc256000002"/>
      <w:bookmarkStart w:id="2" w:name="_Toc145605781"/>
      <w:r w:rsidRPr="004703DC">
        <w:lastRenderedPageBreak/>
        <w:t>ΠΡΟΤΑΣΗ ΨΗΦΙΣΜΑΤΟΣ ΤΟΥ ΕΥΡΩΠΑΪΚΟΥ ΚΟΙΝΟΒΟΥΛΙΟΥ</w:t>
      </w:r>
      <w:bookmarkEnd w:id="1"/>
      <w:bookmarkEnd w:id="2"/>
    </w:p>
    <w:p w:rsidR="00E410D3" w:rsidRPr="004703DC" w:rsidRDefault="005150F5"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rPr>
          <w:szCs w:val="24"/>
        </w:rPr>
      </w:pPr>
      <w:r w:rsidRPr="004703DC">
        <w:t>σχετικά με τις επιπτώσεις στην ασφάλεια και την άμυνα της επιρροής της Κίνας στις κρίσιμες υποδομές στην Ευρωπαϊκή Ένωση</w:t>
      </w:r>
    </w:p>
    <w:p w:rsidR="00E410D3" w:rsidRPr="004703DC" w:rsidRDefault="005150F5" w:rsidP="00E410D3">
      <w:pPr>
        <w:pStyle w:val="BodyText"/>
        <w:tabs>
          <w:tab w:val="clear" w:pos="-774"/>
          <w:tab w:val="clear" w:pos="-114"/>
          <w:tab w:val="clear" w:pos="283"/>
          <w:tab w:val="clear" w:pos="645"/>
          <w:tab w:val="clear" w:pos="849"/>
          <w:tab w:val="clear" w:pos="1021"/>
          <w:tab w:val="clear" w:pos="1132"/>
          <w:tab w:val="clear" w:pos="1416"/>
          <w:tab w:val="clear" w:pos="1700"/>
          <w:tab w:val="clear" w:pos="1786"/>
          <w:tab w:val="clear" w:pos="2381"/>
          <w:tab w:val="clear" w:pos="2445"/>
          <w:tab w:val="clear" w:pos="2948"/>
          <w:tab w:val="clear" w:pos="3045"/>
          <w:tab w:val="clear" w:pos="3572"/>
          <w:tab w:val="clear" w:pos="3645"/>
          <w:tab w:val="clear" w:pos="4139"/>
          <w:tab w:val="clear" w:pos="4245"/>
          <w:tab w:val="clear" w:pos="4763"/>
          <w:tab w:val="clear" w:pos="4845"/>
          <w:tab w:val="clear" w:pos="5387"/>
          <w:tab w:val="clear" w:pos="5445"/>
          <w:tab w:val="clear" w:pos="5668"/>
          <w:tab w:val="clear" w:pos="5952"/>
          <w:tab w:val="clear" w:pos="6235"/>
          <w:tab w:val="clear" w:pos="6518"/>
          <w:tab w:val="clear" w:pos="6577"/>
          <w:tab w:val="clear" w:pos="7144"/>
          <w:tab w:val="clear" w:pos="7245"/>
          <w:tab w:val="clear" w:pos="7845"/>
          <w:tab w:val="clear" w:pos="8445"/>
          <w:tab w:val="clear" w:pos="9045"/>
        </w:tabs>
        <w:spacing w:after="480"/>
        <w:rPr>
          <w:szCs w:val="24"/>
        </w:rPr>
      </w:pPr>
      <w:r w:rsidRPr="004703DC">
        <w:t>(2023/2072(INI))</w:t>
      </w:r>
    </w:p>
    <w:p w:rsidR="00F82A59" w:rsidRPr="004703DC" w:rsidRDefault="005150F5" w:rsidP="00F82A59">
      <w:pPr>
        <w:pStyle w:val="Normal12"/>
      </w:pPr>
      <w:r w:rsidRPr="004703DC">
        <w:rPr>
          <w:rStyle w:val="Italic"/>
        </w:rPr>
        <w:t>Τ</w:t>
      </w:r>
      <w:r w:rsidRPr="004703DC">
        <w:rPr>
          <w:rStyle w:val="Italic"/>
        </w:rPr>
        <w:t>ο Ευρωπαϊκό Κοινοβούλιο</w:t>
      </w:r>
      <w:r w:rsidRPr="004703DC">
        <w:t>,</w:t>
      </w:r>
    </w:p>
    <w:p w:rsidR="00F82A59" w:rsidRPr="004703DC" w:rsidRDefault="005150F5" w:rsidP="00F82A59">
      <w:pPr>
        <w:pStyle w:val="NormalHanging"/>
      </w:pPr>
      <w:r w:rsidRPr="004703DC">
        <w:t>–</w:t>
      </w:r>
      <w:r w:rsidRPr="004703DC">
        <w:tab/>
        <w:t>έχοντας υπόψη τη Συνθήκη για τη λειτουργία της Ευρωπαϊκής Ένωσης,</w:t>
      </w:r>
    </w:p>
    <w:p w:rsidR="00F82A59" w:rsidRPr="004703DC" w:rsidRDefault="005150F5" w:rsidP="00F82A59">
      <w:pPr>
        <w:pStyle w:val="NormalHanging"/>
      </w:pPr>
      <w:r w:rsidRPr="004703DC">
        <w:t>–</w:t>
      </w:r>
      <w:r w:rsidRPr="004703DC">
        <w:tab/>
        <w:t>έχοντας υπόψη τον τίτλο V της Συνθήκης για την Ευρωπαϊκή Ένωση και δη το κεφάλαιο 2 τμήμα 2 σχετικά με τις διατάξεις για την κοινή πολιτική ασφάλειας και άμυνας,</w:t>
      </w:r>
    </w:p>
    <w:p w:rsidR="00F82A59" w:rsidRPr="004703DC" w:rsidRDefault="005150F5" w:rsidP="00F82A59">
      <w:pPr>
        <w:pStyle w:val="NormalHanging12a"/>
      </w:pPr>
      <w:r w:rsidRPr="004703DC">
        <w:t>–</w:t>
      </w:r>
      <w:r w:rsidRPr="004703DC">
        <w:tab/>
        <w:t>έχοντας υπόψη τον στρατηγικό προσανατολισμό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τον οποίο ενέκρινε το Συμβούλιο στις 21 Μαρτ</w:t>
      </w:r>
      <w:r w:rsidRPr="004703DC">
        <w:t>ίου 2022 και υιοθέτησε το Ευρωπαϊκό Συμβούλιο στις 25 Μαρτίου 2022,</w:t>
      </w:r>
    </w:p>
    <w:p w:rsidR="00F82A59" w:rsidRPr="004703DC" w:rsidRDefault="005150F5" w:rsidP="00F82A59">
      <w:pPr>
        <w:pStyle w:val="NormalHanging12a"/>
      </w:pPr>
      <w:r w:rsidRPr="004703DC">
        <w:t>–</w:t>
      </w:r>
      <w:r w:rsidRPr="004703DC">
        <w:tab/>
        <w:t>έχοντας υπόψη τη Διακήρυξη των Βερσαλλιών που εγκρίθηκε στην ανεπίσημη συνεδρίαση των αρχηγών κρατών και κυβερνήσεων στις 11 Μαρτίου 2022,</w:t>
      </w:r>
    </w:p>
    <w:p w:rsidR="00F82A59" w:rsidRPr="004703DC" w:rsidRDefault="005150F5" w:rsidP="00F82A59">
      <w:pPr>
        <w:pStyle w:val="NormalHanging"/>
      </w:pPr>
      <w:r w:rsidRPr="004703DC">
        <w:t>–</w:t>
      </w:r>
      <w:r w:rsidRPr="004703DC">
        <w:tab/>
        <w:t xml:space="preserve">έχοντας υπόψη την κοινή ανακοίνωση της </w:t>
      </w:r>
      <w:r w:rsidRPr="004703DC">
        <w:t>Επιτροπής και του Ύπατου Εκπροσώπου της Ένωσης για Θέματα Εξωτερικής Πολιτικής και Πολιτικής Ασφαλείας, της 20ής Ιουνίου 2023, με τίτλο «Ευρωπαϊκή στρατηγική οικονομικής ασφάλειας» (JOIN(2023)0020).</w:t>
      </w:r>
    </w:p>
    <w:p w:rsidR="00F82A59" w:rsidRPr="004703DC" w:rsidRDefault="005150F5" w:rsidP="00F82A59">
      <w:pPr>
        <w:pStyle w:val="NormalHanging"/>
      </w:pPr>
      <w:r w:rsidRPr="004703DC">
        <w:t>–</w:t>
      </w:r>
      <w:r w:rsidRPr="004703DC">
        <w:tab/>
        <w:t xml:space="preserve">έχοντας υπόψη την οδηγία (ΕΕ) 2022/2557 του Ευρωπαϊκού </w:t>
      </w:r>
      <w:r w:rsidRPr="004703DC">
        <w:t>Κοινοβουλίου και του Συμβουλίου, της 14ης Δεκεμβρίου 2022, για την ανθεκτικότητα των κρίσιμων οντοτήτων και την κατάργηση της οδηγίας 2008/114/ΕΚ του Συμβουλίου (οδηγία για την ανθεκτικότητα των κρίσιμων οντοτήτων)</w:t>
      </w:r>
      <w:r w:rsidRPr="004703DC">
        <w:rPr>
          <w:rStyle w:val="FootnoteReference"/>
        </w:rPr>
        <w:footnoteReference w:id="1"/>
      </w:r>
      <w:r w:rsidRPr="004703DC">
        <w:t>,</w:t>
      </w:r>
    </w:p>
    <w:p w:rsidR="00F82A59" w:rsidRPr="004703DC" w:rsidRDefault="005150F5" w:rsidP="00F82A59">
      <w:pPr>
        <w:pStyle w:val="NormalHanging"/>
      </w:pPr>
      <w:r w:rsidRPr="004703DC">
        <w:t>–</w:t>
      </w:r>
      <w:r w:rsidRPr="004703DC">
        <w:tab/>
        <w:t>έχοντας υπόψη την οδηγία (ΕΕ) 2022/25</w:t>
      </w:r>
      <w:r w:rsidRPr="004703DC">
        <w:t xml:space="preserve">55 του Ευρωπαϊκού Κοινοβουλίου και του Συμβουλίου, της 14ης Δεκεμβρίου 2022, σχετικά με μέτρα για υψηλό κοινό επίπεδο κυβερνοασφάλειας σε ολόκληρη την Ένωση, για την τροποποίηση του κανονισμού (ΕΕ) αριθ. 910/2014 και της οδηγίας (ΕΕ) 2018/1972 και για την </w:t>
      </w:r>
      <w:r w:rsidRPr="004703DC">
        <w:t>κατάργηση της οδηγίας (ΕΕ) 2016/1148 (οδηγία NIS 2)</w:t>
      </w:r>
      <w:r w:rsidRPr="004703DC">
        <w:rPr>
          <w:rStyle w:val="FootnoteReference"/>
        </w:rPr>
        <w:footnoteReference w:id="2"/>
      </w:r>
      <w:r w:rsidRPr="004703DC">
        <w:t>,</w:t>
      </w:r>
    </w:p>
    <w:p w:rsidR="00F82A59" w:rsidRPr="004703DC" w:rsidRDefault="005150F5" w:rsidP="00F82A59">
      <w:pPr>
        <w:pStyle w:val="NormalHanging"/>
      </w:pPr>
      <w:r w:rsidRPr="004703DC">
        <w:t>–</w:t>
      </w:r>
      <w:r w:rsidRPr="004703DC">
        <w:tab/>
        <w:t>έχοντας υπόψη τη σύσταση του Συμβουλίου, της 8ης Δεκεμβρίου 2022, σχετικά με συντονισμένη προσέγγιση σε επίπεδο Ένωσης με σκοπό την ενίσχυση της ανθεκτικότητας των κρίσιμων υποδομών,</w:t>
      </w:r>
    </w:p>
    <w:p w:rsidR="00F82A59" w:rsidRPr="004703DC" w:rsidRDefault="005150F5" w:rsidP="00F82A59">
      <w:pPr>
        <w:pStyle w:val="NormalHanging"/>
      </w:pPr>
      <w:r w:rsidRPr="004703DC">
        <w:t>–</w:t>
      </w:r>
      <w:r w:rsidRPr="004703DC">
        <w:tab/>
        <w:t>έχοντας υπόψη τ</w:t>
      </w:r>
      <w:r w:rsidRPr="004703DC">
        <w:t>ο ανακοινωθέν της συνόδου κορυφής του Βίλνιους, το οποίο εξέδωσαν οι αρχηγοί κρατών και κυβερνήσεων του ΝΑΤΟ που συμμετείχαν στη σύνοδο του Βορειοατλαντικού Συμβουλίου στο Βίλνιους, στις 11 Ιουλίου 2023,</w:t>
      </w:r>
    </w:p>
    <w:p w:rsidR="00F82A59" w:rsidRPr="004703DC" w:rsidRDefault="005150F5" w:rsidP="00F82A59">
      <w:pPr>
        <w:pStyle w:val="NormalHanging"/>
      </w:pPr>
      <w:r w:rsidRPr="004703DC">
        <w:lastRenderedPageBreak/>
        <w:t>–</w:t>
      </w:r>
      <w:r w:rsidRPr="004703DC">
        <w:tab/>
        <w:t>έχοντας υπόψη τον κανονισμό (ΕΕ) 2023/ΧΧΧΧ της [ημ</w:t>
      </w:r>
      <w:r w:rsidRPr="004703DC">
        <w:t>ερομηνία] του Ευρωπαϊκού Κοινοβουλίου και του Συμβουλίου σχετικά με τη θέσπιση πλαισίου μέτρων για την ενίσχυση του οικοσυστήματος ημιαγωγών της Ευρώπης (πράξη για τα μικροκυκλώματα)</w:t>
      </w:r>
      <w:r w:rsidRPr="004703DC">
        <w:rPr>
          <w:rStyle w:val="FootnoteReference"/>
        </w:rPr>
        <w:footnoteReference w:id="3"/>
      </w:r>
      <w:r w:rsidRPr="004703DC">
        <w:t xml:space="preserve">, </w:t>
      </w:r>
    </w:p>
    <w:p w:rsidR="00F82A59" w:rsidRPr="004703DC" w:rsidRDefault="005150F5" w:rsidP="00F82A59">
      <w:pPr>
        <w:pStyle w:val="NormalHanging"/>
      </w:pPr>
      <w:r w:rsidRPr="004703DC">
        <w:t>–</w:t>
      </w:r>
      <w:r w:rsidRPr="004703DC">
        <w:tab/>
        <w:t>έχοντας υπόψη την πρόταση της 15ης Σεπτεμβρίου 2022 της Επιτροπής γι</w:t>
      </w:r>
      <w:r w:rsidRPr="004703DC">
        <w:t>α κανονισμό του Ευρωπαϊκού Κοινοβουλίου και του Συμβουλίου σχετικά με οριζόντιες απαιτήσεις κυβερνοασφάλειας για προϊόντα με ψηφιακά στοιχεία και με την τροποποίηση του κανονισμού (ΕΕ) 2019/1020 (COM(2022)0454),</w:t>
      </w:r>
    </w:p>
    <w:p w:rsidR="009B45D2" w:rsidRPr="004703DC" w:rsidRDefault="005150F5" w:rsidP="009B45D2">
      <w:pPr>
        <w:pStyle w:val="NormalHanging"/>
      </w:pPr>
      <w:r w:rsidRPr="004703DC">
        <w:t>–</w:t>
      </w:r>
      <w:r w:rsidRPr="004703DC">
        <w:tab/>
        <w:t>έχοντας υπόψη το άρθρο 54 του Κανονισμού τ</w:t>
      </w:r>
      <w:r w:rsidRPr="004703DC">
        <w:t>ου,</w:t>
      </w:r>
    </w:p>
    <w:p w:rsidR="00F82A59" w:rsidRPr="004703DC" w:rsidRDefault="005150F5" w:rsidP="00F82A59">
      <w:pPr>
        <w:pStyle w:val="NormalHanging"/>
      </w:pPr>
      <w:r w:rsidRPr="004703DC">
        <w:t>–</w:t>
      </w:r>
      <w:r w:rsidRPr="004703DC">
        <w:tab/>
        <w:t>έχοντας υπόψη τη γνωμοδότηση της Επιτροπής Διεθνούς Εμπορίου,</w:t>
      </w:r>
    </w:p>
    <w:p w:rsidR="00F82A59" w:rsidRPr="004703DC" w:rsidRDefault="005150F5" w:rsidP="00F82A59">
      <w:pPr>
        <w:pStyle w:val="NormalHanging"/>
      </w:pPr>
      <w:r w:rsidRPr="004703DC">
        <w:t>–</w:t>
      </w:r>
      <w:r w:rsidRPr="004703DC">
        <w:tab/>
        <w:t>έχοντας υπόψη την έκθεση της Επιτροπής Εξωτερικών Υποθέσεων (A9-0000/2023),</w:t>
      </w:r>
    </w:p>
    <w:p w:rsidR="00F82A59" w:rsidRPr="004703DC" w:rsidRDefault="005150F5" w:rsidP="009B45D2">
      <w:pPr>
        <w:pStyle w:val="Normal12"/>
        <w:rPr>
          <w:szCs w:val="24"/>
        </w:rPr>
      </w:pPr>
      <w:r w:rsidRPr="004703DC">
        <w:t>Α.</w:t>
      </w:r>
      <w:r w:rsidRPr="004703DC">
        <w:tab/>
        <w:t>λαμβάνοντας υπόψη ότι η πρόσφατη κοινή ανακοίνωση σχετικά με μια ευρωπαϊκή στρατηγική οικονομικής ασφάλειας</w:t>
      </w:r>
      <w:r w:rsidRPr="004703DC">
        <w:t xml:space="preserve"> επικεντρώνεται στην ελαχιστοποίηση των κινδύνων που απορρέουν από ορισμένες οικονομικές ροές στο πλαίσιο των αυξημένων γεωπολιτικών εντάσεων και των επιταχυνόμενων τεχνολογικών αλλαγών, διατηρώντας παράλληλα τον μέγιστο οικονομικό ανοικτό χαρακτήρα και δυ</w:t>
      </w:r>
      <w:r w:rsidRPr="004703DC">
        <w:t>ναμισμό·</w:t>
      </w:r>
    </w:p>
    <w:p w:rsidR="00F82A59" w:rsidRPr="004703DC" w:rsidRDefault="005150F5" w:rsidP="009B45D2">
      <w:pPr>
        <w:pStyle w:val="Normal12"/>
        <w:rPr>
          <w:szCs w:val="24"/>
        </w:rPr>
      </w:pPr>
      <w:r w:rsidRPr="004703DC">
        <w:t>Β.</w:t>
      </w:r>
      <w:r w:rsidRPr="004703DC">
        <w:tab/>
        <w:t>λαμβάνοντας υπόψη ότι η οδηγία για την ανθεκτικότητα των κρίσιμων οντοτήτων και η οδηγία NIS 2 παρέχουν ένα ολοκληρωμένο νομικό πλαίσιο για την ενίσχυση τόσο της φυσικής όσο και της ψηφιακής ανθεκτικότητας των υποδομών ζωτικής σημασίας, συμπερι</w:t>
      </w:r>
      <w:r w:rsidRPr="004703DC">
        <w:t>λαμβανομένων εκείνων που σχετίζονται με την ενέργεια, τις μεταφορές, την υγεία, τις ψηφιακές υποδομές, το νερό και τα τρόφιμα·</w:t>
      </w:r>
    </w:p>
    <w:p w:rsidR="00F82A59" w:rsidRPr="004703DC" w:rsidRDefault="005150F5" w:rsidP="009B45D2">
      <w:pPr>
        <w:pStyle w:val="Normal12"/>
        <w:rPr>
          <w:szCs w:val="24"/>
        </w:rPr>
      </w:pPr>
      <w:r w:rsidRPr="004703DC">
        <w:t>Γ.</w:t>
      </w:r>
      <w:r w:rsidRPr="004703DC">
        <w:tab/>
        <w:t>λαμβάνοντας υπόψη ότι, μετά την έκδοση της σύστασης του Συμβουλίου της 8ης Δεκεμβρίου 2022, υλοποιούνται ήδη στοχευμένες δράσε</w:t>
      </w:r>
      <w:r w:rsidRPr="004703DC">
        <w:t xml:space="preserve">ις για τη διασφάλιση κοινής αντίδρασης της ΕΕ σε συμβάντα, μεταξύ άλλων με την ενίσχυση του συντονισμού με το ΝΑΤΟ μέσω της ειδικής ομάδας ΕΕ-ΝΑΤΟ για την ανθεκτικότητα των υποδομών ζωτικής σημασίας που είναι ενσωματωμένες στον διαρθρωμένο διάλογο ΝΑΤΟ-ΕΕ </w:t>
      </w:r>
      <w:r w:rsidRPr="004703DC">
        <w:t>για την ανθεκτικότητα·</w:t>
      </w:r>
    </w:p>
    <w:p w:rsidR="00F82A59" w:rsidRPr="004703DC" w:rsidRDefault="005150F5" w:rsidP="009B45D2">
      <w:pPr>
        <w:pStyle w:val="Normal12"/>
        <w:rPr>
          <w:szCs w:val="24"/>
        </w:rPr>
      </w:pPr>
      <w:r w:rsidRPr="004703DC">
        <w:t>Δ.</w:t>
      </w:r>
      <w:r w:rsidRPr="004703DC">
        <w:tab/>
        <w:t>λαμβάνοντας υπόψη ότι οι πολιτικές εξαναγκασμού και η αυξανόμενη αποφασιστικότητα της Λαϊκής Δημοκρατίας της Κίνας (ΛΔΚ), συμπεριλαμβανομένης της επιθετικής στάσης της έναντι της Ταϊβάν, καθώς και οι κοινωνικές και οικονομικές συν</w:t>
      </w:r>
      <w:r w:rsidRPr="004703DC">
        <w:t>έπειες της πανδημίας COVID-19 και του επιθετικού πολέμου της Ρωσίας κατά της Ουκρανίας έχουν αποκαλύψει τα τρωτά σημεία της ΕΕ και έχουν επιβεβαιώσει την ανάγκη να ελαχιστοποιηθούν οι κίνδυνοι των σχέσεών της με τη ΛΔΚ και άλλες μη δημοκρατικές τρίτες χώρε</w:t>
      </w:r>
      <w:r w:rsidRPr="004703DC">
        <w:t>ς·</w:t>
      </w:r>
    </w:p>
    <w:p w:rsidR="00F82A59" w:rsidRPr="004703DC" w:rsidRDefault="005150F5" w:rsidP="009B45D2">
      <w:pPr>
        <w:pStyle w:val="Normal12"/>
        <w:rPr>
          <w:szCs w:val="24"/>
        </w:rPr>
      </w:pPr>
      <w:r w:rsidRPr="004703DC">
        <w:t>Ε.</w:t>
      </w:r>
      <w:r w:rsidRPr="004703DC">
        <w:tab/>
        <w:t>λαμβάνοντας υπόψη ότι η απόκτηση υποδομών ζωτικής σημασίας από την Κίνα, ιδίως στις γειτονικές χώρες της ΕΕ, συμπεριλαμβανομένων των Δυτικών Βαλκανίων, ενέχει αυξανόμενο κίνδυνο για τη σχέση εμπορίου και ασφάλειας·</w:t>
      </w:r>
    </w:p>
    <w:p w:rsidR="00F82A59" w:rsidRPr="004703DC" w:rsidRDefault="005150F5" w:rsidP="009B45D2">
      <w:pPr>
        <w:pStyle w:val="Normal12"/>
        <w:rPr>
          <w:rFonts w:cs="Myriad Pro"/>
          <w:szCs w:val="22"/>
        </w:rPr>
      </w:pPr>
      <w:r w:rsidRPr="004703DC">
        <w:lastRenderedPageBreak/>
        <w:t>ΣΤ.</w:t>
      </w:r>
      <w:r w:rsidRPr="004703DC">
        <w:tab/>
        <w:t>λαμβάνοντας υπόψη ότι η στρατηγ</w:t>
      </w:r>
      <w:r w:rsidRPr="004703DC">
        <w:t>ική εταιρική σχέση Κίνας - Ρωσίας εξακολουθεί να αναπτύσσεται, μεταξύ άλλων στους τομείς της τεχνολογίας και της μεταφοράς στρατιωτικών δυνατοτήτων·</w:t>
      </w:r>
    </w:p>
    <w:p w:rsidR="00F82A59" w:rsidRPr="004703DC" w:rsidRDefault="005150F5" w:rsidP="00F82A59">
      <w:pPr>
        <w:pStyle w:val="Normal12"/>
        <w:rPr>
          <w:rStyle w:val="BoldItalic"/>
        </w:rPr>
      </w:pPr>
      <w:r w:rsidRPr="004703DC">
        <w:rPr>
          <w:rStyle w:val="BoldItalic"/>
        </w:rPr>
        <w:t>Ο πυρήνας του προβλήματος: κατανόηση της στρατηγικής της Κίνας για συγχώνευση του στρατιωτικού και μη στρατ</w:t>
      </w:r>
      <w:r w:rsidRPr="004703DC">
        <w:rPr>
          <w:rStyle w:val="BoldItalic"/>
        </w:rPr>
        <w:t>ιωτικού τομέα</w:t>
      </w:r>
    </w:p>
    <w:p w:rsidR="00F82A59" w:rsidRPr="004703DC" w:rsidRDefault="005150F5" w:rsidP="00827620">
      <w:pPr>
        <w:pStyle w:val="Normal12"/>
      </w:pPr>
      <w:r w:rsidRPr="004703DC">
        <w:t>1.</w:t>
      </w:r>
      <w:r w:rsidRPr="004703DC">
        <w:tab/>
        <w:t xml:space="preserve">Υπογραμμίζει ότι η στρατηγική της Κίνας για συγχώνευση του στρατιωτικού και μη στρατιωτικού τομέα·(MCF) είναι ένα κρατικά κατευθυνόμενο πρόγραμμα και σχέδιο για την εργαλειοποίηση όλων των μοχλών κρατικής και εμπορικής ισχύος για την </w:t>
      </w:r>
      <w:r w:rsidRPr="004703DC">
        <w:t>ενίσχυση και τη στήριξη του Λαϊκού Απελευθερωτικού Στρατού (PLA), της ένοπλης πτέρυγας του Κομμουνιστικού Κόμματος της Κίνας (ΚΚΚ)·</w:t>
      </w:r>
    </w:p>
    <w:p w:rsidR="00F82A59" w:rsidRPr="004703DC" w:rsidRDefault="005150F5" w:rsidP="00827620">
      <w:pPr>
        <w:pStyle w:val="Normal12"/>
      </w:pPr>
      <w:r w:rsidRPr="004703DC">
        <w:t>2.</w:t>
      </w:r>
      <w:r w:rsidRPr="004703DC">
        <w:tab/>
        <w:t>θεωρεί ότι το κομματικό πολιτικό σύστημα και η οικονομία της Κίνας συχνά απαιτούν από τις ιδιωτικές εταιρείες να ευθυγραμ</w:t>
      </w:r>
      <w:r w:rsidRPr="004703DC">
        <w:t>μίζουν τα εμπορικά τους συμφέροντα με τις στρατιωτικές δραστηριότητες, τις δραστηριότητες καταστολής και πολιτικής παρέμβασης του ΚΚΚ· επισημαίνει ότι, κατά συνέπεια, οι διεθνείς δραστηριότητες των κινεζικών εταιρειών βοηθούν το ΚΚΚ να επεκτείνει την επιρρ</w:t>
      </w:r>
      <w:r w:rsidRPr="004703DC">
        <w:t>οή του σε ξένες χώρες και να υπονομεύει γεωπολιτικούς αντιπάλους·</w:t>
      </w:r>
    </w:p>
    <w:p w:rsidR="00F82A59" w:rsidRPr="004703DC" w:rsidRDefault="005150F5" w:rsidP="00827620">
      <w:pPr>
        <w:pStyle w:val="Normal12"/>
      </w:pPr>
      <w:r w:rsidRPr="004703DC">
        <w:t>3.</w:t>
      </w:r>
      <w:r w:rsidRPr="004703DC">
        <w:tab/>
        <w:t xml:space="preserve">πιστεύει ότι η MCF πρέπει να γίνει κατανοητή σε ευρύτερο πολιτικό και στρατηγικό πλαίσιο, λαμβάνοντας υπόψη τις διασυνδέσεις της με άλλες πρωτοβουλίες, όπως η πρωτοβουλία «Μία Ζώνη, Ένας </w:t>
      </w:r>
      <w:r w:rsidRPr="004703DC">
        <w:t xml:space="preserve">Δρόμος» (συμπεριλαμβανομένου του Ψηφιακού δρόμου του μεταξιού)· πιστεύει ότι απώτερος στόχος της MCF είναι η προώθηση του μακροπρόθεσμου στρατηγικού στόχου της Κίνας να καταστεί η ηγετική δύναμη του κόσμου· </w:t>
      </w:r>
    </w:p>
    <w:p w:rsidR="00F82A59" w:rsidRPr="004703DC" w:rsidRDefault="005150F5" w:rsidP="00F82A59">
      <w:pPr>
        <w:pStyle w:val="Normal12"/>
        <w:ind w:left="0" w:firstLine="0"/>
        <w:rPr>
          <w:i/>
        </w:rPr>
      </w:pPr>
      <w:r w:rsidRPr="004703DC">
        <w:rPr>
          <w:b/>
          <w:i/>
        </w:rPr>
        <w:t xml:space="preserve">Συνέπειες της πολιτικο-στρατιωτικής στρατηγικής </w:t>
      </w:r>
      <w:r w:rsidRPr="004703DC">
        <w:rPr>
          <w:b/>
          <w:i/>
        </w:rPr>
        <w:t>της ΛΔΚ</w:t>
      </w:r>
    </w:p>
    <w:p w:rsidR="00F82A59" w:rsidRPr="004703DC" w:rsidRDefault="005150F5" w:rsidP="00827620">
      <w:pPr>
        <w:pStyle w:val="Normal12"/>
      </w:pPr>
      <w:r w:rsidRPr="004703DC">
        <w:t>4.</w:t>
      </w:r>
      <w:r w:rsidRPr="004703DC">
        <w:tab/>
        <w:t>προειδοποιεί για τον κίνδυνο εμπλοκής κινεζικών εταιρειών σε στρατηγικά περιουσιακά στοιχεία της ΕΕ, ιδίως των εταιρειών που έχουν άμεσους ή έμμεσους δεσμούς με το στρατιωτικό σύστημα της Κίνας· υπογραμμίζει, στο πλαίσιο αυτό, την ανησυχία του γ</w:t>
      </w:r>
      <w:r w:rsidRPr="004703DC">
        <w:t>ια το γεγονός ότι η τεχνολογία και η τεχνολογική εμπειρογνωμοσύνη θα μεταφερθούν στον στρατό της Κίνας, αυξάνοντας την ικανότητα του PLA να αναπτύξει την επόμενη γενιά στρατιωτικής τεχνολογίας, η οποία μπορεί να χρησιμοποιηθεί για τον εξαναγκασμό εταίρων σ</w:t>
      </w:r>
      <w:r w:rsidRPr="004703DC">
        <w:t>την Ασία και σε ολόκληρο τον κόσμο·</w:t>
      </w:r>
    </w:p>
    <w:p w:rsidR="00F82A59" w:rsidRPr="004703DC" w:rsidRDefault="005150F5" w:rsidP="00827620">
      <w:pPr>
        <w:pStyle w:val="Normal12"/>
      </w:pPr>
      <w:r w:rsidRPr="004703DC">
        <w:t>5.</w:t>
      </w:r>
      <w:r w:rsidRPr="004703DC">
        <w:tab/>
        <w:t>τονίζει ότι η Κίνα παράγει το 70 % των συσσωρευτών παγκοσμίως (φιλοξενώντας τρεις από τους πέντε κορυφαίους κολοσσούς κατασκευής συσσωρευτών), αντιπροσωπεύει το 60 % της παγκόσμιας παραγωγής αλουμινίου και το 75 % της</w:t>
      </w:r>
      <w:r w:rsidRPr="004703DC">
        <w:t xml:space="preserve"> παραγωγής πυριτίου, είναι ο κορυφαίος μετατροπέας του 60 % του λιθίου και του 70 % της επεξεργασίας χαλκού και παράγει το 84 % του νικελίου παγκοσμίως και το 85 % του κοβαλτίου· υπογραμμίζει ότι οι κινεζικές εξορυκτικές εταιρείες δραστηριοποιούνται στη Λα</w:t>
      </w:r>
      <w:r w:rsidRPr="004703DC">
        <w:t>ϊκή Δημοκρατία του Κονγκό (κοβάλτιο), την Ινδονησία (νικέλιο) και τη Χιλή και την Αυστραλία (λίθιο) και ότι το οιονεί μονοπώλιό της στην παραγωγή και την επεξεργασία αυτών των βασικών προϊόντων κρίσιμης σημασίας δεν αποτελεί μόνο μια οξεία γεωπολιτική πρόκ</w:t>
      </w:r>
      <w:r w:rsidRPr="004703DC">
        <w:t>ληση για την ΕΕ, αλλά και τεράστιο κίνδυνο για την άμυνα της Ευρώπης και άλλους βιομηχανικούς τομείς·</w:t>
      </w:r>
    </w:p>
    <w:p w:rsidR="00F82A59" w:rsidRPr="004703DC" w:rsidRDefault="005150F5" w:rsidP="00827620">
      <w:pPr>
        <w:pStyle w:val="Normal12"/>
      </w:pPr>
      <w:r w:rsidRPr="004703DC">
        <w:lastRenderedPageBreak/>
        <w:t>6.</w:t>
      </w:r>
      <w:r w:rsidRPr="004703DC">
        <w:tab/>
        <w:t>υπενθυμίζει ότι τόσο η διπλωματική όσο και η στρατιωτική επικοινωνία ταξιδεύουν μέσω υποθαλάσσιων καλωδίων ιδιωτικής ιδιοκτησίας που παρέχονται από κιν</w:t>
      </w:r>
      <w:r w:rsidRPr="004703DC">
        <w:t>εζικές εταιρείες, όπως η HMN Technologies, μια συνδεδεμένη οντότητα του PLA που δραστηριοποιείται στις πληροφορίες στον κυβερνοχώρο· εκφράζει τη βαθιά του ανησυχία για τα υποθαλάσσια συστήματα καλωδίων δεδομένων που διαχειρίζεται η κινεζική εταιρεία HMN Te</w:t>
      </w:r>
      <w:r w:rsidRPr="004703DC">
        <w:t>chnologies, τα οποία συνδέουν τα εδάφη των κρατών μελών της ΕΕ με την περιοχή του Ινδοειρηνικού, συμπεριλαμβανομένων των στρατιωτικών βάσεων των κρατών μελών και του ΝΑΤΟ στην περιοχή, δημιουργώντας τρωτά σημεία όσον αφορά την υποθαλάσσια παρακολούθηση και</w:t>
      </w:r>
      <w:r w:rsidRPr="004703DC">
        <w:t xml:space="preserve"> τη συλλογή πληροφοριών·</w:t>
      </w:r>
    </w:p>
    <w:p w:rsidR="00F82A59" w:rsidRPr="004703DC" w:rsidRDefault="005150F5" w:rsidP="00F82A59">
      <w:pPr>
        <w:pStyle w:val="Normal12"/>
        <w:ind w:left="0" w:firstLine="0"/>
        <w:rPr>
          <w:b/>
          <w:i/>
        </w:rPr>
      </w:pPr>
      <w:r w:rsidRPr="004703DC">
        <w:rPr>
          <w:b/>
          <w:i/>
        </w:rPr>
        <w:t>Δρομολόγηση απαντήσεων: επέκταση της εργαλειοθήκης για την αντιμετώπιση των ανησυχιών στον τομέα της ασφάλειας και της άμυνας</w:t>
      </w:r>
    </w:p>
    <w:p w:rsidR="00F82A59" w:rsidRPr="004703DC" w:rsidRDefault="005150F5" w:rsidP="00827620">
      <w:pPr>
        <w:pStyle w:val="Normal12"/>
      </w:pPr>
      <w:r w:rsidRPr="004703DC">
        <w:t>7.</w:t>
      </w:r>
      <w:r w:rsidRPr="004703DC">
        <w:tab/>
        <w:t xml:space="preserve">προειδοποιεί ότι η επιδείνωση του περιβάλλοντος ασφάλειας στην Ευρώπη και σε ολόκληρο τον κόσμο </w:t>
      </w:r>
      <w:r w:rsidRPr="004703DC">
        <w:t>απαιτεί επείγοντα προβληματισμό σχετικά με τον τρόπο ενίσχυσης της στρατηγικής αυτονομίας της ΕΕ και μείωσης των εξαρτήσεών της από χώρες όπως η ΛΔΚ που είναι συστημικοί ανταγωνιστές και όχι στρατηγικοί εταίροι· τονίζει την ανάγκη να αποφευχθεί η διαρροή ε</w:t>
      </w:r>
      <w:r w:rsidRPr="004703DC">
        <w:t>υαίσθητων αναδυόμενων τεχνολογιών και βασικών ειδών διπλής χρήσης σε προορισμούς που προκαλούν ανησυχία και επιδιώκουν ή συνεργάζονται σε στρατηγικές της MCF·</w:t>
      </w:r>
    </w:p>
    <w:p w:rsidR="00F82A59" w:rsidRPr="004703DC" w:rsidRDefault="005150F5" w:rsidP="00827620">
      <w:pPr>
        <w:pStyle w:val="Normal12"/>
      </w:pPr>
      <w:r w:rsidRPr="004703DC">
        <w:t>8.</w:t>
      </w:r>
      <w:r w:rsidRPr="004703DC">
        <w:tab/>
        <w:t>εξακολουθεί να ανησυχεί για το γεγονός ότι οι ευρωπαϊκές υποδομές ζωτικής σημασίας καθίστανται</w:t>
      </w:r>
      <w:r w:rsidRPr="004703DC">
        <w:t xml:space="preserve"> ολοένα και πιο ευάλωτες σε εξωτερικές επιρροές· επαινεί, στο πλαίσιο αυτό, τα πρόσφατα νομοθετικά μέτρα για την ενίσχυση της ανθεκτικότητας των κρίσιμων οντοτήτων στην ΕΕ· σημειώνει, ωστόσο, με ανησυχία ότι οι πρωτοβουλίες αυτές περιορίζονται σε μεγάλο βα</w:t>
      </w:r>
      <w:r w:rsidRPr="004703DC">
        <w:t>θμό στις διαδικασίες ελέγχου για τις άμεσες ξένες επενδύσεις, αφήνοντας άλλους διαύλους ανοικτούς ώστε ο κεντρικός αντισυμβαλλόμενος να αποκτήσει πρόσβαση και επιρροή σε κρίσιμα περιουσιακά στοιχεία·</w:t>
      </w:r>
    </w:p>
    <w:p w:rsidR="00F82A59" w:rsidRPr="004703DC" w:rsidRDefault="005150F5" w:rsidP="00827620">
      <w:pPr>
        <w:pStyle w:val="Normal12"/>
      </w:pPr>
      <w:r w:rsidRPr="004703DC">
        <w:t>9.</w:t>
      </w:r>
      <w:r w:rsidRPr="004703DC">
        <w:tab/>
        <w:t xml:space="preserve">σημειώνει ότι ο έλεγχος των ενδιαφερόμενων μερών που </w:t>
      </w:r>
      <w:r w:rsidRPr="004703DC">
        <w:t xml:space="preserve">έχουν πρόσβαση σε υποδομές ζωτικής σημασίας δεν μπορεί να περιορίζεται στις άμεσες επενδύσεις· ζητεί να επεκταθούν τα υφιστάμενα μέσα που αφορούν τις άμεσες ξένες επενδύσεις και τις ξένες επιδοτήσεις, ώστε να συμπεριλάβουν γενικευμένες διαδικασίες ελέγχου </w:t>
      </w:r>
      <w:r w:rsidRPr="004703DC">
        <w:t xml:space="preserve">για όλα τα ενδιαφερόμενα μέρη που συμμετέχουν σε έργα υποδομών ζωτικής σημασίας της ΕΕ· καλεί την Επιτροπή, με την υποστήριξη των κρατών μελών, να χαρτογραφήσει, να παρακολουθήσει και να αξιολογήσει την πρόσβαση της Κίνας σε υποδομές ζωτικής σημασίας στην </w:t>
      </w:r>
      <w:r w:rsidRPr="004703DC">
        <w:t>ΕΕ· τονίζει ότι τα κράτη μέλη φέρουν την τελική ευθύνη για την προστασία των υποδομών, αλλά δεν έχουν εφαρμόσει με συνέπεια τις ισχύουσες κατευθυντήριες γραμμές για τις άμεσες ξένες επενδύσεις ούτε έχουν θεσπίσει μηχανισμούς ελέγχου των επενδύσεων σε εθνικ</w:t>
      </w:r>
      <w:r w:rsidRPr="004703DC">
        <w:t>ό επίπεδο·</w:t>
      </w:r>
    </w:p>
    <w:p w:rsidR="00F82A59" w:rsidRPr="004703DC" w:rsidRDefault="005150F5" w:rsidP="00827620">
      <w:pPr>
        <w:pStyle w:val="Normal12"/>
      </w:pPr>
      <w:r w:rsidRPr="004703DC">
        <w:t>10.</w:t>
      </w:r>
      <w:r w:rsidRPr="004703DC">
        <w:tab/>
        <w:t>επικροτεί τις δυνατότητες της πρότασης της Επιτροπής για μια ευρωπαϊκή στρατηγική οικονομικής ασφάλειας όσον αφορά την επέκταση της εργαλειοθήκης της ΕΕ στις εξαγωγές ή τις εξερχόμενες επενδύσεις σε ένα περιορισμένο σύνολο βασικών τεχνολογιώ</w:t>
      </w:r>
      <w:r w:rsidRPr="004703DC">
        <w:t xml:space="preserve">ν γενικής εφαρμογής με στρατιωτικές εφαρμογές, μεταξύ άλλων, στους τομείς της κβαντικής υπολογιστικής, των προηγμένων ημιαγωγών και της τεχνητής νοημοσύνης· ζητεί την ταχεία έγκριση των προτάσεων της Επιτροπής και τα κράτη </w:t>
      </w:r>
      <w:r w:rsidRPr="004703DC">
        <w:lastRenderedPageBreak/>
        <w:t>μέλη να εφαρμόσουν πλήρως το διευ</w:t>
      </w:r>
      <w:r w:rsidRPr="004703DC">
        <w:t>ρυμένο κανονιστικό πλαίσιο της ΕΕ για τον αποκλεισμό οντοτήτων που θα μπορούσαν να συμβάλουν στην MCF·</w:t>
      </w:r>
    </w:p>
    <w:p w:rsidR="00F82A59" w:rsidRPr="004703DC" w:rsidRDefault="005150F5" w:rsidP="00827620">
      <w:pPr>
        <w:pStyle w:val="Normal12"/>
      </w:pPr>
      <w:r w:rsidRPr="004703DC">
        <w:t>11.</w:t>
      </w:r>
      <w:r w:rsidRPr="004703DC">
        <w:tab/>
        <w:t>χαιρετίζει περαιτέρω την πρόταση της Επιτροπής για την πρόληψη της διαρροής ευαίσθητων αναδυόμενων τεχνολογιών με την κατάρτιση καταλόγου τεχνολογιών</w:t>
      </w:r>
      <w:r w:rsidRPr="004703DC">
        <w:t xml:space="preserve"> διπλής χρήσης, με βάση αυστηρά καθορισμένα και μακρόπνοα κριτήρια, όπως ο ο υποστηρικτικός και μετασχηματιστικός χαρακτήρας μιας τεχνολογίας, ο κίνδυνος της MCF και ο κίνδυνος κατάχρησης της τεχνολογίας για παραβίαση των ανθρωπίνων δικαιωμάτων· καλεί την </w:t>
      </w:r>
      <w:r w:rsidRPr="004703DC">
        <w:t>Επιτροπή και τα κράτη μέλη να προσδιορίσουν και να εφαρμόσουν τα σχετικά μέτρα προστασίας για τις εν λόγω τεχνολογίες διπλής χρήσης το συντομότερο δυνατόν·</w:t>
      </w:r>
    </w:p>
    <w:p w:rsidR="00F82A59" w:rsidRPr="004703DC" w:rsidRDefault="005150F5" w:rsidP="00827620">
      <w:pPr>
        <w:pStyle w:val="Normal12"/>
      </w:pPr>
      <w:r w:rsidRPr="004703DC">
        <w:t>12.</w:t>
      </w:r>
      <w:r w:rsidRPr="004703DC">
        <w:tab/>
        <w:t>εκφράζει την ικανοποίησή του για την έγκριση της ευρωπαϊκής πράξης για τα μικροκυκλώματα, η οποί</w:t>
      </w:r>
      <w:r w:rsidRPr="004703DC">
        <w:t xml:space="preserve">α θα αυξήσει την ικανότητα της ΕΕ να παράγει ημιαγωγούς και θα δημιουργήσει έναν στρατηγικό χάρτη, μεταξύ άλλων, των κενών ικανοτήτων στην αξιακή αλυσίδα των ημιαγωγών στην ΕΕ, περιορίζοντας έτσι την εξάρτηση της ΕΕ από τρίτες χώρες, όπως η Κίνα· ζητεί να </w:t>
      </w:r>
      <w:r w:rsidRPr="004703DC">
        <w:t>υποβληθούν περαιτέρω προτάσεις για τη διασφάλιση των αλυσίδων παραγωγής και εφοδιασμού υποδομών και υλικών ζωτικής σημασίας εντός της ΕΕ·</w:t>
      </w:r>
    </w:p>
    <w:p w:rsidR="00F82A59" w:rsidRPr="004703DC" w:rsidRDefault="005150F5" w:rsidP="00827620">
      <w:pPr>
        <w:pStyle w:val="Normal12"/>
      </w:pPr>
      <w:r w:rsidRPr="004703DC">
        <w:t>13.</w:t>
      </w:r>
      <w:r w:rsidRPr="004703DC">
        <w:tab/>
        <w:t>καλεί την Επιτροπή να προτείνει ένα νέο νομοθετικό πλαίσιο για τον μετριασμό των κινδύνων για την ασφάλεια που προ</w:t>
      </w:r>
      <w:r w:rsidRPr="004703DC">
        <w:t>έρχονται από τους προμηθευτές υποθαλάσσιων καλωδίων· τονίζει την ανάγκη να εμποδιστούν οι προμηθευτές καλωδιακών συστημάτων, όπως οι κινεζικές εταιρείες, να ανταλλάσσουν δεδομένα με υπηρεσίες πληροφοριών πέρα από την προστασία των υποδομών από εξωτερικές ε</w:t>
      </w:r>
      <w:r w:rsidRPr="004703DC">
        <w:t>ισβολές ή κακοήθεις επιθέσεις·</w:t>
      </w:r>
    </w:p>
    <w:p w:rsidR="00F82A59" w:rsidRPr="004703DC" w:rsidRDefault="005150F5" w:rsidP="00F82A59">
      <w:pPr>
        <w:pStyle w:val="Normal12"/>
        <w:ind w:left="0" w:firstLine="0"/>
        <w:rPr>
          <w:rStyle w:val="BoldItalic"/>
          <w:b w:val="0"/>
          <w:i w:val="0"/>
        </w:rPr>
      </w:pPr>
      <w:r w:rsidRPr="004703DC">
        <w:rPr>
          <w:rStyle w:val="BoldItalic"/>
        </w:rPr>
        <w:t>Σύνδεση εσωτερικών-εξωτερικών πτυχών: ενίσχυση της ανθεκτικότητας των στενότερων εταίρων της ΕΕ</w:t>
      </w:r>
    </w:p>
    <w:p w:rsidR="00F82A59" w:rsidRPr="004703DC" w:rsidRDefault="005150F5" w:rsidP="00827620">
      <w:pPr>
        <w:pStyle w:val="Normal12"/>
      </w:pPr>
      <w:r w:rsidRPr="004703DC">
        <w:t>14.</w:t>
      </w:r>
      <w:r w:rsidRPr="004703DC">
        <w:tab/>
        <w:t>έχει επίγνωση της διείσδυσης της ΛΔΚ στην αγορά της ΕΕ και στην ευρύτερη γειτονία της· καλεί την Επιτροπή και την Ευρωπαϊκή Υ</w:t>
      </w:r>
      <w:r w:rsidRPr="004703DC">
        <w:t xml:space="preserve">πηρεσία Εξωτερικής Δράσης (ΕΥΕΔ) να διασφαλίσουν ότι τα μέτρα που λαμβάνονται για την ενίσχυση της ανθεκτικότητας της ΕΕ έναντι της κινεζικής επιρροής θα επεκταθούν επίσης στους πλησιέστερους εταίρους της ΕΕ, ιδίως στις υπό ένταξη χώρες και στις χώρες που </w:t>
      </w:r>
      <w:r w:rsidRPr="004703DC">
        <w:t>αποτελούν μέρος της πολιτικής γειτονίας της ΕΕ·</w:t>
      </w:r>
    </w:p>
    <w:p w:rsidR="00F82A59" w:rsidRPr="004703DC" w:rsidRDefault="005150F5" w:rsidP="00827620">
      <w:pPr>
        <w:pStyle w:val="Normal12"/>
      </w:pPr>
      <w:r w:rsidRPr="004703DC">
        <w:t>15.</w:t>
      </w:r>
      <w:r w:rsidRPr="004703DC">
        <w:tab/>
        <w:t>υπενθυμίζει ότι οι ναυτικές δυνάμεις της ΛΔΚ διαθέτουν νομικά εργαλεία για να διασφαλίσουν ότι τα μη στρατιωτικά πλοία και οι υποδομές της Κίνας μπορούν να χρησιμοποιηθούν για στρατιωτικούς σκοπούς και σκ</w:t>
      </w:r>
      <w:r w:rsidRPr="004703DC">
        <w:t>οπούς ασφάλειας· θεωρεί ότι η Κίνα μπορεί να χρησιμοποιήσει τις μη στρατιωτικές εμπορικές υποδομές της για να στηρίξει την παρουσία του PLA σε τρίτες χώρες· προειδοποιεί ότι η εν λόγω MCF παρέχει στον PLA πρόσβαση σε ξένα λιμάνια, επιτρέποντάς του να διαθέ</w:t>
      </w:r>
      <w:r w:rsidRPr="004703DC">
        <w:t>σει εκ των προτέρων την παροχή υλικοτεχνικής υποστήριξης για τη διατήρηση των ναυτικών αποστολών σε περιοχές όπως ο Ινδικός Ωκεανός, η Μεσόγειος Θάλασσα και ο Ατλαντικός Ωκεανός· υπογραμμίζει ότι οι κίνδυνοι κατασκοπείας είναι υψηλότεροι όταν κινεζικά μη σ</w:t>
      </w:r>
      <w:r w:rsidRPr="004703DC">
        <w:t xml:space="preserve">τρατιωτικά εμπορικά περιουσιακά στοιχεία βρίσκονται σε υλικοτεχνικούς κόμβους κοντά σε ναυτικές βάσεις της ΕΕ και του ΝΑΤΟ ή φορείς </w:t>
      </w:r>
      <w:r w:rsidRPr="004703DC">
        <w:lastRenderedPageBreak/>
        <w:t>εκμετάλλευσης λιμένων που έχουν υπογράψει συμφωνίες για την παροχή υλικοτεχνικής υποστήριξης σε ευρωπαϊκές εταιρείες·</w:t>
      </w:r>
    </w:p>
    <w:p w:rsidR="00F82A59" w:rsidRPr="004703DC" w:rsidRDefault="005150F5" w:rsidP="00827620">
      <w:pPr>
        <w:pStyle w:val="Normal12"/>
        <w:rPr>
          <w:rStyle w:val="BoldItalic"/>
          <w:b w:val="0"/>
          <w:i w:val="0"/>
        </w:rPr>
      </w:pPr>
      <w:r w:rsidRPr="004703DC">
        <w:rPr>
          <w:rStyle w:val="BoldItalic"/>
          <w:b w:val="0"/>
          <w:i w:val="0"/>
        </w:rPr>
        <w:t>16.</w:t>
      </w:r>
      <w:r w:rsidRPr="004703DC">
        <w:rPr>
          <w:rStyle w:val="BoldItalic"/>
          <w:b w:val="0"/>
          <w:i w:val="0"/>
        </w:rPr>
        <w:tab/>
      </w:r>
      <w:r w:rsidRPr="004703DC">
        <w:t>ση</w:t>
      </w:r>
      <w:r w:rsidRPr="004703DC">
        <w:t>μειώνει ότι το ένα τρίτο του συνόλου των αφρικανικών υποδομών που έχουν κατασκευαστεί από το 2010 έχει χρηματοδοτηθεί και κατασκευαστεί από κινεζικές κρατικές επιχειρήσεις· υπογραμμίζει ότι, τα τελευταία 20 χρόνια, η Κίνα έχει αυξήσει τις εμπορικές, επενδυ</w:t>
      </w:r>
      <w:r w:rsidRPr="004703DC">
        <w:t>τικές και δανειακές δεσμεύσεις της με λίγες ή αδιαφανείς συμβατικές υποχρεώσεις· εκφράζει την ανησυχία του για το γεγονός ότι αυτό το κινεζικό μοντέλο είναι σαφώς ελκυστικό για πολλές χώρες που δεν μπορούν να ικανοποιήσουν τις απαιτήσεις της ΕΕ για πρόσβασ</w:t>
      </w:r>
      <w:r w:rsidRPr="004703DC">
        <w:t>η σε ισοδύναμα επίπεδα χρηματοδότησης, επεκτείνοντας έτσι την κινεζική επιρροή εις βάρος των εταιρικών σχέσεων της ΕΕ· καλεί την Επιτροπή και την ΕΥΕΔ να διασφαλίσουν ότι τα υψηλά πρότυπα της ΕΕ για τις επενδύσεις με τους εταίρους δεν θέτουν σε κίνδυνο τις</w:t>
      </w:r>
      <w:r w:rsidRPr="004703DC">
        <w:t xml:space="preserve"> σχέσεις ασφάλειας και τη συμμετοχή της ως αξιόπιστου και στρατηγικού εταίρου·</w:t>
      </w:r>
    </w:p>
    <w:p w:rsidR="00F82A59" w:rsidRPr="004703DC" w:rsidRDefault="005150F5" w:rsidP="00827620">
      <w:pPr>
        <w:pStyle w:val="Normal12"/>
      </w:pPr>
      <w:r w:rsidRPr="004703DC">
        <w:t>17.</w:t>
      </w:r>
      <w:r w:rsidRPr="004703DC">
        <w:tab/>
        <w:t>υπογραμμίζει με ανησυχία τη στρατηγική της ΛΔΚ για την οικοδόμηση μιας «βάσης συνεργασίας για τη γαλάζια οικονομία» κατά μήκος των ακτών της Αφρικής, μεταξύ άλλων μέσω της κ</w:t>
      </w:r>
      <w:r w:rsidRPr="004703DC">
        <w:t>ατασκευής αλιευτικών σκαφών και εγκαταστάσεων επισκευής σκαφών, που μπορούν επίσης να χρησιμοποιηθούν για στρατιωτικούς σκοπούς· τονίζει ότι υπάρχει γενική έλλειψη λεπτομερειών και διαφάνειας όσον αφορά τις εν λόγω συμφωνίες και άδειες με αφρικανικές χώρες</w:t>
      </w:r>
      <w:r w:rsidRPr="004703DC">
        <w:t>· περιγράφει τις πιθανές γεωπολιτικές συνέπειες για την ΕΕ, ιδίως σε τρίτες χώρες όπου εμπλέκεται η ΕΕ·</w:t>
      </w:r>
    </w:p>
    <w:p w:rsidR="00F82A59" w:rsidRPr="004703DC" w:rsidRDefault="005150F5" w:rsidP="00F82A59">
      <w:pPr>
        <w:pStyle w:val="Normalhanging12a0"/>
        <w:jc w:val="center"/>
      </w:pPr>
      <w:r w:rsidRPr="004703DC">
        <w:t>°</w:t>
      </w:r>
    </w:p>
    <w:p w:rsidR="00F82A59" w:rsidRPr="004703DC" w:rsidRDefault="005150F5" w:rsidP="00F82A59">
      <w:pPr>
        <w:pStyle w:val="Normalhanging12a0"/>
        <w:jc w:val="center"/>
      </w:pPr>
      <w:r w:rsidRPr="004703DC">
        <w:t>°</w:t>
      </w:r>
      <w:r w:rsidRPr="004703DC">
        <w:tab/>
        <w:t>°</w:t>
      </w:r>
    </w:p>
    <w:p w:rsidR="00F82A59" w:rsidRPr="004703DC" w:rsidRDefault="005150F5" w:rsidP="00827620">
      <w:pPr>
        <w:pStyle w:val="Normal12"/>
      </w:pPr>
      <w:r w:rsidRPr="004703DC">
        <w:t>18.</w:t>
      </w:r>
      <w:r w:rsidRPr="004703DC">
        <w:tab/>
        <w:t>αναθέτει στην Πρόεδρό του να διαβιβάσει το παρόν ψήφισμα στον Αντιπρόεδρο της Επιτροπής / Ύπατο Εκπρόσωπο της Ένωσης για Θέματα Εξωτερικής Πολ</w:t>
      </w:r>
      <w:r w:rsidRPr="004703DC">
        <w:t>ιτικής και Πολιτικής Ασφαλείας, στο Συμβούλιο και στην Επιτροπή.</w:t>
      </w:r>
    </w:p>
    <w:sectPr w:rsidR="00F82A59" w:rsidRPr="004703DC" w:rsidSect="004703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703DC" w:rsidRDefault="005150F5">
      <w:r w:rsidRPr="004703DC">
        <w:separator/>
      </w:r>
    </w:p>
  </w:endnote>
  <w:endnote w:type="continuationSeparator" w:id="0">
    <w:p w:rsidR="00000000" w:rsidRPr="004703DC" w:rsidRDefault="005150F5">
      <w:r w:rsidRPr="00470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3DC" w:rsidRPr="004703DC" w:rsidRDefault="004703DC" w:rsidP="004703DC">
    <w:pPr>
      <w:pStyle w:val="EPFooter"/>
    </w:pPr>
    <w:r w:rsidRPr="004703DC">
      <w:t>PE</w:t>
    </w:r>
    <w:r w:rsidRPr="004703DC">
      <w:rPr>
        <w:rStyle w:val="HideTWBExt"/>
      </w:rPr>
      <w:t>&lt;NoPE&gt;</w:t>
    </w:r>
    <w:r w:rsidRPr="004703DC">
      <w:t>750.176</w:t>
    </w:r>
    <w:r w:rsidRPr="004703DC">
      <w:rPr>
        <w:rStyle w:val="HideTWBExt"/>
      </w:rPr>
      <w:t>&lt;/NoPE&gt;&lt;Version&gt;</w:t>
    </w:r>
    <w:r w:rsidRPr="004703DC">
      <w:t>v01-00</w:t>
    </w:r>
    <w:r w:rsidRPr="004703DC">
      <w:rPr>
        <w:rStyle w:val="HideTWBExt"/>
      </w:rPr>
      <w:t>&lt;/Version&gt;</w:t>
    </w:r>
    <w:r w:rsidRPr="004703DC">
      <w:tab/>
    </w:r>
    <w:r w:rsidRPr="004703DC">
      <w:fldChar w:fldCharType="begin"/>
    </w:r>
    <w:r w:rsidRPr="004703DC">
      <w:instrText xml:space="preserve"> PAGE  \* MERGEFORMAT </w:instrText>
    </w:r>
    <w:r w:rsidRPr="004703DC">
      <w:fldChar w:fldCharType="separate"/>
    </w:r>
    <w:r w:rsidR="005150F5">
      <w:rPr>
        <w:noProof/>
      </w:rPr>
      <w:t>2</w:t>
    </w:r>
    <w:r w:rsidRPr="004703DC">
      <w:fldChar w:fldCharType="end"/>
    </w:r>
    <w:r w:rsidRPr="004703DC">
      <w:t>/</w:t>
    </w:r>
    <w:fldSimple w:instr=" NUMPAGES  \* MERGEFORMAT ">
      <w:r w:rsidR="005150F5">
        <w:rPr>
          <w:noProof/>
        </w:rPr>
        <w:t>5</w:t>
      </w:r>
    </w:fldSimple>
    <w:r w:rsidRPr="004703DC">
      <w:tab/>
    </w:r>
    <w:r w:rsidRPr="004703DC">
      <w:rPr>
        <w:rStyle w:val="HideTWBExt"/>
      </w:rPr>
      <w:t>&lt;PathFdR&gt;</w:t>
    </w:r>
    <w:r w:rsidRPr="004703DC">
      <w:t>PR\1281950EL.docx</w:t>
    </w:r>
    <w:r w:rsidRPr="004703DC">
      <w:rPr>
        <w:rStyle w:val="HideTWBExt"/>
      </w:rPr>
      <w:t>&lt;/PathFdR&gt;</w:t>
    </w:r>
  </w:p>
  <w:p w:rsidR="004602FB" w:rsidRPr="004703DC" w:rsidRDefault="004703DC" w:rsidP="004703DC">
    <w:pPr>
      <w:pStyle w:val="EPFooter2"/>
    </w:pPr>
    <w:r w:rsidRPr="004703D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3DC" w:rsidRPr="004703DC" w:rsidRDefault="004703DC" w:rsidP="004703DC">
    <w:pPr>
      <w:pStyle w:val="EPFooter"/>
    </w:pPr>
    <w:r w:rsidRPr="004703DC">
      <w:rPr>
        <w:rStyle w:val="HideTWBExt"/>
      </w:rPr>
      <w:t>&lt;PathFdR&gt;</w:t>
    </w:r>
    <w:r w:rsidRPr="004703DC">
      <w:t>PR\1281950EL.docx</w:t>
    </w:r>
    <w:r w:rsidRPr="004703DC">
      <w:rPr>
        <w:rStyle w:val="HideTWBExt"/>
      </w:rPr>
      <w:t>&lt;/PathFdR&gt;</w:t>
    </w:r>
    <w:r w:rsidRPr="004703DC">
      <w:tab/>
    </w:r>
    <w:r w:rsidRPr="004703DC">
      <w:fldChar w:fldCharType="begin"/>
    </w:r>
    <w:r w:rsidRPr="004703DC">
      <w:instrText xml:space="preserve"> PAGE  \* MERGEFORMAT </w:instrText>
    </w:r>
    <w:r w:rsidRPr="004703DC">
      <w:fldChar w:fldCharType="separate"/>
    </w:r>
    <w:r w:rsidR="005150F5">
      <w:rPr>
        <w:noProof/>
      </w:rPr>
      <w:t>8</w:t>
    </w:r>
    <w:r w:rsidRPr="004703DC">
      <w:fldChar w:fldCharType="end"/>
    </w:r>
    <w:r w:rsidRPr="004703DC">
      <w:t>/</w:t>
    </w:r>
    <w:fldSimple w:instr=" NUMPAGES  \* MERGEFORMAT ">
      <w:r w:rsidR="005150F5">
        <w:rPr>
          <w:noProof/>
        </w:rPr>
        <w:t>8</w:t>
      </w:r>
    </w:fldSimple>
    <w:r w:rsidRPr="004703DC">
      <w:tab/>
      <w:t>PE</w:t>
    </w:r>
    <w:r w:rsidRPr="004703DC">
      <w:rPr>
        <w:rStyle w:val="HideTWBExt"/>
      </w:rPr>
      <w:t>&lt;NoPE&gt;</w:t>
    </w:r>
    <w:r w:rsidRPr="004703DC">
      <w:t>750.176</w:t>
    </w:r>
    <w:r w:rsidRPr="004703DC">
      <w:rPr>
        <w:rStyle w:val="HideTWBExt"/>
      </w:rPr>
      <w:t>&lt;/NoPE&gt;&lt;Version&gt;</w:t>
    </w:r>
    <w:r w:rsidRPr="004703DC">
      <w:t>v01-00</w:t>
    </w:r>
    <w:r w:rsidRPr="004703DC">
      <w:rPr>
        <w:rStyle w:val="HideTWBExt"/>
      </w:rPr>
      <w:t>&lt;/Version&gt;</w:t>
    </w:r>
  </w:p>
  <w:p w:rsidR="004602FB" w:rsidRPr="004703DC" w:rsidRDefault="004703DC" w:rsidP="004703DC">
    <w:pPr>
      <w:pStyle w:val="EPFooter2"/>
    </w:pPr>
    <w:r w:rsidRPr="004703DC">
      <w:tab/>
    </w:r>
    <w:r w:rsidRPr="004703D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3DC" w:rsidRPr="004703DC" w:rsidRDefault="004703DC" w:rsidP="004703DC">
    <w:pPr>
      <w:pStyle w:val="EPFooter"/>
    </w:pPr>
    <w:r w:rsidRPr="004703DC">
      <w:rPr>
        <w:rStyle w:val="HideTWBExt"/>
      </w:rPr>
      <w:t>&lt;PathFdR&gt;</w:t>
    </w:r>
    <w:r w:rsidRPr="004703DC">
      <w:t>PR\1281950EL.docx</w:t>
    </w:r>
    <w:r w:rsidRPr="004703DC">
      <w:rPr>
        <w:rStyle w:val="HideTWBExt"/>
      </w:rPr>
      <w:t>&lt;/PathFdR&gt;</w:t>
    </w:r>
    <w:r w:rsidRPr="004703DC">
      <w:tab/>
    </w:r>
    <w:r w:rsidRPr="004703DC">
      <w:tab/>
      <w:t>PE</w:t>
    </w:r>
    <w:r w:rsidRPr="004703DC">
      <w:rPr>
        <w:rStyle w:val="HideTWBExt"/>
      </w:rPr>
      <w:t>&lt;NoPE&gt;</w:t>
    </w:r>
    <w:r w:rsidRPr="004703DC">
      <w:t>750.176</w:t>
    </w:r>
    <w:r w:rsidRPr="004703DC">
      <w:rPr>
        <w:rStyle w:val="HideTWBExt"/>
      </w:rPr>
      <w:t>&lt;/NoPE&gt;&lt;Version&gt;</w:t>
    </w:r>
    <w:r w:rsidRPr="004703DC">
      <w:t>v01-00</w:t>
    </w:r>
    <w:r w:rsidRPr="004703DC">
      <w:rPr>
        <w:rStyle w:val="HideTWBExt"/>
      </w:rPr>
      <w:t>&lt;/Version&gt;</w:t>
    </w:r>
  </w:p>
  <w:p w:rsidR="004602FB" w:rsidRPr="004703DC" w:rsidRDefault="004703DC" w:rsidP="004703DC">
    <w:pPr>
      <w:pStyle w:val="EPFooter2"/>
    </w:pPr>
    <w:r w:rsidRPr="004703DC">
      <w:t>EL</w:t>
    </w:r>
    <w:r w:rsidRPr="004703DC">
      <w:tab/>
    </w:r>
    <w:r w:rsidRPr="004703DC">
      <w:rPr>
        <w:b w:val="0"/>
        <w:i/>
        <w:color w:val="C0C0C0"/>
        <w:sz w:val="22"/>
      </w:rPr>
      <w:t>Ενωμένη στην πολυμορφία</w:t>
    </w:r>
    <w:r w:rsidRPr="004703D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2FB" w:rsidRPr="004703DC" w:rsidRDefault="005150F5">
      <w:r w:rsidRPr="004703DC">
        <w:separator/>
      </w:r>
    </w:p>
  </w:footnote>
  <w:footnote w:type="continuationSeparator" w:id="0">
    <w:p w:rsidR="004602FB" w:rsidRPr="004703DC" w:rsidRDefault="005150F5">
      <w:r w:rsidRPr="004703DC">
        <w:continuationSeparator/>
      </w:r>
    </w:p>
  </w:footnote>
  <w:footnote w:id="1">
    <w:p w:rsidR="004602FB" w:rsidRPr="004703DC" w:rsidRDefault="005150F5">
      <w:pPr>
        <w:pStyle w:val="FootnoteText"/>
      </w:pPr>
      <w:r w:rsidRPr="004703DC">
        <w:rPr>
          <w:rStyle w:val="FootnoteReference"/>
        </w:rPr>
        <w:footnoteRef/>
      </w:r>
      <w:r w:rsidRPr="004703DC">
        <w:t xml:space="preserve"> ΕΕ L 333 της 27.12.2022, σ. 164.</w:t>
      </w:r>
    </w:p>
  </w:footnote>
  <w:footnote w:id="2">
    <w:p w:rsidR="004602FB" w:rsidRPr="004703DC" w:rsidRDefault="005150F5">
      <w:pPr>
        <w:pStyle w:val="FootnoteText"/>
      </w:pPr>
      <w:r w:rsidRPr="004703DC">
        <w:rPr>
          <w:rStyle w:val="FootnoteReference"/>
        </w:rPr>
        <w:footnoteRef/>
      </w:r>
      <w:r w:rsidRPr="004703DC">
        <w:t xml:space="preserve"> ΕΕ L 333 της 27.12.2022, σ. 80.</w:t>
      </w:r>
    </w:p>
  </w:footnote>
  <w:footnote w:id="3">
    <w:p w:rsidR="004602FB" w:rsidRPr="004703DC" w:rsidRDefault="005150F5">
      <w:pPr>
        <w:pStyle w:val="FootnoteText"/>
      </w:pPr>
      <w:r w:rsidRPr="004703DC">
        <w:rPr>
          <w:rStyle w:val="FootnoteReference"/>
        </w:rPr>
        <w:footnoteRef/>
      </w:r>
      <w:r w:rsidRPr="004703DC">
        <w:t xml:space="preserve"> ΕΕ L XXX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0F5" w:rsidRDefault="00515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0F5" w:rsidRDefault="005150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0F5" w:rsidRDefault="00515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1577138"/>
    <w:multiLevelType w:val="hybridMultilevel"/>
    <w:tmpl w:val="8A9C1B22"/>
    <w:lvl w:ilvl="0" w:tplc="607609A4">
      <w:start w:val="1"/>
      <w:numFmt w:val="upperLetter"/>
      <w:lvlText w:val="%1."/>
      <w:lvlJc w:val="left"/>
      <w:pPr>
        <w:ind w:left="2345" w:hanging="360"/>
      </w:pPr>
      <w:rPr>
        <w:rFonts w:cs="Times New Roman"/>
      </w:rPr>
    </w:lvl>
    <w:lvl w:ilvl="1" w:tplc="51629E88">
      <w:start w:val="1"/>
      <w:numFmt w:val="lowerLetter"/>
      <w:lvlText w:val="%2."/>
      <w:lvlJc w:val="left"/>
      <w:pPr>
        <w:ind w:left="3065" w:hanging="360"/>
      </w:pPr>
      <w:rPr>
        <w:rFonts w:cs="Times New Roman"/>
      </w:rPr>
    </w:lvl>
    <w:lvl w:ilvl="2" w:tplc="3F68E804">
      <w:start w:val="1"/>
      <w:numFmt w:val="lowerRoman"/>
      <w:lvlText w:val="%3."/>
      <w:lvlJc w:val="right"/>
      <w:pPr>
        <w:ind w:left="3785" w:hanging="180"/>
      </w:pPr>
      <w:rPr>
        <w:rFonts w:cs="Times New Roman"/>
      </w:rPr>
    </w:lvl>
    <w:lvl w:ilvl="3" w:tplc="A22E4E3C">
      <w:start w:val="1"/>
      <w:numFmt w:val="decimal"/>
      <w:lvlText w:val="%4."/>
      <w:lvlJc w:val="left"/>
      <w:pPr>
        <w:ind w:left="4505" w:hanging="360"/>
      </w:pPr>
      <w:rPr>
        <w:rFonts w:cs="Times New Roman"/>
      </w:rPr>
    </w:lvl>
    <w:lvl w:ilvl="4" w:tplc="B35EC186">
      <w:start w:val="1"/>
      <w:numFmt w:val="lowerLetter"/>
      <w:lvlText w:val="%5."/>
      <w:lvlJc w:val="left"/>
      <w:pPr>
        <w:ind w:left="5225" w:hanging="360"/>
      </w:pPr>
      <w:rPr>
        <w:rFonts w:cs="Times New Roman"/>
      </w:rPr>
    </w:lvl>
    <w:lvl w:ilvl="5" w:tplc="E8327330">
      <w:start w:val="1"/>
      <w:numFmt w:val="lowerRoman"/>
      <w:lvlText w:val="%6."/>
      <w:lvlJc w:val="right"/>
      <w:pPr>
        <w:ind w:left="5945" w:hanging="180"/>
      </w:pPr>
      <w:rPr>
        <w:rFonts w:cs="Times New Roman"/>
      </w:rPr>
    </w:lvl>
    <w:lvl w:ilvl="6" w:tplc="5EB0DCF8">
      <w:start w:val="1"/>
      <w:numFmt w:val="decimal"/>
      <w:lvlText w:val="%7."/>
      <w:lvlJc w:val="left"/>
      <w:pPr>
        <w:ind w:left="6665" w:hanging="360"/>
      </w:pPr>
      <w:rPr>
        <w:rFonts w:cs="Times New Roman"/>
      </w:rPr>
    </w:lvl>
    <w:lvl w:ilvl="7" w:tplc="9DBCAB52">
      <w:start w:val="1"/>
      <w:numFmt w:val="lowerLetter"/>
      <w:lvlText w:val="%8."/>
      <w:lvlJc w:val="left"/>
      <w:pPr>
        <w:ind w:left="7385" w:hanging="360"/>
      </w:pPr>
      <w:rPr>
        <w:rFonts w:cs="Times New Roman"/>
      </w:rPr>
    </w:lvl>
    <w:lvl w:ilvl="8" w:tplc="FBDE0416">
      <w:start w:val="1"/>
      <w:numFmt w:val="lowerRoman"/>
      <w:lvlText w:val="%9."/>
      <w:lvlJc w:val="right"/>
      <w:pPr>
        <w:ind w:left="8105" w:hanging="180"/>
      </w:pPr>
      <w:rPr>
        <w:rFonts w:cs="Times New Roman"/>
      </w:rPr>
    </w:lvl>
  </w:abstractNum>
  <w:abstractNum w:abstractNumId="11" w15:restartNumberingAfterBreak="0">
    <w:nsid w:val="7BA666AB"/>
    <w:multiLevelType w:val="hybridMultilevel"/>
    <w:tmpl w:val="ADC020A6"/>
    <w:lvl w:ilvl="0" w:tplc="10FCD1AC">
      <w:start w:val="1"/>
      <w:numFmt w:val="decimal"/>
      <w:lvlText w:val="%1."/>
      <w:lvlJc w:val="left"/>
      <w:pPr>
        <w:ind w:left="720" w:hanging="720"/>
      </w:pPr>
      <w:rPr>
        <w:rFonts w:cs="Times New Roman"/>
      </w:rPr>
    </w:lvl>
    <w:lvl w:ilvl="1" w:tplc="58BEF4FE">
      <w:start w:val="1"/>
      <w:numFmt w:val="lowerLetter"/>
      <w:lvlText w:val="%2."/>
      <w:lvlJc w:val="left"/>
      <w:pPr>
        <w:ind w:left="1440" w:hanging="360"/>
      </w:pPr>
      <w:rPr>
        <w:rFonts w:cs="Times New Roman"/>
      </w:rPr>
    </w:lvl>
    <w:lvl w:ilvl="2" w:tplc="5F5847E8">
      <w:start w:val="1"/>
      <w:numFmt w:val="lowerRoman"/>
      <w:lvlText w:val="%3."/>
      <w:lvlJc w:val="right"/>
      <w:pPr>
        <w:ind w:left="2160" w:hanging="180"/>
      </w:pPr>
      <w:rPr>
        <w:rFonts w:cs="Times New Roman"/>
      </w:rPr>
    </w:lvl>
    <w:lvl w:ilvl="3" w:tplc="FF1C7B0C">
      <w:start w:val="1"/>
      <w:numFmt w:val="decimal"/>
      <w:lvlText w:val="%4."/>
      <w:lvlJc w:val="left"/>
      <w:pPr>
        <w:ind w:left="2880" w:hanging="360"/>
      </w:pPr>
      <w:rPr>
        <w:rFonts w:cs="Times New Roman"/>
      </w:rPr>
    </w:lvl>
    <w:lvl w:ilvl="4" w:tplc="1892E0AC">
      <w:start w:val="1"/>
      <w:numFmt w:val="lowerLetter"/>
      <w:lvlText w:val="%5."/>
      <w:lvlJc w:val="left"/>
      <w:pPr>
        <w:ind w:left="3600" w:hanging="360"/>
      </w:pPr>
      <w:rPr>
        <w:rFonts w:cs="Times New Roman"/>
      </w:rPr>
    </w:lvl>
    <w:lvl w:ilvl="5" w:tplc="E54E798A">
      <w:start w:val="1"/>
      <w:numFmt w:val="lowerRoman"/>
      <w:lvlText w:val="%6."/>
      <w:lvlJc w:val="right"/>
      <w:pPr>
        <w:ind w:left="4320" w:hanging="180"/>
      </w:pPr>
      <w:rPr>
        <w:rFonts w:cs="Times New Roman"/>
      </w:rPr>
    </w:lvl>
    <w:lvl w:ilvl="6" w:tplc="FEAE24B8">
      <w:start w:val="1"/>
      <w:numFmt w:val="decimal"/>
      <w:lvlText w:val="%7."/>
      <w:lvlJc w:val="left"/>
      <w:pPr>
        <w:ind w:left="5040" w:hanging="360"/>
      </w:pPr>
      <w:rPr>
        <w:rFonts w:cs="Times New Roman"/>
      </w:rPr>
    </w:lvl>
    <w:lvl w:ilvl="7" w:tplc="07A0D59A">
      <w:start w:val="1"/>
      <w:numFmt w:val="lowerLetter"/>
      <w:lvlText w:val="%8."/>
      <w:lvlJc w:val="left"/>
      <w:pPr>
        <w:ind w:left="5760" w:hanging="360"/>
      </w:pPr>
      <w:rPr>
        <w:rFonts w:cs="Times New Roman"/>
      </w:rPr>
    </w:lvl>
    <w:lvl w:ilvl="8" w:tplc="16FE5F2C">
      <w:start w:val="1"/>
      <w:numFmt w:val="lowerRoman"/>
      <w:lvlText w:val="%9."/>
      <w:lvlJc w:val="right"/>
      <w:pPr>
        <w:ind w:left="6480" w:hanging="180"/>
      </w:pPr>
      <w:rPr>
        <w:rFonts w:cs="Times New Roman"/>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CopyToNetwork" w:val="-1"/>
    <w:docVar w:name="LastEditedSection" w:val=" 1"/>
    <w:docVar w:name="MOTIONMNU" w:val=" 3"/>
    <w:docVar w:name="RULEMNU" w:val=" 1"/>
    <w:docVar w:name="strDocTypeID" w:val="PR_INI"/>
    <w:docVar w:name="strSubDir" w:val="1281"/>
    <w:docVar w:name="TITLEMNU" w:val=" 1"/>
    <w:docVar w:name="TXTLANGUE" w:val="EN"/>
    <w:docVar w:name="TXTLANGUEMIN" w:val="en"/>
    <w:docVar w:name="TXTNRINI" w:val="2023/2072"/>
    <w:docVar w:name="TXTNRPE" w:val="750.176"/>
    <w:docVar w:name="TXTPEorAP" w:val="PE"/>
    <w:docVar w:name="TXTROUTE" w:val="PR\1281950EN.docx"/>
    <w:docVar w:name="TXTTITLE" w:val="the security and defence implications of China’s influence on critical infrastructure in the European Union"/>
    <w:docVar w:name="TXTVERSION" w:val="01-00"/>
  </w:docVars>
  <w:rsids>
    <w:rsidRoot w:val="00504FDC"/>
    <w:rsid w:val="00040EAC"/>
    <w:rsid w:val="0007541B"/>
    <w:rsid w:val="00082B37"/>
    <w:rsid w:val="000D2631"/>
    <w:rsid w:val="000E6F1A"/>
    <w:rsid w:val="00100069"/>
    <w:rsid w:val="001046B1"/>
    <w:rsid w:val="00105C44"/>
    <w:rsid w:val="0016385D"/>
    <w:rsid w:val="00195034"/>
    <w:rsid w:val="001B207D"/>
    <w:rsid w:val="001F2CE9"/>
    <w:rsid w:val="0023245A"/>
    <w:rsid w:val="002544DF"/>
    <w:rsid w:val="002F249A"/>
    <w:rsid w:val="00335F69"/>
    <w:rsid w:val="00367F82"/>
    <w:rsid w:val="00395A66"/>
    <w:rsid w:val="003E6413"/>
    <w:rsid w:val="004016B4"/>
    <w:rsid w:val="004200B3"/>
    <w:rsid w:val="00432B50"/>
    <w:rsid w:val="00455003"/>
    <w:rsid w:val="004602FB"/>
    <w:rsid w:val="00466A1A"/>
    <w:rsid w:val="004703DC"/>
    <w:rsid w:val="004D028B"/>
    <w:rsid w:val="00504FDC"/>
    <w:rsid w:val="005150F5"/>
    <w:rsid w:val="00531F4C"/>
    <w:rsid w:val="00584A07"/>
    <w:rsid w:val="00597F46"/>
    <w:rsid w:val="005D01F5"/>
    <w:rsid w:val="005D2D7A"/>
    <w:rsid w:val="005E4AB9"/>
    <w:rsid w:val="006272CD"/>
    <w:rsid w:val="006A0500"/>
    <w:rsid w:val="00705D44"/>
    <w:rsid w:val="00726C82"/>
    <w:rsid w:val="007963C6"/>
    <w:rsid w:val="008275A5"/>
    <w:rsid w:val="00827620"/>
    <w:rsid w:val="00865656"/>
    <w:rsid w:val="00885E66"/>
    <w:rsid w:val="00893F48"/>
    <w:rsid w:val="008C4C65"/>
    <w:rsid w:val="0090583E"/>
    <w:rsid w:val="0095536F"/>
    <w:rsid w:val="00956282"/>
    <w:rsid w:val="00996AC6"/>
    <w:rsid w:val="009A2651"/>
    <w:rsid w:val="009B45D2"/>
    <w:rsid w:val="009E4ABB"/>
    <w:rsid w:val="00A20A95"/>
    <w:rsid w:val="00A25378"/>
    <w:rsid w:val="00AC6410"/>
    <w:rsid w:val="00AF310F"/>
    <w:rsid w:val="00B17532"/>
    <w:rsid w:val="00B50C00"/>
    <w:rsid w:val="00BA2A57"/>
    <w:rsid w:val="00BA5076"/>
    <w:rsid w:val="00BB70F1"/>
    <w:rsid w:val="00BC7C60"/>
    <w:rsid w:val="00BE50AD"/>
    <w:rsid w:val="00C00074"/>
    <w:rsid w:val="00C339D7"/>
    <w:rsid w:val="00C93A60"/>
    <w:rsid w:val="00CD3E8A"/>
    <w:rsid w:val="00D20C59"/>
    <w:rsid w:val="00D260DF"/>
    <w:rsid w:val="00D31D25"/>
    <w:rsid w:val="00D47BB0"/>
    <w:rsid w:val="00DB4680"/>
    <w:rsid w:val="00DD332E"/>
    <w:rsid w:val="00DD7B9D"/>
    <w:rsid w:val="00E155CA"/>
    <w:rsid w:val="00E3537C"/>
    <w:rsid w:val="00E410D3"/>
    <w:rsid w:val="00E57BAB"/>
    <w:rsid w:val="00E61690"/>
    <w:rsid w:val="00E753D5"/>
    <w:rsid w:val="00EA6A16"/>
    <w:rsid w:val="00EB5FD1"/>
    <w:rsid w:val="00F076A5"/>
    <w:rsid w:val="00F3651F"/>
    <w:rsid w:val="00F714A9"/>
    <w:rsid w:val="00F77D0D"/>
    <w:rsid w:val="00F82A5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5DC310-740F-47BD-8E33-388CEC91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A20A95"/>
    <w:rPr>
      <w:sz w:val="20"/>
    </w:rPr>
  </w:style>
  <w:style w:type="character" w:customStyle="1" w:styleId="FootnoteTextChar">
    <w:name w:val="Footnote Text Char"/>
    <w:basedOn w:val="DefaultParagraphFont"/>
    <w:link w:val="FootnoteText"/>
    <w:rsid w:val="00A20A95"/>
  </w:style>
  <w:style w:type="character" w:styleId="FootnoteReference">
    <w:name w:val="footnote reference"/>
    <w:basedOn w:val="DefaultParagraphFont"/>
    <w:rsid w:val="00A20A95"/>
    <w:rPr>
      <w:vertAlign w:val="superscript"/>
    </w:rPr>
  </w:style>
  <w:style w:type="character" w:styleId="Hyperlink">
    <w:name w:val="Hyperlink"/>
    <w:basedOn w:val="DefaultParagraphFont"/>
    <w:uiPriority w:val="99"/>
    <w:unhideWhenUsed/>
    <w:rsid w:val="00F82A59"/>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F82A59"/>
    <w:rPr>
      <w:sz w:val="24"/>
    </w:rPr>
  </w:style>
  <w:style w:type="paragraph" w:customStyle="1" w:styleId="NormalHanging">
    <w:name w:val="NormalHanging"/>
    <w:basedOn w:val="Normal"/>
    <w:rsid w:val="00F82A59"/>
    <w:pPr>
      <w:widowControl/>
      <w:spacing w:after="240"/>
      <w:ind w:left="567" w:hanging="567"/>
    </w:pPr>
  </w:style>
  <w:style w:type="paragraph" w:customStyle="1" w:styleId="NormalBold12a">
    <w:name w:val="NormalBold12a"/>
    <w:basedOn w:val="Normal"/>
    <w:qFormat/>
    <w:rsid w:val="00F82A59"/>
    <w:pPr>
      <w:widowControl/>
      <w:spacing w:after="240"/>
      <w:ind w:left="567" w:hanging="567"/>
    </w:pPr>
    <w:rPr>
      <w:b/>
    </w:rPr>
  </w:style>
  <w:style w:type="paragraph" w:customStyle="1" w:styleId="Normal12">
    <w:name w:val="Normal12"/>
    <w:basedOn w:val="Normal"/>
    <w:qFormat/>
    <w:rsid w:val="00F82A59"/>
    <w:pPr>
      <w:widowControl/>
      <w:spacing w:after="240"/>
      <w:ind w:left="567" w:hanging="567"/>
    </w:pPr>
  </w:style>
  <w:style w:type="paragraph" w:customStyle="1" w:styleId="Default">
    <w:name w:val="Default"/>
    <w:rsid w:val="00F82A59"/>
    <w:pPr>
      <w:autoSpaceDE w:val="0"/>
      <w:autoSpaceDN w:val="0"/>
      <w:adjustRightInd w:val="0"/>
      <w:ind w:left="567" w:hanging="567"/>
    </w:pPr>
    <w:rPr>
      <w:color w:val="000000"/>
      <w:sz w:val="24"/>
      <w:szCs w:val="24"/>
    </w:rPr>
  </w:style>
  <w:style w:type="character" w:customStyle="1" w:styleId="Normalhanging12aChar0">
    <w:name w:val="Normalhanging12a Char"/>
    <w:basedOn w:val="DefaultParagraphFont"/>
    <w:link w:val="Normalhanging12a0"/>
    <w:locked/>
    <w:rsid w:val="00F82A59"/>
    <w:rPr>
      <w:sz w:val="24"/>
    </w:rPr>
  </w:style>
  <w:style w:type="paragraph" w:customStyle="1" w:styleId="Normalhanging12a0">
    <w:name w:val="Normalhanging12a"/>
    <w:basedOn w:val="Normal"/>
    <w:link w:val="Normalhanging12aChar0"/>
    <w:qFormat/>
    <w:rsid w:val="00F82A59"/>
    <w:pPr>
      <w:tabs>
        <w:tab w:val="left" w:pos="567"/>
      </w:tabs>
      <w:spacing w:after="240"/>
      <w:ind w:left="567" w:hanging="567"/>
    </w:pPr>
  </w:style>
  <w:style w:type="character" w:customStyle="1" w:styleId="Italic">
    <w:name w:val="Italic"/>
    <w:uiPriority w:val="1"/>
    <w:qFormat/>
    <w:rsid w:val="00F82A59"/>
    <w:rPr>
      <w:rFonts w:ascii="Times New Roman" w:hAnsi="Times New Roman" w:cs="Times New Roman" w:hint="default"/>
      <w:i/>
      <w:iCs w:val="0"/>
      <w:sz w:val="24"/>
    </w:rPr>
  </w:style>
  <w:style w:type="character" w:customStyle="1" w:styleId="BoldItalic">
    <w:name w:val="BoldItalic"/>
    <w:basedOn w:val="Italic"/>
    <w:uiPriority w:val="1"/>
    <w:qFormat/>
    <w:rsid w:val="00F82A59"/>
    <w:rPr>
      <w:rFonts w:ascii="Times New Roman" w:hAnsi="Times New Roman" w:cs="Times New Roman" w:hint="default"/>
      <w:b/>
      <w:bCs w:val="0"/>
      <w:i/>
      <w:iCs w:val="0"/>
      <w:sz w:val="24"/>
    </w:rPr>
  </w:style>
  <w:style w:type="paragraph" w:styleId="BodyText">
    <w:name w:val="Body Text"/>
    <w:basedOn w:val="Normal"/>
    <w:link w:val="BodyTextChar"/>
    <w:rsid w:val="00E410D3"/>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snapToGrid w:val="0"/>
    </w:rPr>
  </w:style>
  <w:style w:type="character" w:customStyle="1" w:styleId="BodyTextChar">
    <w:name w:val="Body Text Char"/>
    <w:basedOn w:val="DefaultParagraphFont"/>
    <w:link w:val="BodyText"/>
    <w:rsid w:val="00E410D3"/>
    <w:rPr>
      <w:b/>
      <w:snapToGrid w:val="0"/>
      <w:sz w:val="24"/>
      <w:lang w:val="el-GR"/>
    </w:rPr>
  </w:style>
  <w:style w:type="paragraph" w:styleId="Footer">
    <w:name w:val="footer"/>
    <w:basedOn w:val="Normal"/>
    <w:link w:val="FooterChar"/>
    <w:semiHidden/>
    <w:rsid w:val="00827620"/>
    <w:pPr>
      <w:tabs>
        <w:tab w:val="center" w:pos="4513"/>
        <w:tab w:val="right" w:pos="9026"/>
      </w:tabs>
    </w:pPr>
  </w:style>
  <w:style w:type="character" w:customStyle="1" w:styleId="FooterChar">
    <w:name w:val="Footer Char"/>
    <w:basedOn w:val="DefaultParagraphFont"/>
    <w:link w:val="Footer"/>
    <w:semiHidden/>
    <w:rsid w:val="00827620"/>
    <w:rPr>
      <w:sz w:val="24"/>
    </w:rPr>
  </w:style>
  <w:style w:type="paragraph" w:styleId="BalloonText">
    <w:name w:val="Balloon Text"/>
    <w:basedOn w:val="Normal"/>
    <w:link w:val="BalloonTextChar"/>
    <w:semiHidden/>
    <w:unhideWhenUsed/>
    <w:rsid w:val="00BE50AD"/>
    <w:rPr>
      <w:rFonts w:ascii="Segoe UI" w:hAnsi="Segoe UI" w:cs="Segoe UI"/>
      <w:sz w:val="18"/>
      <w:szCs w:val="18"/>
    </w:rPr>
  </w:style>
  <w:style w:type="character" w:customStyle="1" w:styleId="BalloonTextChar">
    <w:name w:val="Balloon Text Char"/>
    <w:basedOn w:val="DefaultParagraphFont"/>
    <w:link w:val="BalloonText"/>
    <w:semiHidden/>
    <w:rsid w:val="00BE50AD"/>
    <w:rPr>
      <w:rFonts w:ascii="Segoe UI" w:hAnsi="Segoe UI" w:cs="Segoe UI"/>
      <w:sz w:val="18"/>
      <w:szCs w:val="18"/>
    </w:rPr>
  </w:style>
  <w:style w:type="character" w:styleId="CommentReference">
    <w:name w:val="annotation reference"/>
    <w:basedOn w:val="DefaultParagraphFont"/>
    <w:rsid w:val="00893F48"/>
    <w:rPr>
      <w:sz w:val="16"/>
      <w:szCs w:val="16"/>
    </w:rPr>
  </w:style>
  <w:style w:type="paragraph" w:styleId="CommentText">
    <w:name w:val="annotation text"/>
    <w:basedOn w:val="Normal"/>
    <w:link w:val="CommentTextChar"/>
    <w:rsid w:val="00893F48"/>
    <w:rPr>
      <w:sz w:val="20"/>
    </w:rPr>
  </w:style>
  <w:style w:type="character" w:customStyle="1" w:styleId="CommentTextChar">
    <w:name w:val="Comment Text Char"/>
    <w:basedOn w:val="DefaultParagraphFont"/>
    <w:link w:val="CommentText"/>
    <w:rsid w:val="00893F48"/>
  </w:style>
  <w:style w:type="paragraph" w:styleId="CommentSubject">
    <w:name w:val="annotation subject"/>
    <w:basedOn w:val="CommentText"/>
    <w:next w:val="CommentText"/>
    <w:link w:val="CommentSubjectChar"/>
    <w:semiHidden/>
    <w:unhideWhenUsed/>
    <w:rsid w:val="00893F48"/>
    <w:rPr>
      <w:b/>
      <w:bCs/>
    </w:rPr>
  </w:style>
  <w:style w:type="character" w:customStyle="1" w:styleId="CommentSubjectChar">
    <w:name w:val="Comment Subject Char"/>
    <w:basedOn w:val="CommentTextChar"/>
    <w:link w:val="CommentSubject"/>
    <w:semiHidden/>
    <w:rsid w:val="00893F48"/>
    <w:rPr>
      <w:b/>
      <w:bCs/>
    </w:rPr>
  </w:style>
  <w:style w:type="paragraph" w:styleId="Revision">
    <w:name w:val="Revision"/>
    <w:hidden/>
    <w:uiPriority w:val="99"/>
    <w:semiHidden/>
    <w:rsid w:val="00885E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3EA83-C06E-4A6A-8DF6-40C4A0ADE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2335</Words>
  <Characters>13900</Characters>
  <Application>Microsoft Office Word</Application>
  <DocSecurity>0</DocSecurity>
  <Lines>252</Lines>
  <Paragraphs>73</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SCHMUTTERER Elke</dc:creator>
  <cp:lastModifiedBy>MORAITIS Thomas</cp:lastModifiedBy>
  <cp:revision>2</cp:revision>
  <cp:lastPrinted>2023-09-07T06:39:00Z</cp:lastPrinted>
  <dcterms:created xsi:type="dcterms:W3CDTF">2023-09-14T15:42:00Z</dcterms:created>
  <dcterms:modified xsi:type="dcterms:W3CDTF">2023-09-14T15:42:00Z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1281950</vt:lpwstr>
  </property>
  <property fmtid="{D5CDD505-2E9C-101B-9397-08002B2CF9AE}" pid="4" name="&lt;Model&gt;">
    <vt:lpwstr>PR_INI</vt:lpwstr>
  </property>
  <property fmtid="{D5CDD505-2E9C-101B-9397-08002B2CF9AE}" pid="5" name="&lt;ModelCod&gt;">
    <vt:lpwstr>\\eiciBRUpr1\pdocep$\DocEP\DOCS\General\PR\PR_NonLeg\INI\PR_INI.dotx(03/05/2022 18:28:05)</vt:lpwstr>
  </property>
  <property fmtid="{D5CDD505-2E9C-101B-9397-08002B2CF9AE}" pid="6" name="&lt;ModelTra&gt;">
    <vt:lpwstr>\\eiciBRUpr1\pdocep$\DocEP\TRANSFIL\EN\PR_INI.EN(27/03/2023 17:09:01)</vt:lpwstr>
  </property>
  <property fmtid="{D5CDD505-2E9C-101B-9397-08002B2CF9AE}" pid="7" name="&lt;Type&gt;">
    <vt:lpwstr>PR</vt:lpwstr>
  </property>
  <property fmtid="{D5CDD505-2E9C-101B-9397-08002B2CF9AE}" pid="8" name="Bookout">
    <vt:lpwstr>OK - 2023/09/14 17:42</vt:lpwstr>
  </property>
  <property fmtid="{D5CDD505-2E9C-101B-9397-08002B2CF9AE}" pid="9" name="Created with">
    <vt:lpwstr>9.15.0 Build [20230501]</vt:lpwstr>
  </property>
  <property fmtid="{D5CDD505-2E9C-101B-9397-08002B2CF9AE}" pid="10" name="FooterPath">
    <vt:lpwstr>PR\1281950EL.docx</vt:lpwstr>
  </property>
  <property fmtid="{D5CDD505-2E9C-101B-9397-08002B2CF9AE}" pid="11" name="LastEdited with">
    <vt:lpwstr>9.14.1 Build [20230315]</vt:lpwstr>
  </property>
  <property fmtid="{D5CDD505-2E9C-101B-9397-08002B2CF9AE}" pid="12" name="PE number">
    <vt:lpwstr>750.176</vt:lpwstr>
  </property>
  <property fmtid="{D5CDD505-2E9C-101B-9397-08002B2CF9AE}" pid="13" name="SDLStudio">
    <vt:lpwstr/>
  </property>
  <property fmtid="{D5CDD505-2E9C-101B-9397-08002B2CF9AE}" pid="14" name="SendToEpades">
    <vt:lpwstr>OK - 2023/09/05 16:21</vt:lpwstr>
  </property>
</Properties>
</file>