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F7C1B" w:rsidTr="00C85D0F">
        <w:trPr>
          <w:trHeight w:hRule="exact" w:val="1418"/>
        </w:trPr>
        <w:tc>
          <w:tcPr>
            <w:tcW w:w="6804" w:type="dxa"/>
            <w:shd w:val="clear" w:color="auto" w:fill="auto"/>
            <w:vAlign w:val="center"/>
          </w:tcPr>
          <w:p w:rsidR="0069495A" w:rsidRPr="00A27FFC" w:rsidRDefault="00C14ADB" w:rsidP="00C85D0F">
            <w:pPr>
              <w:pStyle w:val="EPName"/>
            </w:pPr>
            <w:r>
              <w:t>Parlamentul European</w:t>
            </w:r>
          </w:p>
          <w:p w:rsidR="0069495A" w:rsidRPr="00A27FFC" w:rsidRDefault="00C14ADB" w:rsidP="003D49A1">
            <w:pPr>
              <w:pStyle w:val="EPTerm"/>
            </w:pPr>
            <w:r>
              <w:t>2019-2024</w:t>
            </w:r>
          </w:p>
        </w:tc>
        <w:tc>
          <w:tcPr>
            <w:tcW w:w="2268" w:type="dxa"/>
            <w:shd w:val="clear" w:color="auto" w:fill="auto"/>
          </w:tcPr>
          <w:p w:rsidR="0069495A" w:rsidRPr="00A27FFC" w:rsidRDefault="00C14ADB" w:rsidP="00C85D0F">
            <w:pPr>
              <w:pStyle w:val="EPLogo"/>
            </w:pPr>
            <w:r w:rsidRPr="00A27FFC">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C7235E" w:rsidRPr="00A27FFC" w:rsidRDefault="00C7235E" w:rsidP="00C7235E">
      <w:pPr>
        <w:pStyle w:val="LineTop"/>
      </w:pPr>
    </w:p>
    <w:p w:rsidR="00C7235E" w:rsidRPr="00A27FFC" w:rsidRDefault="00C14ADB" w:rsidP="00C7235E">
      <w:pPr>
        <w:pStyle w:val="EPBody"/>
      </w:pPr>
      <w:r>
        <w:rPr>
          <w:rStyle w:val="HideTWBExt"/>
        </w:rPr>
        <w:t>&lt;</w:t>
      </w:r>
      <w:r>
        <w:rPr>
          <w:rStyle w:val="HideTWBExt"/>
          <w:i w:val="0"/>
        </w:rPr>
        <w:t>Commission</w:t>
      </w:r>
      <w:r>
        <w:rPr>
          <w:rStyle w:val="HideTWBExt"/>
        </w:rPr>
        <w:t>&gt;</w:t>
      </w:r>
      <w:r>
        <w:rPr>
          <w:rStyle w:val="HideTWBInt"/>
          <w:color w:val="auto"/>
        </w:rPr>
        <w:t>{AFET}</w:t>
      </w:r>
      <w:r>
        <w:t>Comisia pentru afaceri externe</w:t>
      </w:r>
      <w:r>
        <w:rPr>
          <w:rStyle w:val="HideTWBExt"/>
        </w:rPr>
        <w:t>&lt;/</w:t>
      </w:r>
      <w:r>
        <w:rPr>
          <w:rStyle w:val="HideTWBExt"/>
          <w:i w:val="0"/>
        </w:rPr>
        <w:t>Commission</w:t>
      </w:r>
      <w:r>
        <w:rPr>
          <w:rStyle w:val="HideTWBExt"/>
        </w:rPr>
        <w:t>&gt;</w:t>
      </w:r>
    </w:p>
    <w:p w:rsidR="00C7235E" w:rsidRPr="00A27FFC" w:rsidRDefault="00C7235E" w:rsidP="00C7235E">
      <w:pPr>
        <w:pStyle w:val="LineBottom"/>
      </w:pPr>
    </w:p>
    <w:p w:rsidR="00144AD8" w:rsidRPr="00A27FFC" w:rsidRDefault="00C14ADB">
      <w:pPr>
        <w:pStyle w:val="CoverReference"/>
      </w:pPr>
      <w:r>
        <w:rPr>
          <w:rStyle w:val="HideTWBExt"/>
          <w:b w:val="0"/>
        </w:rPr>
        <w:t>&lt;RefProc&gt;</w:t>
      </w:r>
      <w:r>
        <w:t>2023/2126</w:t>
      </w:r>
      <w:r>
        <w:rPr>
          <w:rStyle w:val="HideTWBExt"/>
          <w:b w:val="0"/>
        </w:rPr>
        <w:t>&lt;/RefProc&gt;&lt;RefTypeProc&gt;</w:t>
      </w:r>
      <w:r>
        <w:t>(INI)</w:t>
      </w:r>
      <w:r>
        <w:rPr>
          <w:rStyle w:val="HideTWBExt"/>
          <w:b w:val="0"/>
        </w:rPr>
        <w:t>&lt;/RefTypeProc&gt;</w:t>
      </w:r>
    </w:p>
    <w:p w:rsidR="00144AD8" w:rsidRPr="00A27FFC" w:rsidRDefault="00C14ADB">
      <w:pPr>
        <w:pStyle w:val="CoverDate"/>
      </w:pPr>
      <w:r>
        <w:rPr>
          <w:rStyle w:val="HideTWBExt"/>
        </w:rPr>
        <w:t>&lt;Date&gt;</w:t>
      </w:r>
      <w:r>
        <w:rPr>
          <w:rStyle w:val="HideTWBInt"/>
          <w:color w:val="auto"/>
        </w:rPr>
        <w:t>{13/09/2023}</w:t>
      </w:r>
      <w:r>
        <w:t>13.9.2023</w:t>
      </w:r>
      <w:r>
        <w:rPr>
          <w:rStyle w:val="HideTWBExt"/>
        </w:rPr>
        <w:t>&lt;/Date&gt;</w:t>
      </w:r>
    </w:p>
    <w:p w:rsidR="00144AD8" w:rsidRPr="00A27FFC" w:rsidRDefault="00C14ADB">
      <w:pPr>
        <w:pStyle w:val="CoverDocType24a"/>
      </w:pPr>
      <w:r>
        <w:rPr>
          <w:rStyle w:val="HideTWBExt"/>
          <w:b w:val="0"/>
        </w:rPr>
        <w:t>&lt;TitreType&gt;</w:t>
      </w:r>
      <w:r>
        <w:t>PROIECT DE RAPORT</w:t>
      </w:r>
      <w:r>
        <w:rPr>
          <w:rStyle w:val="HideTWBExt"/>
          <w:b w:val="0"/>
        </w:rPr>
        <w:t>&lt;/TitreType&gt;</w:t>
      </w:r>
    </w:p>
    <w:p w:rsidR="00144AD8" w:rsidRPr="00A27FFC" w:rsidRDefault="00C14ADB">
      <w:pPr>
        <w:pStyle w:val="CoverNormal"/>
      </w:pPr>
      <w:r>
        <w:rPr>
          <w:rStyle w:val="HideTWBExt"/>
        </w:rPr>
        <w:t>&lt;Titre&gt;</w:t>
      </w:r>
      <w:r>
        <w:t xml:space="preserve">referitor la </w:t>
      </w:r>
      <w:r>
        <w:t>recomandarea Parlamentului European adresată Consiliului, Comisiei și Vicepreședintelui Comisiei/Înalt Reprezentant al Uniunii pentru afaceri externe și politica de securitate privind relațiile UE-SUA</w:t>
      </w:r>
      <w:r>
        <w:rPr>
          <w:rStyle w:val="HideTWBExt"/>
        </w:rPr>
        <w:t>&lt;/Titre&gt;</w:t>
      </w:r>
    </w:p>
    <w:p w:rsidR="00144AD8" w:rsidRPr="00A27FFC" w:rsidRDefault="00C14ADB">
      <w:pPr>
        <w:pStyle w:val="CoverNormal24a"/>
      </w:pPr>
      <w:r>
        <w:rPr>
          <w:rStyle w:val="HideTWBExt"/>
        </w:rPr>
        <w:t>&lt;DocRef&gt;</w:t>
      </w:r>
      <w:r>
        <w:t>(2023/2126(INI))</w:t>
      </w:r>
      <w:r>
        <w:rPr>
          <w:rStyle w:val="HideTWBExt"/>
        </w:rPr>
        <w:t>&lt;/DocRef&gt;</w:t>
      </w:r>
    </w:p>
    <w:p w:rsidR="00144AD8" w:rsidRPr="00A27FFC" w:rsidRDefault="00C14ADB">
      <w:pPr>
        <w:pStyle w:val="CoverNormal24a"/>
      </w:pPr>
      <w:r>
        <w:rPr>
          <w:rStyle w:val="HideTWBExt"/>
        </w:rPr>
        <w:t>&lt;Commission&gt;</w:t>
      </w:r>
      <w:r>
        <w:rPr>
          <w:rStyle w:val="HideTWBInt"/>
          <w:color w:val="auto"/>
        </w:rPr>
        <w:t>{</w:t>
      </w:r>
      <w:r>
        <w:rPr>
          <w:rStyle w:val="HideTWBInt"/>
          <w:color w:val="auto"/>
        </w:rPr>
        <w:t>AFET}</w:t>
      </w:r>
      <w:r>
        <w:t>Comisia pentru afaceri externe</w:t>
      </w:r>
      <w:r>
        <w:rPr>
          <w:rStyle w:val="HideTWBExt"/>
        </w:rPr>
        <w:t>&lt;/Commission&gt;</w:t>
      </w:r>
    </w:p>
    <w:p w:rsidR="00144AD8" w:rsidRPr="00A27FFC" w:rsidRDefault="00C14ADB">
      <w:pPr>
        <w:pStyle w:val="CoverNormal24a"/>
      </w:pPr>
      <w:r>
        <w:t xml:space="preserve">Raportor: </w:t>
      </w:r>
      <w:r>
        <w:rPr>
          <w:rStyle w:val="HideTWBExt"/>
        </w:rPr>
        <w:t>&lt;Depute&gt;</w:t>
      </w:r>
      <w:r>
        <w:t>Tonino Picula</w:t>
      </w:r>
      <w:r>
        <w:rPr>
          <w:rStyle w:val="HideTWBExt"/>
        </w:rPr>
        <w:t>&lt;/Depute&gt;</w:t>
      </w:r>
    </w:p>
    <w:p w:rsidR="00627DF1" w:rsidRPr="00A27FFC" w:rsidRDefault="00627DF1" w:rsidP="00627DF1">
      <w:pPr>
        <w:pStyle w:val="CoverNormal"/>
      </w:pPr>
    </w:p>
    <w:p w:rsidR="00144AD8" w:rsidRPr="00A27FFC" w:rsidRDefault="00C14ADB" w:rsidP="009340AC">
      <w:pPr>
        <w:widowControl/>
        <w:tabs>
          <w:tab w:val="center" w:pos="4677"/>
        </w:tabs>
      </w:pPr>
      <w:r>
        <w:br w:type="page"/>
      </w:r>
      <w:r>
        <w:lastRenderedPageBreak/>
        <w:t>PR_INI_RecommCFSP</w:t>
      </w:r>
    </w:p>
    <w:p w:rsidR="00144AD8" w:rsidRPr="00A27FFC" w:rsidRDefault="00C14ADB">
      <w:pPr>
        <w:pStyle w:val="TOCHeading"/>
      </w:pPr>
      <w:r>
        <w:t>CUPRINS</w:t>
      </w:r>
    </w:p>
    <w:p w:rsidR="00144AD8" w:rsidRPr="00A27FFC" w:rsidRDefault="00C14ADB">
      <w:pPr>
        <w:pStyle w:val="TOCPage"/>
      </w:pPr>
      <w:r>
        <w:t>Pagina</w:t>
      </w:r>
    </w:p>
    <w:p w:rsidR="00C14ADB" w:rsidRDefault="00C14ADB">
      <w:pPr>
        <w:pStyle w:val="TOC1"/>
        <w:tabs>
          <w:tab w:val="right" w:leader="dot" w:pos="9060"/>
        </w:tabs>
        <w:rPr>
          <w:rFonts w:asciiTheme="minorHAnsi" w:eastAsiaTheme="minorEastAsia" w:hAnsiTheme="minorHAnsi" w:cstheme="minorBidi"/>
          <w:noProof/>
          <w:sz w:val="22"/>
          <w:szCs w:val="22"/>
          <w:lang w:eastAsia="ro-RO"/>
        </w:rPr>
      </w:pPr>
      <w:r w:rsidRPr="00A27FFC">
        <w:fldChar w:fldCharType="begin"/>
      </w:r>
      <w:r w:rsidRPr="00A27FFC">
        <w:instrText xml:space="preserve"> TOC \t "PageHeading</w:instrText>
      </w:r>
      <w:r w:rsidR="009300E2" w:rsidRPr="00A27FFC">
        <w:instrText>;</w:instrText>
      </w:r>
      <w:r w:rsidRPr="00A27FFC">
        <w:instrText xml:space="preserve">1" </w:instrText>
      </w:r>
      <w:r w:rsidRPr="00A27FFC">
        <w:fldChar w:fldCharType="separate"/>
      </w:r>
      <w:r>
        <w:rPr>
          <w:noProof/>
        </w:rPr>
        <w:t>PROIECT DE RECOMANDARE A PARLAMENTULUI EUROPEAN</w:t>
      </w:r>
      <w:r>
        <w:rPr>
          <w:noProof/>
        </w:rPr>
        <w:tab/>
      </w:r>
      <w:r>
        <w:rPr>
          <w:noProof/>
        </w:rPr>
        <w:fldChar w:fldCharType="begin"/>
      </w:r>
      <w:r>
        <w:rPr>
          <w:noProof/>
        </w:rPr>
        <w:instrText xml:space="preserve"> PAGEREF _Toc146787534 \h </w:instrText>
      </w:r>
      <w:r>
        <w:rPr>
          <w:noProof/>
        </w:rPr>
      </w:r>
      <w:r>
        <w:rPr>
          <w:noProof/>
        </w:rPr>
        <w:fldChar w:fldCharType="separate"/>
      </w:r>
      <w:r>
        <w:rPr>
          <w:noProof/>
        </w:rPr>
        <w:t>3</w:t>
      </w:r>
      <w:r>
        <w:rPr>
          <w:noProof/>
        </w:rPr>
        <w:fldChar w:fldCharType="end"/>
      </w:r>
    </w:p>
    <w:p w:rsidR="00627DF1" w:rsidRPr="00A27FFC" w:rsidRDefault="00C14ADB" w:rsidP="00865AB2">
      <w:r w:rsidRPr="00A27FFC">
        <w:fldChar w:fldCharType="end"/>
      </w:r>
    </w:p>
    <w:p w:rsidR="00144AD8" w:rsidRPr="00A27FFC" w:rsidRDefault="00C14ADB">
      <w:pPr>
        <w:pStyle w:val="PageHeading"/>
      </w:pPr>
      <w:r>
        <w:br w:type="page"/>
      </w:r>
      <w:bookmarkStart w:id="0" w:name="_Toc146787534"/>
      <w:r>
        <w:lastRenderedPageBreak/>
        <w:t>PROIECT DE RECOMANDARE A PARLAMENTULUI EUROPEAN</w:t>
      </w:r>
      <w:bookmarkEnd w:id="0"/>
    </w:p>
    <w:p w:rsidR="00144AD8" w:rsidRPr="00A27FFC" w:rsidRDefault="00C14ADB">
      <w:pPr>
        <w:pStyle w:val="NormalBold"/>
      </w:pPr>
      <w:r>
        <w:t>adresată Consiliului, Comisiei și Vicepreședintelui Comisiei/Înalt Reprezentant al Uniunii pentru afaceri externe și politica de securitat</w:t>
      </w:r>
      <w:r>
        <w:t>e privind relațiile UE-SUA</w:t>
      </w:r>
    </w:p>
    <w:p w:rsidR="00144AD8" w:rsidRPr="00A27FFC" w:rsidRDefault="00C14ADB" w:rsidP="00A144CA">
      <w:pPr>
        <w:pStyle w:val="NormalBold"/>
      </w:pPr>
      <w:r>
        <w:t>(2023/2126(INI))</w:t>
      </w:r>
    </w:p>
    <w:p w:rsidR="00144AD8" w:rsidRPr="00A27FFC" w:rsidRDefault="00C14ADB">
      <w:pPr>
        <w:pStyle w:val="EPComma"/>
      </w:pPr>
      <w:r>
        <w:rPr>
          <w:i/>
          <w:iCs/>
        </w:rPr>
        <w:t>Parlamentul European,</w:t>
      </w:r>
    </w:p>
    <w:p w:rsidR="003D49A1" w:rsidRPr="00A27FFC" w:rsidRDefault="00C14ADB" w:rsidP="003D49A1">
      <w:pPr>
        <w:pStyle w:val="NormalHanging12a"/>
        <w:rPr>
          <w:color w:val="171717" w:themeColor="background2" w:themeShade="1A"/>
        </w:rPr>
      </w:pPr>
      <w:r>
        <w:rPr>
          <w:color w:val="171717" w:themeColor="background2" w:themeShade="1A"/>
        </w:rPr>
        <w:t>–</w:t>
      </w:r>
      <w:r>
        <w:rPr>
          <w:color w:val="171717" w:themeColor="background2" w:themeShade="1A"/>
        </w:rPr>
        <w:tab/>
        <w:t>având în vedere comunicarea comună a Comisiei și a Înaltului Reprezentant al Uniunii pentru afaceri externe și politica de securitate din 2 decembrie 2020 privind o nouă agendă UE-SUA pent</w:t>
      </w:r>
      <w:r>
        <w:rPr>
          <w:color w:val="171717" w:themeColor="background2" w:themeShade="1A"/>
        </w:rPr>
        <w:t>ru o schimbare globală (JOIN(2020)0022),</w:t>
      </w:r>
    </w:p>
    <w:p w:rsidR="003D49A1" w:rsidRPr="00A27FFC" w:rsidRDefault="00C14ADB" w:rsidP="003D49A1">
      <w:pPr>
        <w:pStyle w:val="NormalHanging12a"/>
        <w:rPr>
          <w:color w:val="171717" w:themeColor="background2" w:themeShade="1A"/>
        </w:rPr>
      </w:pPr>
      <w:r>
        <w:rPr>
          <w:b/>
          <w:i/>
          <w:color w:val="171717" w:themeColor="background2" w:themeShade="1A"/>
        </w:rPr>
        <w:t>–</w:t>
      </w:r>
      <w:r>
        <w:rPr>
          <w:b/>
          <w:i/>
          <w:color w:val="171717" w:themeColor="background2" w:themeShade="1A"/>
        </w:rPr>
        <w:tab/>
      </w:r>
      <w:r>
        <w:rPr>
          <w:color w:val="171717" w:themeColor="background2" w:themeShade="1A"/>
        </w:rPr>
        <w:t>având în vedere concluziile Consiliului privind relațiile UE-SUA din 7 decembrie 2020,</w:t>
      </w:r>
    </w:p>
    <w:p w:rsidR="003D49A1" w:rsidRPr="00A27FFC" w:rsidRDefault="00C14ADB" w:rsidP="003D49A1">
      <w:pPr>
        <w:pStyle w:val="NormalHanging12a"/>
        <w:rPr>
          <w:color w:val="171717" w:themeColor="background2" w:themeShade="1A"/>
        </w:rPr>
      </w:pPr>
      <w:r>
        <w:rPr>
          <w:color w:val="171717" w:themeColor="background2" w:themeShade="1A"/>
        </w:rPr>
        <w:t>–</w:t>
      </w:r>
      <w:r>
        <w:rPr>
          <w:color w:val="171717" w:themeColor="background2" w:themeShade="1A"/>
        </w:rPr>
        <w:tab/>
        <w:t>având în vedere declarația comună a președintei von der Leyen și a președintelui Biden al SUA din 10 martie 2023,</w:t>
      </w:r>
    </w:p>
    <w:p w:rsidR="003D49A1" w:rsidRPr="00A27FFC" w:rsidRDefault="00C14ADB" w:rsidP="003D49A1">
      <w:pPr>
        <w:pStyle w:val="NormalHanging12a"/>
        <w:rPr>
          <w:color w:val="171717" w:themeColor="background2" w:themeShade="1A"/>
        </w:rPr>
      </w:pPr>
      <w:r>
        <w:rPr>
          <w:color w:val="171717" w:themeColor="background2" w:themeShade="1A"/>
        </w:rPr>
        <w:t>–</w:t>
      </w:r>
      <w:r>
        <w:rPr>
          <w:color w:val="171717" w:themeColor="background2" w:themeShade="1A"/>
        </w:rPr>
        <w:tab/>
        <w:t>având în</w:t>
      </w:r>
      <w:r>
        <w:rPr>
          <w:color w:val="171717" w:themeColor="background2" w:themeShade="1A"/>
        </w:rPr>
        <w:t xml:space="preserve"> vedere declarația comună a Dialogului transatlantic al legislatorilor din 17 iunie 2023,</w:t>
      </w:r>
    </w:p>
    <w:p w:rsidR="003D49A1" w:rsidRPr="00A27FFC" w:rsidRDefault="00C14ADB" w:rsidP="003D49A1">
      <w:pPr>
        <w:pStyle w:val="NormalHanging12a"/>
        <w:rPr>
          <w:color w:val="171717" w:themeColor="background2" w:themeShade="1A"/>
        </w:rPr>
      </w:pPr>
      <w:r>
        <w:rPr>
          <w:b/>
          <w:i/>
          <w:color w:val="171717" w:themeColor="background2" w:themeShade="1A"/>
        </w:rPr>
        <w:t>–</w:t>
      </w:r>
      <w:r>
        <w:rPr>
          <w:b/>
          <w:i/>
          <w:color w:val="171717" w:themeColor="background2" w:themeShade="1A"/>
        </w:rPr>
        <w:tab/>
      </w:r>
      <w:r>
        <w:rPr>
          <w:color w:val="171717" w:themeColor="background2" w:themeShade="1A"/>
        </w:rPr>
        <w:t>având în vedere summitul NATO de la Vilnius, care a avut loc la 11 și 12 iulie 2023,</w:t>
      </w:r>
    </w:p>
    <w:p w:rsidR="003D49A1" w:rsidRPr="00A27FFC" w:rsidRDefault="00C14ADB" w:rsidP="003D49A1">
      <w:pPr>
        <w:pStyle w:val="NormalHanging12a"/>
        <w:rPr>
          <w:color w:val="171717" w:themeColor="background2" w:themeShade="1A"/>
        </w:rPr>
      </w:pPr>
      <w:r>
        <w:rPr>
          <w:color w:val="171717" w:themeColor="background2" w:themeShade="1A"/>
        </w:rPr>
        <w:t>–</w:t>
      </w:r>
      <w:r>
        <w:rPr>
          <w:color w:val="171717" w:themeColor="background2" w:themeShade="1A"/>
        </w:rPr>
        <w:tab/>
        <w:t>având în vedere declarația comună a Consiliului UE-SUA pentru comerț și tehno</w:t>
      </w:r>
      <w:r>
        <w:rPr>
          <w:color w:val="171717" w:themeColor="background2" w:themeShade="1A"/>
        </w:rPr>
        <w:t>logie dată publicității la 31 mai 2023,</w:t>
      </w:r>
    </w:p>
    <w:p w:rsidR="003D49A1" w:rsidRPr="00A27FFC" w:rsidRDefault="00C14ADB" w:rsidP="003D49A1">
      <w:pPr>
        <w:pStyle w:val="NormalHanging12a"/>
        <w:rPr>
          <w:color w:val="171717" w:themeColor="background2" w:themeShade="1A"/>
        </w:rPr>
      </w:pPr>
      <w:r>
        <w:rPr>
          <w:color w:val="171717" w:themeColor="background2" w:themeShade="1A"/>
        </w:rPr>
        <w:t>–</w:t>
      </w:r>
      <w:r>
        <w:rPr>
          <w:color w:val="171717" w:themeColor="background2" w:themeShade="1A"/>
        </w:rPr>
        <w:tab/>
        <w:t>având în vedere cea de a noua declarație comună a Consiliului UE-SUA pentru energie, dată publicității la 7 februarie 2022, și cea de a zecea declarație comună a Consiliului UE-SUA pentru energie, emisă la 4 aprili</w:t>
      </w:r>
      <w:r>
        <w:rPr>
          <w:color w:val="171717" w:themeColor="background2" w:themeShade="1A"/>
        </w:rPr>
        <w:t>e 2023,</w:t>
      </w:r>
    </w:p>
    <w:p w:rsidR="003D49A1" w:rsidRPr="00A27FFC" w:rsidRDefault="00C14ADB" w:rsidP="003D49A1">
      <w:pPr>
        <w:pStyle w:val="NormalHanging12a"/>
        <w:rPr>
          <w:color w:val="171717" w:themeColor="background2" w:themeShade="1A"/>
        </w:rPr>
      </w:pPr>
      <w:r>
        <w:rPr>
          <w:color w:val="171717" w:themeColor="background2" w:themeShade="1A"/>
        </w:rPr>
        <w:t>–</w:t>
      </w:r>
      <w:r>
        <w:rPr>
          <w:color w:val="171717" w:themeColor="background2" w:themeShade="1A"/>
        </w:rPr>
        <w:tab/>
        <w:t>având în vedere declarația comună a Comisiei Europene și a Statelor Unite privind securitatea energetică europeană din 25 martie 2022,</w:t>
      </w:r>
    </w:p>
    <w:p w:rsidR="003D49A1" w:rsidRPr="00A27FFC" w:rsidRDefault="00C14ADB" w:rsidP="003D49A1">
      <w:pPr>
        <w:pStyle w:val="NormalHanging12a"/>
        <w:rPr>
          <w:color w:val="171717" w:themeColor="background2" w:themeShade="1A"/>
        </w:rPr>
      </w:pPr>
      <w:r>
        <w:rPr>
          <w:color w:val="171717" w:themeColor="background2" w:themeShade="1A"/>
        </w:rPr>
        <w:t>–</w:t>
      </w:r>
      <w:r>
        <w:rPr>
          <w:color w:val="171717" w:themeColor="background2" w:themeShade="1A"/>
        </w:rPr>
        <w:tab/>
        <w:t>având în vedere cea de a treia declarație comună UE-NATO semnată 10 ianuarie 2023,</w:t>
      </w:r>
    </w:p>
    <w:p w:rsidR="003D49A1" w:rsidRPr="00A27FFC" w:rsidRDefault="00C14ADB" w:rsidP="003D49A1">
      <w:pPr>
        <w:pStyle w:val="NormalHanging12a"/>
        <w:rPr>
          <w:color w:val="171717" w:themeColor="background2" w:themeShade="1A"/>
        </w:rPr>
      </w:pPr>
      <w:r>
        <w:rPr>
          <w:color w:val="171717" w:themeColor="background2" w:themeShade="1A"/>
        </w:rPr>
        <w:t>–</w:t>
      </w:r>
      <w:r>
        <w:rPr>
          <w:color w:val="171717" w:themeColor="background2" w:themeShade="1A"/>
        </w:rPr>
        <w:tab/>
        <w:t xml:space="preserve">având în vedere acordul </w:t>
      </w:r>
      <w:r>
        <w:rPr>
          <w:color w:val="171717" w:themeColor="background2" w:themeShade="1A"/>
        </w:rPr>
        <w:t>administrativ dintre Agenția Europeană de Apărare și Departamentul Apărării al Statelor Unite ale Americii, semnat la 26 aprilie 2023,</w:t>
      </w:r>
    </w:p>
    <w:p w:rsidR="003D49A1" w:rsidRPr="00A27FFC" w:rsidRDefault="00C14ADB" w:rsidP="003D49A1">
      <w:pPr>
        <w:pStyle w:val="NormalHanging12a"/>
      </w:pPr>
      <w:r>
        <w:t>–</w:t>
      </w:r>
      <w:r>
        <w:tab/>
        <w:t>având în vedere Decizia (PESC) 2021/750 a Consiliului din 6 mai 2021 privind participarea Statelor Unite ale Americii l</w:t>
      </w:r>
      <w:r>
        <w:t>a proiectul PESCO „Mobilitatea militară”</w:t>
      </w:r>
      <w:r>
        <w:rPr>
          <w:rStyle w:val="FootnoteReference"/>
        </w:rPr>
        <w:footnoteReference w:id="1"/>
      </w:r>
      <w:r>
        <w:t>,</w:t>
      </w:r>
    </w:p>
    <w:p w:rsidR="003D49A1" w:rsidRPr="00A27FFC" w:rsidRDefault="00C14ADB" w:rsidP="003D49A1">
      <w:pPr>
        <w:pStyle w:val="NormalHanging12a"/>
        <w:rPr>
          <w:bCs/>
          <w:color w:val="171717" w:themeColor="background2" w:themeShade="1A"/>
        </w:rPr>
      </w:pPr>
      <w:r>
        <w:rPr>
          <w:color w:val="171717" w:themeColor="background2" w:themeShade="1A"/>
        </w:rPr>
        <w:t>–</w:t>
      </w:r>
      <w:r>
        <w:rPr>
          <w:color w:val="171717" w:themeColor="background2" w:themeShade="1A"/>
        </w:rPr>
        <w:tab/>
        <w:t>având în vedere comunicarea comună privind o strategie spațială a UE pentru securitate și apărare, adoptată la 10 martie 2023,</w:t>
      </w:r>
    </w:p>
    <w:p w:rsidR="003D49A1" w:rsidRPr="00A27FFC" w:rsidRDefault="00C14ADB" w:rsidP="003D49A1">
      <w:pPr>
        <w:pStyle w:val="NormalHanging12a"/>
        <w:rPr>
          <w:bCs/>
          <w:color w:val="171717" w:themeColor="background2" w:themeShade="1A"/>
        </w:rPr>
      </w:pPr>
      <w:r>
        <w:rPr>
          <w:color w:val="171717" w:themeColor="background2" w:themeShade="1A"/>
        </w:rPr>
        <w:t>–</w:t>
      </w:r>
      <w:r>
        <w:rPr>
          <w:color w:val="171717" w:themeColor="background2" w:themeShade="1A"/>
        </w:rPr>
        <w:tab/>
        <w:t>având în vedere rezoluțiile sale anterioare referitoare la relațiile transatlantic</w:t>
      </w:r>
      <w:r>
        <w:rPr>
          <w:color w:val="171717" w:themeColor="background2" w:themeShade="1A"/>
        </w:rPr>
        <w:t>e, în special rezoluția sa din 26 martie 2009 privind situația relațiilor transatlantice în urma alegerilor din SUA</w:t>
      </w:r>
      <w:r>
        <w:rPr>
          <w:bCs/>
          <w:vertAlign w:val="superscript"/>
        </w:rPr>
        <w:footnoteReference w:id="2"/>
      </w:r>
      <w:r>
        <w:rPr>
          <w:color w:val="171717" w:themeColor="background2" w:themeShade="1A"/>
        </w:rPr>
        <w:t xml:space="preserve">, rezoluția sa din 13 iunie 2013 referitoare la rolul UE în promovarea unui </w:t>
      </w:r>
      <w:r>
        <w:rPr>
          <w:color w:val="171717" w:themeColor="background2" w:themeShade="1A"/>
        </w:rPr>
        <w:lastRenderedPageBreak/>
        <w:t>parteneriat transatlantic lărgit</w:t>
      </w:r>
      <w:r>
        <w:rPr>
          <w:rStyle w:val="FootnoteReference"/>
          <w:bCs/>
          <w:color w:val="171717" w:themeColor="background2" w:themeShade="1A"/>
        </w:rPr>
        <w:footnoteReference w:id="3"/>
      </w:r>
      <w:r>
        <w:rPr>
          <w:color w:val="171717" w:themeColor="background2" w:themeShade="1A"/>
        </w:rPr>
        <w:t>, rezoluția sa din 12 septembri</w:t>
      </w:r>
      <w:r>
        <w:rPr>
          <w:color w:val="171717" w:themeColor="background2" w:themeShade="1A"/>
        </w:rPr>
        <w:t>e 2018 referitoare la stadiul actual al relațiilor UE-SUA</w:t>
      </w:r>
      <w:r>
        <w:rPr>
          <w:bCs/>
          <w:vertAlign w:val="superscript"/>
        </w:rPr>
        <w:footnoteReference w:id="4"/>
      </w:r>
      <w:r>
        <w:rPr>
          <w:color w:val="171717" w:themeColor="background2" w:themeShade="1A"/>
        </w:rPr>
        <w:t xml:space="preserve"> și rezoluția sa din 6 octombrie 2021 referitoare la viitorul relațiilor UE-SUA</w:t>
      </w:r>
      <w:r>
        <w:rPr>
          <w:rStyle w:val="FootnoteReference"/>
          <w:bCs/>
          <w:color w:val="171717" w:themeColor="background2" w:themeShade="1A"/>
        </w:rPr>
        <w:footnoteReference w:id="5"/>
      </w:r>
      <w:r>
        <w:rPr>
          <w:color w:val="171717" w:themeColor="background2" w:themeShade="1A"/>
        </w:rPr>
        <w:t>,</w:t>
      </w:r>
    </w:p>
    <w:p w:rsidR="003D49A1" w:rsidRPr="00A27FFC" w:rsidRDefault="00C14ADB" w:rsidP="003D49A1">
      <w:pPr>
        <w:pStyle w:val="NormalHanging12a"/>
        <w:rPr>
          <w:bCs/>
          <w:color w:val="171717" w:themeColor="background2" w:themeShade="1A"/>
        </w:rPr>
      </w:pPr>
      <w:r>
        <w:rPr>
          <w:color w:val="171717" w:themeColor="background2" w:themeShade="1A"/>
        </w:rPr>
        <w:t>–</w:t>
      </w:r>
      <w:r>
        <w:rPr>
          <w:color w:val="171717" w:themeColor="background2" w:themeShade="1A"/>
        </w:rPr>
        <w:tab/>
        <w:t>având în vedere rezoluția sa din 18 ianuarie 2023 referitoare la punerea în aplicare a politicii externe și de sec</w:t>
      </w:r>
      <w:r>
        <w:rPr>
          <w:color w:val="171717" w:themeColor="background2" w:themeShade="1A"/>
        </w:rPr>
        <w:t>uritate comune – raportul anual pe 2022</w:t>
      </w:r>
      <w:r>
        <w:rPr>
          <w:bCs/>
          <w:vertAlign w:val="superscript"/>
        </w:rPr>
        <w:footnoteReference w:id="6"/>
      </w:r>
      <w:r>
        <w:rPr>
          <w:color w:val="171717" w:themeColor="background2" w:themeShade="1A"/>
        </w:rPr>
        <w:t>,</w:t>
      </w:r>
    </w:p>
    <w:p w:rsidR="003D49A1" w:rsidRPr="00A27FFC" w:rsidRDefault="00C14ADB" w:rsidP="003D49A1">
      <w:pPr>
        <w:pStyle w:val="NormalHanging12a"/>
        <w:rPr>
          <w:bCs/>
          <w:color w:val="171717" w:themeColor="background2" w:themeShade="1A"/>
        </w:rPr>
      </w:pPr>
      <w:r>
        <w:rPr>
          <w:color w:val="171717" w:themeColor="background2" w:themeShade="1A"/>
        </w:rPr>
        <w:t>–</w:t>
      </w:r>
      <w:r>
        <w:rPr>
          <w:color w:val="171717" w:themeColor="background2" w:themeShade="1A"/>
        </w:rPr>
        <w:tab/>
        <w:t>având în vedere rezoluția sa din 18 ianuarie 2023 referitoare la aplicarea Politicii de securitate și apărare comune - raport anual pe 2022</w:t>
      </w:r>
      <w:r>
        <w:rPr>
          <w:bCs/>
          <w:vertAlign w:val="superscript"/>
        </w:rPr>
        <w:footnoteReference w:id="7"/>
      </w:r>
      <w:r>
        <w:rPr>
          <w:color w:val="171717" w:themeColor="background2" w:themeShade="1A"/>
        </w:rPr>
        <w:t>,</w:t>
      </w:r>
    </w:p>
    <w:p w:rsidR="003D49A1" w:rsidRPr="00A27FFC" w:rsidRDefault="00C14ADB" w:rsidP="003D49A1">
      <w:pPr>
        <w:pStyle w:val="NormalHanging12a"/>
        <w:rPr>
          <w:bCs/>
          <w:color w:val="171717" w:themeColor="background2" w:themeShade="1A"/>
        </w:rPr>
      </w:pPr>
      <w:r>
        <w:rPr>
          <w:color w:val="171717" w:themeColor="background2" w:themeShade="1A"/>
        </w:rPr>
        <w:t>–</w:t>
      </w:r>
      <w:r>
        <w:rPr>
          <w:color w:val="171717" w:themeColor="background2" w:themeShade="1A"/>
        </w:rPr>
        <w:tab/>
        <w:t>având în vedere articolul 118 din Regulamentul său de procedură,</w:t>
      </w:r>
    </w:p>
    <w:p w:rsidR="003D49A1" w:rsidRPr="00A27FFC" w:rsidRDefault="00C14ADB" w:rsidP="003D49A1">
      <w:pPr>
        <w:pStyle w:val="NormalHanging12a"/>
        <w:rPr>
          <w:bCs/>
          <w:color w:val="171717" w:themeColor="background2" w:themeShade="1A"/>
        </w:rPr>
      </w:pPr>
      <w:r>
        <w:rPr>
          <w:color w:val="171717" w:themeColor="background2" w:themeShade="1A"/>
        </w:rPr>
        <w:t>–</w:t>
      </w:r>
      <w:r>
        <w:rPr>
          <w:color w:val="171717" w:themeColor="background2" w:themeShade="1A"/>
        </w:rPr>
        <w:tab/>
      </w:r>
      <w:r>
        <w:rPr>
          <w:color w:val="171717" w:themeColor="background2" w:themeShade="1A"/>
        </w:rPr>
        <w:t>având în vedere raportul Comisiei pentru afaceri externe (A9-000/2023),</w:t>
      </w:r>
    </w:p>
    <w:p w:rsidR="003D49A1" w:rsidRPr="00A27FFC" w:rsidRDefault="00C14ADB" w:rsidP="003D49A1">
      <w:pPr>
        <w:widowControl/>
        <w:spacing w:after="240"/>
        <w:ind w:left="567" w:hanging="567"/>
        <w:rPr>
          <w:color w:val="171717" w:themeColor="background2" w:themeShade="1A"/>
        </w:rPr>
      </w:pPr>
      <w:r>
        <w:rPr>
          <w:color w:val="171717" w:themeColor="background2" w:themeShade="1A"/>
        </w:rPr>
        <w:t>A.</w:t>
      </w:r>
      <w:r>
        <w:rPr>
          <w:color w:val="171717" w:themeColor="background2" w:themeShade="1A"/>
        </w:rPr>
        <w:tab/>
        <w:t>întrucât o cooperare transatlantică puternică, bazată pe principiul unui parteneriat de conducere și responsabilitate comune, este necesară pentru a face față furtunii unor crize mu</w:t>
      </w:r>
      <w:r>
        <w:rPr>
          <w:color w:val="171717" w:themeColor="background2" w:themeShade="1A"/>
        </w:rPr>
        <w:t>ltiple de ambele părți ale Atlanticului;</w:t>
      </w:r>
    </w:p>
    <w:p w:rsidR="003D49A1" w:rsidRPr="00A27FFC" w:rsidRDefault="00C14ADB" w:rsidP="003D49A1">
      <w:pPr>
        <w:pStyle w:val="NormalHanging12a"/>
        <w:rPr>
          <w:color w:val="171717" w:themeColor="background2" w:themeShade="1A"/>
        </w:rPr>
      </w:pPr>
      <w:r>
        <w:rPr>
          <w:color w:val="171717" w:themeColor="background2" w:themeShade="1A"/>
        </w:rPr>
        <w:t>B.</w:t>
      </w:r>
      <w:r>
        <w:rPr>
          <w:color w:val="171717" w:themeColor="background2" w:themeShade="1A"/>
        </w:rPr>
        <w:tab/>
        <w:t>întrucât parteneriatul transatlantic în domeniul Afacerilor externe este esențial pentru afirmarea și consolidarea principiilor dreptului internațional și a cooperării multilaterale în contextul războiului de agr</w:t>
      </w:r>
      <w:r>
        <w:rPr>
          <w:color w:val="171717" w:themeColor="background2" w:themeShade="1A"/>
        </w:rPr>
        <w:t>esiune al Rusiei împotriva Ucrainei;</w:t>
      </w:r>
    </w:p>
    <w:p w:rsidR="003D49A1" w:rsidRPr="00A27FFC" w:rsidRDefault="00C14ADB" w:rsidP="003D49A1">
      <w:pPr>
        <w:pStyle w:val="NormalHanging12a"/>
        <w:rPr>
          <w:color w:val="171717" w:themeColor="background2" w:themeShade="1A"/>
        </w:rPr>
      </w:pPr>
      <w:r>
        <w:rPr>
          <w:color w:val="171717" w:themeColor="background2" w:themeShade="1A"/>
        </w:rPr>
        <w:t>C.</w:t>
      </w:r>
      <w:r>
        <w:rPr>
          <w:color w:val="171717" w:themeColor="background2" w:themeShade="1A"/>
        </w:rPr>
        <w:tab/>
        <w:t>întrucât Statele Unite, cu sprijinul său bipartizan pentru Ucraina, au dat dovadă de o solidaritate reală cu UE, deoarece depunem împreună eforturi pentru a proteja pacea și securitatea pe continentul european, precu</w:t>
      </w:r>
      <w:r>
        <w:rPr>
          <w:color w:val="171717" w:themeColor="background2" w:themeShade="1A"/>
        </w:rPr>
        <w:t>m și principiile dreptului internațional și Carta ONU;</w:t>
      </w:r>
    </w:p>
    <w:p w:rsidR="003D49A1" w:rsidRPr="00A27FFC" w:rsidRDefault="00C14ADB" w:rsidP="003D49A1">
      <w:pPr>
        <w:pStyle w:val="NormalHanging12a"/>
        <w:rPr>
          <w:color w:val="171717" w:themeColor="background2" w:themeShade="1A"/>
        </w:rPr>
      </w:pPr>
      <w:r>
        <w:rPr>
          <w:color w:val="171717" w:themeColor="background2" w:themeShade="1A"/>
        </w:rPr>
        <w:t>D.</w:t>
      </w:r>
      <w:r>
        <w:rPr>
          <w:color w:val="171717" w:themeColor="background2" w:themeShade="1A"/>
        </w:rPr>
        <w:tab/>
        <w:t>întrucât, în lunile următoare, va fi și mai important să acționăm împreună împotriva brutalității războiului de agresiune al Rusiei împotriva Ucrainei;</w:t>
      </w:r>
    </w:p>
    <w:p w:rsidR="003D49A1" w:rsidRPr="00A27FFC" w:rsidRDefault="00C14ADB" w:rsidP="003D49A1">
      <w:pPr>
        <w:pStyle w:val="NormalHanging12a"/>
        <w:rPr>
          <w:color w:val="171717" w:themeColor="background2" w:themeShade="1A"/>
        </w:rPr>
      </w:pPr>
      <w:r>
        <w:rPr>
          <w:color w:val="171717" w:themeColor="background2" w:themeShade="1A"/>
        </w:rPr>
        <w:t>E.</w:t>
      </w:r>
      <w:r>
        <w:rPr>
          <w:color w:val="171717" w:themeColor="background2" w:themeShade="1A"/>
        </w:rPr>
        <w:tab/>
        <w:t>întrucât dialogul transatlantic UE-SUA și d</w:t>
      </w:r>
      <w:r>
        <w:rPr>
          <w:color w:val="171717" w:themeColor="background2" w:themeShade="1A"/>
        </w:rPr>
        <w:t>iplomația parlamentară trebuie să continue să abordeze provocările globale;</w:t>
      </w:r>
    </w:p>
    <w:p w:rsidR="003D49A1" w:rsidRPr="00A27FFC" w:rsidRDefault="00C14ADB" w:rsidP="003D49A1">
      <w:pPr>
        <w:pStyle w:val="NormalHanging12a"/>
        <w:rPr>
          <w:color w:val="171717" w:themeColor="background2" w:themeShade="1A"/>
        </w:rPr>
      </w:pPr>
      <w:r>
        <w:rPr>
          <w:color w:val="171717" w:themeColor="background2" w:themeShade="1A"/>
        </w:rPr>
        <w:t>F.</w:t>
      </w:r>
      <w:r>
        <w:rPr>
          <w:color w:val="171717" w:themeColor="background2" w:themeShade="1A"/>
        </w:rPr>
        <w:tab/>
        <w:t xml:space="preserve">întrucât multiplele aspecte cu privire la care cooperăm ar beneficia enorm de pe urma unei dimensiuni parlamentare și mai puternice între Congresul SUA și Parlamentul European, </w:t>
      </w:r>
      <w:r>
        <w:rPr>
          <w:color w:val="171717" w:themeColor="background2" w:themeShade="1A"/>
        </w:rPr>
        <w:t>ceea ce ar spori sensibilizarea publicului, legitimitatea democratică, supravegherea și capacitatea de a realiza eforturile noastre comune;</w:t>
      </w:r>
    </w:p>
    <w:p w:rsidR="003D49A1" w:rsidRPr="00A27FFC" w:rsidRDefault="00C14ADB" w:rsidP="003D49A1">
      <w:pPr>
        <w:pStyle w:val="NormalHanging12a"/>
        <w:rPr>
          <w:color w:val="171717" w:themeColor="background2" w:themeShade="1A"/>
        </w:rPr>
      </w:pPr>
      <w:r>
        <w:rPr>
          <w:color w:val="171717" w:themeColor="background2" w:themeShade="1A"/>
        </w:rPr>
        <w:t>G.</w:t>
      </w:r>
      <w:r>
        <w:rPr>
          <w:color w:val="171717" w:themeColor="background2" w:themeShade="1A"/>
        </w:rPr>
        <w:tab/>
        <w:t>întrucât Busola strategică, adoptată în martie 2022, dedică una dintre principalele sale secțiuni rolului partene</w:t>
      </w:r>
      <w:r>
        <w:rPr>
          <w:color w:val="171717" w:themeColor="background2" w:themeShade="1A"/>
        </w:rPr>
        <w:t>riatelor și solicită parteneriate bilaterale mai puternice, adaptate, în special cu SUA și NATO,</w:t>
      </w:r>
    </w:p>
    <w:p w:rsidR="003D49A1" w:rsidRPr="00A27FFC" w:rsidRDefault="00C14ADB" w:rsidP="009300E2">
      <w:pPr>
        <w:pStyle w:val="Action"/>
        <w:keepNext w:val="0"/>
        <w:keepLines w:val="0"/>
        <w:tabs>
          <w:tab w:val="clear" w:pos="357"/>
          <w:tab w:val="left" w:pos="567"/>
        </w:tabs>
        <w:spacing w:before="120"/>
        <w:ind w:left="567" w:hanging="567"/>
        <w:rPr>
          <w:szCs w:val="24"/>
        </w:rPr>
      </w:pPr>
      <w:r>
        <w:t>1.</w:t>
      </w:r>
      <w:r>
        <w:tab/>
        <w:t>recomandă Consiliului, Comisiei și Vicepreședintelui Comisiei/Înaltului Reprezentant al Uniunii pentru afaceri externe și politica de securitate următoarele</w:t>
      </w:r>
      <w:r>
        <w:t>:</w:t>
      </w:r>
    </w:p>
    <w:p w:rsidR="003D49A1" w:rsidRPr="00A27FFC" w:rsidRDefault="00C14ADB" w:rsidP="003D49A1">
      <w:pPr>
        <w:pStyle w:val="NormalHanging12a"/>
        <w:tabs>
          <w:tab w:val="left" w:pos="993"/>
        </w:tabs>
        <w:ind w:left="993" w:hanging="426"/>
        <w:rPr>
          <w:color w:val="171717" w:themeColor="background2" w:themeShade="1A"/>
        </w:rPr>
      </w:pPr>
      <w:r>
        <w:rPr>
          <w:color w:val="171717" w:themeColor="background2" w:themeShade="1A"/>
        </w:rPr>
        <w:t>(a)</w:t>
      </w:r>
      <w:r>
        <w:rPr>
          <w:color w:val="171717" w:themeColor="background2" w:themeShade="1A"/>
        </w:rPr>
        <w:tab/>
        <w:t xml:space="preserve">să depună eforturi în vederea promovării unui parteneriat și mai puternic și reciproc </w:t>
      </w:r>
      <w:r>
        <w:rPr>
          <w:color w:val="171717" w:themeColor="background2" w:themeShade="1A"/>
        </w:rPr>
        <w:lastRenderedPageBreak/>
        <w:t>avantajos între UE și SUA pentru a face față noilor realități periculoase care modelează societățile și comunitățile noastre;</w:t>
      </w:r>
    </w:p>
    <w:p w:rsidR="003D49A1" w:rsidRPr="00A27FFC" w:rsidRDefault="00C14ADB" w:rsidP="003D49A1">
      <w:pPr>
        <w:pStyle w:val="NormalHanging12a"/>
        <w:tabs>
          <w:tab w:val="left" w:pos="993"/>
        </w:tabs>
        <w:ind w:left="993" w:hanging="426"/>
        <w:rPr>
          <w:color w:val="171717" w:themeColor="background2" w:themeShade="1A"/>
        </w:rPr>
      </w:pPr>
      <w:r>
        <w:rPr>
          <w:color w:val="171717" w:themeColor="background2" w:themeShade="1A"/>
        </w:rPr>
        <w:t>(b)</w:t>
      </w:r>
      <w:r>
        <w:rPr>
          <w:color w:val="171717" w:themeColor="background2" w:themeShade="1A"/>
        </w:rPr>
        <w:tab/>
        <w:t xml:space="preserve">să promoveze autonomia strategică </w:t>
      </w:r>
      <w:r>
        <w:rPr>
          <w:color w:val="171717" w:themeColor="background2" w:themeShade="1A"/>
        </w:rPr>
        <w:t>deschisă a UE ca mijloc de urmărire a propriilor interese legitime ale UE, consolidând în același timp legătura transatlantică și sporind influența comună a UE și a SUA pe scena mondială;</w:t>
      </w:r>
    </w:p>
    <w:p w:rsidR="003D49A1" w:rsidRPr="00A27FFC" w:rsidRDefault="00C14ADB" w:rsidP="003D49A1">
      <w:pPr>
        <w:pStyle w:val="NormalHanging12a"/>
        <w:tabs>
          <w:tab w:val="left" w:pos="993"/>
        </w:tabs>
        <w:ind w:left="993" w:hanging="426"/>
        <w:rPr>
          <w:color w:val="171717" w:themeColor="background2" w:themeShade="1A"/>
        </w:rPr>
      </w:pPr>
      <w:r>
        <w:rPr>
          <w:color w:val="171717" w:themeColor="background2" w:themeShade="1A"/>
        </w:rPr>
        <w:t>(c)</w:t>
      </w:r>
      <w:r>
        <w:rPr>
          <w:color w:val="171717" w:themeColor="background2" w:themeShade="1A"/>
        </w:rPr>
        <w:tab/>
      </w:r>
      <w:r>
        <w:t>să reafirme relevanța continuă a relației transatlantice strateg</w:t>
      </w:r>
      <w:r>
        <w:t>ice pentru reconstruirea și revigorarea ordinii internaționale multilaterale bazate pe norme, în centrul căruia se află sistemul ONU și dreptul internațional;</w:t>
      </w:r>
    </w:p>
    <w:p w:rsidR="003D49A1" w:rsidRPr="00A27FFC" w:rsidRDefault="00C14ADB" w:rsidP="003D49A1">
      <w:pPr>
        <w:pStyle w:val="NormalHanging12a"/>
        <w:tabs>
          <w:tab w:val="left" w:pos="993"/>
        </w:tabs>
        <w:ind w:left="993" w:hanging="426"/>
        <w:rPr>
          <w:color w:val="171717" w:themeColor="background2" w:themeShade="1A"/>
        </w:rPr>
      </w:pPr>
      <w:r>
        <w:rPr>
          <w:color w:val="171717" w:themeColor="background2" w:themeShade="1A"/>
        </w:rPr>
        <w:t>(d)</w:t>
      </w:r>
      <w:r>
        <w:rPr>
          <w:color w:val="171717" w:themeColor="background2" w:themeShade="1A"/>
        </w:rPr>
        <w:tab/>
        <w:t xml:space="preserve">să întărească parteneriatul transatlantic în lupta pentru democrație, ordinea internațională </w:t>
      </w:r>
      <w:r>
        <w:rPr>
          <w:color w:val="171717" w:themeColor="background2" w:themeShade="1A"/>
        </w:rPr>
        <w:t>bazată pe norme și multilateralism;</w:t>
      </w:r>
    </w:p>
    <w:p w:rsidR="003D49A1" w:rsidRPr="00A27FFC" w:rsidRDefault="00C14ADB" w:rsidP="003D49A1">
      <w:pPr>
        <w:pStyle w:val="NormalHanging12a"/>
        <w:tabs>
          <w:tab w:val="left" w:pos="993"/>
        </w:tabs>
        <w:ind w:left="993" w:hanging="426"/>
        <w:rPr>
          <w:color w:val="171717" w:themeColor="background2" w:themeShade="1A"/>
        </w:rPr>
      </w:pPr>
      <w:r>
        <w:rPr>
          <w:color w:val="171717" w:themeColor="background2" w:themeShade="1A"/>
        </w:rPr>
        <w:t>(e)</w:t>
      </w:r>
      <w:r>
        <w:rPr>
          <w:color w:val="171717" w:themeColor="background2" w:themeShade="1A"/>
        </w:rPr>
        <w:tab/>
      </w:r>
      <w:r>
        <w:t xml:space="preserve">să consolideze </w:t>
      </w:r>
      <w:r>
        <w:rPr>
          <w:shd w:val="clear" w:color="auto" w:fill="FFFFFF"/>
        </w:rPr>
        <w:t>responsabilitatea și reziliența sistemelor noastre democratice în perioada premergătoare alegerilor de anul viitor de ambele părți, precum și să consolideze dialogul și cooperarea transatlantice privin</w:t>
      </w:r>
      <w:r>
        <w:rPr>
          <w:shd w:val="clear" w:color="auto" w:fill="FFFFFF"/>
        </w:rPr>
        <w:t>d politicile de sprijinire a democrației, a drepturilor omului și a statului de drept și de combatere a dezinformării și a ingerințelor străine din partea regimurilor autoritare;</w:t>
      </w:r>
    </w:p>
    <w:p w:rsidR="003D49A1" w:rsidRPr="00A27FFC" w:rsidRDefault="00C14ADB" w:rsidP="003D49A1">
      <w:pPr>
        <w:pStyle w:val="NormalHanging12a"/>
        <w:ind w:firstLine="0"/>
        <w:rPr>
          <w:b/>
          <w:i/>
          <w:color w:val="171717" w:themeColor="background2" w:themeShade="1A"/>
        </w:rPr>
      </w:pPr>
      <w:r>
        <w:rPr>
          <w:b/>
          <w:i/>
          <w:color w:val="171717" w:themeColor="background2" w:themeShade="1A"/>
        </w:rPr>
        <w:t>Cooperarea în domeniul politicii externe</w:t>
      </w:r>
    </w:p>
    <w:p w:rsidR="003D49A1" w:rsidRPr="00A27FFC" w:rsidRDefault="00C14ADB" w:rsidP="003D49A1">
      <w:pPr>
        <w:pStyle w:val="NormalHanging12a"/>
        <w:tabs>
          <w:tab w:val="left" w:pos="993"/>
        </w:tabs>
        <w:ind w:left="993" w:hanging="426"/>
        <w:rPr>
          <w:color w:val="171717" w:themeColor="background2" w:themeShade="1A"/>
        </w:rPr>
      </w:pPr>
      <w:r>
        <w:rPr>
          <w:color w:val="171717" w:themeColor="background2" w:themeShade="1A"/>
        </w:rPr>
        <w:t>(f)</w:t>
      </w:r>
      <w:r>
        <w:rPr>
          <w:color w:val="171717" w:themeColor="background2" w:themeShade="1A"/>
        </w:rPr>
        <w:tab/>
        <w:t xml:space="preserve">să continue coordonarea deplină </w:t>
      </w:r>
      <w:r>
        <w:rPr>
          <w:color w:val="171717" w:themeColor="background2" w:themeShade="1A"/>
        </w:rPr>
        <w:t>UE-SUA privind sancțiunile internaționale eficace împotriva Rusiei, Belarusului și a tuturor celor care înlesnesc agresiunea Rusiei pentru a submina capacitatea Rusiei de a continua războiul și alte agresiuni împotriva vecinilor săi și pentru a împiedica e</w:t>
      </w:r>
      <w:r>
        <w:rPr>
          <w:color w:val="171717" w:themeColor="background2" w:themeShade="1A"/>
        </w:rPr>
        <w:t>ludarea sancțiunilor;</w:t>
      </w:r>
    </w:p>
    <w:p w:rsidR="003D49A1" w:rsidRPr="00A27FFC" w:rsidRDefault="00C14ADB" w:rsidP="003D49A1">
      <w:pPr>
        <w:pStyle w:val="NormalHanging12a"/>
        <w:tabs>
          <w:tab w:val="left" w:pos="993"/>
        </w:tabs>
        <w:ind w:left="993" w:hanging="426"/>
        <w:rPr>
          <w:color w:val="171717" w:themeColor="background2" w:themeShade="1A"/>
        </w:rPr>
      </w:pPr>
      <w:r>
        <w:rPr>
          <w:color w:val="171717" w:themeColor="background2" w:themeShade="1A"/>
        </w:rPr>
        <w:t>(g)</w:t>
      </w:r>
      <w:r>
        <w:rPr>
          <w:color w:val="171717" w:themeColor="background2" w:themeShade="1A"/>
        </w:rPr>
        <w:tab/>
        <w:t>să continue cooperarea UE-SUA în ceea ce privește colaborarea cu Ucraina pentru a sprijini procesul de reformă al acesteia și pentru a elabora un plan de reconstrucție pe termen lung;</w:t>
      </w:r>
    </w:p>
    <w:p w:rsidR="003D49A1" w:rsidRPr="00A27FFC" w:rsidRDefault="00C14ADB" w:rsidP="003D49A1">
      <w:pPr>
        <w:pStyle w:val="NormalHanging12a"/>
        <w:tabs>
          <w:tab w:val="left" w:pos="993"/>
        </w:tabs>
        <w:ind w:left="993" w:hanging="426"/>
        <w:rPr>
          <w:color w:val="171717" w:themeColor="background2" w:themeShade="1A"/>
        </w:rPr>
      </w:pPr>
      <w:r>
        <w:rPr>
          <w:color w:val="171717" w:themeColor="background2" w:themeShade="1A"/>
        </w:rPr>
        <w:t>(h)</w:t>
      </w:r>
      <w:r>
        <w:rPr>
          <w:color w:val="171717" w:themeColor="background2" w:themeShade="1A"/>
        </w:rPr>
        <w:tab/>
        <w:t>să consolideze cooperarea bilaterală dintr</w:t>
      </w:r>
      <w:r>
        <w:rPr>
          <w:color w:val="171717" w:themeColor="background2" w:themeShade="1A"/>
        </w:rPr>
        <w:t>e UE și SUA în contextul forumurilor internaționale precum G7 și G20, precum și la nivelul Adunării Generale a ONU, pentru a izola Rusia și a promova cooperarea cu țările cu adevărat interesate de promovarea multilateralismului și de apărarea ordinii inter</w:t>
      </w:r>
      <w:r>
        <w:rPr>
          <w:color w:val="171717" w:themeColor="background2" w:themeShade="1A"/>
        </w:rPr>
        <w:t>naționale bazate pe norme;</w:t>
      </w:r>
    </w:p>
    <w:p w:rsidR="003D49A1" w:rsidRPr="00A27FFC" w:rsidRDefault="00C14ADB" w:rsidP="003D49A1">
      <w:pPr>
        <w:pStyle w:val="NormalHanging12a"/>
        <w:tabs>
          <w:tab w:val="left" w:pos="993"/>
        </w:tabs>
        <w:ind w:left="993" w:hanging="426"/>
        <w:rPr>
          <w:color w:val="171717" w:themeColor="background2" w:themeShade="1A"/>
        </w:rPr>
      </w:pPr>
      <w:r>
        <w:rPr>
          <w:color w:val="171717" w:themeColor="background2" w:themeShade="1A"/>
        </w:rPr>
        <w:t>(i)</w:t>
      </w:r>
      <w:r>
        <w:rPr>
          <w:color w:val="171717" w:themeColor="background2" w:themeShade="1A"/>
        </w:rPr>
        <w:tab/>
        <w:t>să continue cooperarea excelentă în ceea ce privește combaterea manipulării informațiilor și a ingerințelor străine și să ne consolidăm disponibilitatea împotriva utilizării răuvoitoare a progreselor tehnologice pentru a ne p</w:t>
      </w:r>
      <w:r>
        <w:rPr>
          <w:color w:val="171717" w:themeColor="background2" w:themeShade="1A"/>
        </w:rPr>
        <w:t>rejudicia interesele comune;</w:t>
      </w:r>
    </w:p>
    <w:p w:rsidR="003D49A1" w:rsidRPr="00A27FFC" w:rsidRDefault="00C14ADB" w:rsidP="003D49A1">
      <w:pPr>
        <w:pStyle w:val="NormalHanging12a"/>
        <w:tabs>
          <w:tab w:val="left" w:pos="993"/>
        </w:tabs>
        <w:ind w:left="993" w:hanging="426"/>
        <w:rPr>
          <w:color w:val="171717" w:themeColor="background2" w:themeShade="1A"/>
        </w:rPr>
      </w:pPr>
      <w:r>
        <w:rPr>
          <w:color w:val="171717" w:themeColor="background2" w:themeShade="1A"/>
        </w:rPr>
        <w:t>(j)</w:t>
      </w:r>
      <w:r>
        <w:rPr>
          <w:color w:val="171717" w:themeColor="background2" w:themeShade="1A"/>
        </w:rPr>
        <w:tab/>
        <w:t>să evalueze importanța convergenței puternice a pozițiilor transatlantice față de China, bazându-se din ce în ce mai mult pe strategia de „reducere a riscurilor”, căutând totodată modalități de cooperare cu China cu privire</w:t>
      </w:r>
      <w:r>
        <w:rPr>
          <w:color w:val="171717" w:themeColor="background2" w:themeShade="1A"/>
        </w:rPr>
        <w:t xml:space="preserve"> la unele provocări globale; </w:t>
      </w:r>
    </w:p>
    <w:p w:rsidR="003D49A1" w:rsidRPr="00A27FFC" w:rsidRDefault="00C14ADB" w:rsidP="003D49A1">
      <w:pPr>
        <w:pStyle w:val="NormalHanging12a"/>
        <w:tabs>
          <w:tab w:val="left" w:pos="993"/>
        </w:tabs>
        <w:ind w:left="993" w:hanging="426"/>
        <w:rPr>
          <w:color w:val="171717" w:themeColor="background2" w:themeShade="1A"/>
        </w:rPr>
      </w:pPr>
      <w:r>
        <w:rPr>
          <w:color w:val="171717" w:themeColor="background2" w:themeShade="1A"/>
        </w:rPr>
        <w:t>(k)</w:t>
      </w:r>
      <w:r>
        <w:rPr>
          <w:color w:val="171717" w:themeColor="background2" w:themeShade="1A"/>
        </w:rPr>
        <w:tab/>
        <w:t xml:space="preserve">să stabilească contacte comune cu țările din sudul global și să consolideze capacitatea noastră de a lucra în parteneriat și a angajamentului nostru față de valorile democratice, o ordine internațională bazată pe norme și </w:t>
      </w:r>
      <w:r>
        <w:rPr>
          <w:color w:val="171717" w:themeColor="background2" w:themeShade="1A"/>
        </w:rPr>
        <w:t>față de colaborarea cu sudul global pe o cale alternativă atractivă la dezvoltarea digitală;</w:t>
      </w:r>
    </w:p>
    <w:p w:rsidR="003D49A1" w:rsidRPr="00A27FFC" w:rsidRDefault="00C14ADB" w:rsidP="003D49A1">
      <w:pPr>
        <w:pStyle w:val="NormalHanging12a"/>
        <w:tabs>
          <w:tab w:val="left" w:pos="993"/>
        </w:tabs>
        <w:ind w:left="993" w:hanging="426"/>
        <w:rPr>
          <w:color w:val="171717" w:themeColor="background2" w:themeShade="1A"/>
        </w:rPr>
      </w:pPr>
      <w:r>
        <w:rPr>
          <w:color w:val="171717" w:themeColor="background2" w:themeShade="1A"/>
        </w:rPr>
        <w:lastRenderedPageBreak/>
        <w:t>(l)</w:t>
      </w:r>
      <w:r>
        <w:rPr>
          <w:color w:val="171717" w:themeColor="background2" w:themeShade="1A"/>
        </w:rPr>
        <w:tab/>
        <w:t>să studieze modalități de a crea sinergii și posibilități de colaborare UE-SUA cu China în cadre multilaterale privind provocările comune și globale, cum ar fi</w:t>
      </w:r>
      <w:r>
        <w:rPr>
          <w:color w:val="171717" w:themeColor="background2" w:themeShade="1A"/>
        </w:rPr>
        <w:t xml:space="preserve"> schimbările climatice, riscurile legate de sănătate, respectarea drepturilor omului, spațiul cibernetic, controlul armelor, neproliferarea și tehnologiile disruptive emergente; </w:t>
      </w:r>
    </w:p>
    <w:p w:rsidR="003D49A1" w:rsidRPr="00A27FFC" w:rsidRDefault="00C14ADB" w:rsidP="003D49A1">
      <w:pPr>
        <w:pStyle w:val="NormalHanging12a"/>
        <w:tabs>
          <w:tab w:val="left" w:pos="993"/>
        </w:tabs>
        <w:ind w:left="993" w:hanging="426"/>
        <w:rPr>
          <w:color w:val="171717" w:themeColor="background2" w:themeShade="1A"/>
        </w:rPr>
      </w:pPr>
      <w:r>
        <w:rPr>
          <w:color w:val="171717" w:themeColor="background2" w:themeShade="1A"/>
        </w:rPr>
        <w:t>(m)</w:t>
      </w:r>
      <w:r>
        <w:rPr>
          <w:color w:val="171717" w:themeColor="background2" w:themeShade="1A"/>
        </w:rPr>
        <w:tab/>
      </w:r>
      <w:r>
        <w:t>să colaboreze cu SUA și cu partenerii din întreaga lume pentru a reduce l</w:t>
      </w:r>
      <w:r>
        <w:t>a minimum riscurile care decurg din proliferarea tehnologiilor sensibile, menținând în același timp nivelurile maxime de deschidere către cooperarea internațională;</w:t>
      </w:r>
    </w:p>
    <w:p w:rsidR="003D49A1" w:rsidRPr="00A27FFC" w:rsidRDefault="00C14ADB" w:rsidP="003D49A1">
      <w:pPr>
        <w:pStyle w:val="NormalHanging12a"/>
        <w:tabs>
          <w:tab w:val="left" w:pos="993"/>
        </w:tabs>
        <w:ind w:left="993" w:hanging="426"/>
        <w:rPr>
          <w:color w:val="171717" w:themeColor="background2" w:themeShade="1A"/>
        </w:rPr>
      </w:pPr>
      <w:r>
        <w:rPr>
          <w:color w:val="171717" w:themeColor="background2" w:themeShade="1A"/>
        </w:rPr>
        <w:t>(n)</w:t>
      </w:r>
      <w:r>
        <w:rPr>
          <w:color w:val="171717" w:themeColor="background2" w:themeShade="1A"/>
        </w:rPr>
        <w:tab/>
        <w:t>să aprofundeze cooperarea în ceea ce privește elaborarea de standarde democratice pentr</w:t>
      </w:r>
      <w:r>
        <w:rPr>
          <w:color w:val="171717" w:themeColor="background2" w:themeShade="1A"/>
        </w:rPr>
        <w:t>u utilizarea tehnologiei prin alinierea cu strategiile lor de diplomație digitală pentru a ne apăra valorile, a ne consolida securitatea și a promova standardele digitale care servesc democrația atât pe plan intern, cât și la nivel mondial;</w:t>
      </w:r>
    </w:p>
    <w:p w:rsidR="003D49A1" w:rsidRPr="00A27FFC" w:rsidRDefault="00C14ADB" w:rsidP="003D49A1">
      <w:pPr>
        <w:pStyle w:val="NormalHanging12a"/>
        <w:tabs>
          <w:tab w:val="left" w:pos="993"/>
        </w:tabs>
        <w:ind w:left="993" w:hanging="426"/>
        <w:rPr>
          <w:color w:val="171717" w:themeColor="background2" w:themeShade="1A"/>
        </w:rPr>
      </w:pPr>
      <w:r>
        <w:rPr>
          <w:color w:val="171717" w:themeColor="background2" w:themeShade="1A"/>
        </w:rPr>
        <w:t>(o)</w:t>
      </w:r>
      <w:r>
        <w:rPr>
          <w:color w:val="171717" w:themeColor="background2" w:themeShade="1A"/>
        </w:rPr>
        <w:tab/>
      </w:r>
      <w:r>
        <w:t>să aprofund</w:t>
      </w:r>
      <w:r>
        <w:t>eze eforturile transatlantice comune de securizare a infrastructurii transatlantice esențiale și de promovare a unei infrastructuri de conectivitate sigure și reziliente pentru tehnologiile informației și comunicațiilor în întreaga lume cu partenerii;</w:t>
      </w:r>
      <w:r>
        <w:rPr>
          <w:color w:val="171717" w:themeColor="background2" w:themeShade="1A"/>
        </w:rPr>
        <w:t xml:space="preserve"> </w:t>
      </w:r>
    </w:p>
    <w:p w:rsidR="003D49A1" w:rsidRPr="00A27FFC" w:rsidRDefault="00C14ADB" w:rsidP="003D49A1">
      <w:pPr>
        <w:pStyle w:val="NormalHanging12a"/>
        <w:tabs>
          <w:tab w:val="left" w:pos="993"/>
        </w:tabs>
        <w:ind w:left="993" w:hanging="426"/>
        <w:rPr>
          <w:color w:val="171717" w:themeColor="background2" w:themeShade="1A"/>
        </w:rPr>
      </w:pPr>
      <w:r>
        <w:rPr>
          <w:color w:val="171717" w:themeColor="background2" w:themeShade="1A"/>
        </w:rPr>
        <w:t>(p)</w:t>
      </w:r>
      <w:r>
        <w:rPr>
          <w:color w:val="171717" w:themeColor="background2" w:themeShade="1A"/>
        </w:rPr>
        <w:tab/>
        <w:t>să se asigure că UE și SUA, împreună cu alți parteneri pertinenți, creează căi solide pentru transferul transatlantic de date și alternative sigure, astfel încât fluxul de date să poată fi menținut sau restabilit rapid chiar și în cazurile de tentative de</w:t>
      </w:r>
      <w:r>
        <w:rPr>
          <w:color w:val="171717" w:themeColor="background2" w:themeShade="1A"/>
        </w:rPr>
        <w:t xml:space="preserve"> perturbare;</w:t>
      </w:r>
    </w:p>
    <w:p w:rsidR="003D49A1" w:rsidRPr="00A27FFC" w:rsidRDefault="00C14ADB" w:rsidP="003D49A1">
      <w:pPr>
        <w:pStyle w:val="NormalHanging12a"/>
        <w:tabs>
          <w:tab w:val="left" w:pos="993"/>
        </w:tabs>
        <w:ind w:left="993" w:hanging="426"/>
        <w:rPr>
          <w:color w:val="171717" w:themeColor="background2" w:themeShade="1A"/>
        </w:rPr>
      </w:pPr>
      <w:r>
        <w:rPr>
          <w:color w:val="171717" w:themeColor="background2" w:themeShade="1A"/>
        </w:rPr>
        <w:t>(q)</w:t>
      </w:r>
      <w:r>
        <w:rPr>
          <w:color w:val="171717" w:themeColor="background2" w:themeShade="1A"/>
        </w:rPr>
        <w:tab/>
        <w:t xml:space="preserve">să promoveze un parteneriat mai strâns cu SUA și cu alți parteneri din regiunea indo-pacifică care împărtășesc aceeași viziune; </w:t>
      </w:r>
    </w:p>
    <w:p w:rsidR="003D49A1" w:rsidRPr="00A27FFC" w:rsidRDefault="00C14ADB" w:rsidP="003D49A1">
      <w:pPr>
        <w:pStyle w:val="NormalHanging12a"/>
        <w:tabs>
          <w:tab w:val="left" w:pos="993"/>
        </w:tabs>
        <w:ind w:left="993" w:hanging="426"/>
        <w:rPr>
          <w:color w:val="171717" w:themeColor="background2" w:themeShade="1A"/>
        </w:rPr>
      </w:pPr>
      <w:r>
        <w:rPr>
          <w:color w:val="171717" w:themeColor="background2" w:themeShade="1A"/>
        </w:rPr>
        <w:t>(r)</w:t>
      </w:r>
      <w:r>
        <w:rPr>
          <w:color w:val="171717" w:themeColor="background2" w:themeShade="1A"/>
        </w:rPr>
        <w:tab/>
        <w:t xml:space="preserve">să continue cooperarea UE-SUA în Balcanii de Vest pentru a apropia țările din această regiune de aderarea </w:t>
      </w:r>
      <w:r>
        <w:rPr>
          <w:color w:val="171717" w:themeColor="background2" w:themeShade="1A"/>
        </w:rPr>
        <w:t>la UE și să continue dialogul Belgrad-Priștina înlesnit de UE;</w:t>
      </w:r>
    </w:p>
    <w:p w:rsidR="003D49A1" w:rsidRPr="00A27FFC" w:rsidRDefault="00C14ADB" w:rsidP="003D49A1">
      <w:pPr>
        <w:pStyle w:val="NormalHanging12a"/>
        <w:tabs>
          <w:tab w:val="left" w:pos="993"/>
        </w:tabs>
        <w:ind w:left="993" w:hanging="426"/>
        <w:rPr>
          <w:color w:val="171717" w:themeColor="background2" w:themeShade="1A"/>
        </w:rPr>
      </w:pPr>
      <w:r>
        <w:rPr>
          <w:color w:val="171717" w:themeColor="background2" w:themeShade="1A"/>
        </w:rPr>
        <w:t>(s)</w:t>
      </w:r>
      <w:r>
        <w:rPr>
          <w:color w:val="171717" w:themeColor="background2" w:themeShade="1A"/>
        </w:rPr>
        <w:tab/>
      </w:r>
      <w:r>
        <w:t>să sublinieze necesitatea de a continua bunele angajamente bilaterale privind politicile noastre respective față de procesul de pace din Orientul Mijlociu, precum și de a continua coordonar</w:t>
      </w:r>
      <w:r>
        <w:t>ea eforturilor noastre de încurajare a evoluțiilor pozitive în întreaga regiune;</w:t>
      </w:r>
    </w:p>
    <w:p w:rsidR="003D49A1" w:rsidRPr="00A27FFC" w:rsidRDefault="00C14ADB" w:rsidP="003D49A1">
      <w:pPr>
        <w:pStyle w:val="NormalHanging12a"/>
        <w:tabs>
          <w:tab w:val="left" w:pos="993"/>
        </w:tabs>
        <w:ind w:left="993" w:hanging="426"/>
        <w:rPr>
          <w:color w:val="171717" w:themeColor="background2" w:themeShade="1A"/>
        </w:rPr>
      </w:pPr>
      <w:r>
        <w:rPr>
          <w:color w:val="171717" w:themeColor="background2" w:themeShade="1A"/>
        </w:rPr>
        <w:t>(t)</w:t>
      </w:r>
      <w:r>
        <w:rPr>
          <w:color w:val="171717" w:themeColor="background2" w:themeShade="1A"/>
        </w:rPr>
        <w:tab/>
        <w:t>să consolideze cooperarea transatlantică în ceea ce privește conștientizarea situației, răspunsurile diplomatice, consolidarea capacităților și întărirea rezilienței ciber</w:t>
      </w:r>
      <w:r>
        <w:rPr>
          <w:color w:val="171717" w:themeColor="background2" w:themeShade="1A"/>
        </w:rPr>
        <w:t>netice prin intermediul dialogului cibernetic UE-SUA;</w:t>
      </w:r>
    </w:p>
    <w:p w:rsidR="003D49A1" w:rsidRPr="00A27FFC" w:rsidRDefault="00C14ADB" w:rsidP="003D49A1">
      <w:pPr>
        <w:pStyle w:val="NormalHanging12a"/>
        <w:tabs>
          <w:tab w:val="left" w:pos="993"/>
        </w:tabs>
        <w:ind w:left="993" w:hanging="426"/>
        <w:rPr>
          <w:color w:val="171717" w:themeColor="background2" w:themeShade="1A"/>
        </w:rPr>
      </w:pPr>
      <w:r>
        <w:rPr>
          <w:color w:val="171717" w:themeColor="background2" w:themeShade="1A"/>
        </w:rPr>
        <w:t>(u)</w:t>
      </w:r>
      <w:r>
        <w:rPr>
          <w:color w:val="171717" w:themeColor="background2" w:themeShade="1A"/>
        </w:rPr>
        <w:tab/>
      </w:r>
      <w:r>
        <w:t>să se asigure că SUA rămâne un partener important pentru securitatea energetică a UE;</w:t>
      </w:r>
      <w:r>
        <w:rPr>
          <w:color w:val="171717" w:themeColor="background2" w:themeShade="1A"/>
        </w:rPr>
        <w:t xml:space="preserve"> </w:t>
      </w:r>
    </w:p>
    <w:p w:rsidR="003D49A1" w:rsidRPr="00A27FFC" w:rsidRDefault="00C14ADB" w:rsidP="003D49A1">
      <w:pPr>
        <w:pStyle w:val="NormalHanging12a"/>
        <w:tabs>
          <w:tab w:val="left" w:pos="993"/>
        </w:tabs>
        <w:ind w:left="993" w:hanging="426"/>
      </w:pPr>
      <w:r>
        <w:rPr>
          <w:color w:val="171717" w:themeColor="background2" w:themeShade="1A"/>
        </w:rPr>
        <w:t>(v)</w:t>
      </w:r>
      <w:r>
        <w:rPr>
          <w:color w:val="171717" w:themeColor="background2" w:themeShade="1A"/>
        </w:rPr>
        <w:tab/>
      </w:r>
      <w:r>
        <w:t xml:space="preserve">să continue operaționalizarea unui dialog și a unei cooperări transatlantice mai strânse privind sursele </w:t>
      </w:r>
      <w:r>
        <w:t>regenerabile de energie;</w:t>
      </w:r>
    </w:p>
    <w:p w:rsidR="003D49A1" w:rsidRPr="00A27FFC" w:rsidRDefault="00C14ADB" w:rsidP="003D49A1">
      <w:pPr>
        <w:pStyle w:val="NormalHanging12a"/>
        <w:tabs>
          <w:tab w:val="left" w:pos="993"/>
        </w:tabs>
        <w:ind w:left="993" w:hanging="426"/>
        <w:rPr>
          <w:color w:val="171717" w:themeColor="background2" w:themeShade="1A"/>
        </w:rPr>
      </w:pPr>
      <w:r>
        <w:t>(w)</w:t>
      </w:r>
      <w:r>
        <w:tab/>
        <w:t>să urmărească încheierea unui acord UE-SUA privind o metodologie comună de calcul al amprentei de carbon;</w:t>
      </w:r>
    </w:p>
    <w:p w:rsidR="003D49A1" w:rsidRPr="00A27FFC" w:rsidRDefault="00C14ADB" w:rsidP="003D49A1">
      <w:pPr>
        <w:pStyle w:val="NormalHanging12a"/>
        <w:ind w:firstLine="0"/>
        <w:jc w:val="both"/>
        <w:rPr>
          <w:b/>
          <w:i/>
          <w:color w:val="171717" w:themeColor="background2" w:themeShade="1A"/>
        </w:rPr>
      </w:pPr>
      <w:r>
        <w:rPr>
          <w:b/>
          <w:i/>
          <w:color w:val="171717" w:themeColor="background2" w:themeShade="1A"/>
        </w:rPr>
        <w:t>Cooperarea în materie de securitate și apărare</w:t>
      </w:r>
    </w:p>
    <w:p w:rsidR="003D49A1" w:rsidRPr="00A27FFC" w:rsidRDefault="00C14ADB" w:rsidP="003D49A1">
      <w:pPr>
        <w:pStyle w:val="NormalHanging12a"/>
        <w:tabs>
          <w:tab w:val="left" w:pos="993"/>
        </w:tabs>
        <w:ind w:left="993" w:hanging="426"/>
        <w:rPr>
          <w:color w:val="171717" w:themeColor="background2" w:themeShade="1A"/>
        </w:rPr>
      </w:pPr>
      <w:r>
        <w:rPr>
          <w:color w:val="171717" w:themeColor="background2" w:themeShade="1A"/>
        </w:rPr>
        <w:lastRenderedPageBreak/>
        <w:t>(x)</w:t>
      </w:r>
      <w:r>
        <w:rPr>
          <w:color w:val="171717" w:themeColor="background2" w:themeShade="1A"/>
        </w:rPr>
        <w:tab/>
      </w:r>
      <w:r>
        <w:t>să se bazeze pe cea de a treia declarație comună UE-NATO și să operați</w:t>
      </w:r>
      <w:r>
        <w:t>onalizeze în continuare cooperarea UE-NATO în domenii precum reziliența și protecția infrastructurii critice, tehnologiile emergente și disruptive, spațiul, implicațiile în materie de securitate ale schimbărilor climatice, precum și acțiunile străine de ma</w:t>
      </w:r>
      <w:r>
        <w:t>nipulare a informațiilor și ingerințele străine;</w:t>
      </w:r>
    </w:p>
    <w:p w:rsidR="003D49A1" w:rsidRPr="00A27FFC" w:rsidRDefault="00C14ADB" w:rsidP="003D49A1">
      <w:pPr>
        <w:pStyle w:val="NormalHanging12a"/>
        <w:tabs>
          <w:tab w:val="left" w:pos="993"/>
        </w:tabs>
        <w:ind w:left="993" w:hanging="426"/>
        <w:rPr>
          <w:color w:val="171717" w:themeColor="background2" w:themeShade="1A"/>
        </w:rPr>
      </w:pPr>
      <w:r>
        <w:rPr>
          <w:color w:val="171717" w:themeColor="background2" w:themeShade="1A"/>
        </w:rPr>
        <w:t>(y)</w:t>
      </w:r>
      <w:r>
        <w:rPr>
          <w:color w:val="171717" w:themeColor="background2" w:themeShade="1A"/>
        </w:rPr>
        <w:tab/>
        <w:t>să aprofundeze parteneriatele în domeniile de cooperare avute în vedere de conceptul strategic al NATO și de Busola strategică a UE, în special în domeniul mobilității militare, al infrastructurii cu dub</w:t>
      </w:r>
      <w:r>
        <w:rPr>
          <w:color w:val="171717" w:themeColor="background2" w:themeShade="1A"/>
        </w:rPr>
        <w:t>lă utilizare, al rezilienței și al exercițiilor comune favorabile includerii;</w:t>
      </w:r>
    </w:p>
    <w:p w:rsidR="003D49A1" w:rsidRPr="00A27FFC" w:rsidRDefault="00C14ADB" w:rsidP="003D49A1">
      <w:pPr>
        <w:pStyle w:val="NormalHanging12a"/>
        <w:tabs>
          <w:tab w:val="left" w:pos="993"/>
        </w:tabs>
        <w:ind w:left="993" w:hanging="426"/>
      </w:pPr>
      <w:r>
        <w:rPr>
          <w:color w:val="171717" w:themeColor="background2" w:themeShade="1A"/>
        </w:rPr>
        <w:t>(z)</w:t>
      </w:r>
      <w:r>
        <w:rPr>
          <w:color w:val="171717" w:themeColor="background2" w:themeShade="1A"/>
        </w:rPr>
        <w:tab/>
      </w:r>
      <w:r>
        <w:t>să consolideze colaborarea dintre întreprinderile din domeniul apărării SUA-UE cu privire la proiecte comune care servesc la atingerea obiectivelor comune în materie de secur</w:t>
      </w:r>
      <w:r>
        <w:t>itate și apărare și la asigurarea unei mai bune interoperabilități între UE, SUA și NATO;</w:t>
      </w:r>
    </w:p>
    <w:p w:rsidR="003D49A1" w:rsidRPr="00A27FFC" w:rsidRDefault="00C14ADB" w:rsidP="003D49A1">
      <w:pPr>
        <w:pStyle w:val="NormalHanging12a"/>
        <w:tabs>
          <w:tab w:val="left" w:pos="993"/>
        </w:tabs>
        <w:ind w:left="993" w:hanging="426"/>
      </w:pPr>
      <w:r>
        <w:t>(aa)</w:t>
      </w:r>
      <w:r>
        <w:tab/>
        <w:t>să încurajeze în continuare cooperarea în domeniul apărării dintre UE, statele sale membre și SUA prin punerea în practică a Acordului administrativ dintre Agenț</w:t>
      </w:r>
      <w:r>
        <w:t>ia Europeană de Apărare și Departamentul Apărării al Statelor Unite, având în vedere importanța sa în realitatea geopolitică actuală;</w:t>
      </w:r>
    </w:p>
    <w:p w:rsidR="003D49A1" w:rsidRPr="00A27FFC" w:rsidRDefault="00C14ADB" w:rsidP="003D49A1">
      <w:pPr>
        <w:pStyle w:val="NormalHanging12a"/>
        <w:tabs>
          <w:tab w:val="left" w:pos="993"/>
        </w:tabs>
        <w:ind w:left="993" w:hanging="426"/>
      </w:pPr>
      <w:r>
        <w:t>(ab)</w:t>
      </w:r>
      <w:r>
        <w:tab/>
        <w:t xml:space="preserve">să continue coordonarea în curs a sprijinului militar acordat Ucrainei în cadrul Grupului de contact pentru apărarea </w:t>
      </w:r>
      <w:r>
        <w:t>Ucrainei;</w:t>
      </w:r>
    </w:p>
    <w:p w:rsidR="003D49A1" w:rsidRPr="00A27FFC" w:rsidRDefault="00C14ADB" w:rsidP="003D49A1">
      <w:pPr>
        <w:pStyle w:val="NormalHanging12a"/>
        <w:tabs>
          <w:tab w:val="left" w:pos="993"/>
        </w:tabs>
        <w:ind w:left="993" w:hanging="426"/>
        <w:rPr>
          <w:color w:val="171717" w:themeColor="background2" w:themeShade="1A"/>
        </w:rPr>
      </w:pPr>
      <w:r>
        <w:t>(ac) să aprofundeze cooperarea cu SUA în materie de securitate a spațiului;</w:t>
      </w:r>
    </w:p>
    <w:p w:rsidR="003D49A1" w:rsidRPr="00A27FFC" w:rsidRDefault="00C14ADB" w:rsidP="003D49A1">
      <w:pPr>
        <w:pStyle w:val="NormalHanging12a"/>
        <w:tabs>
          <w:tab w:val="left" w:pos="993"/>
        </w:tabs>
        <w:ind w:left="993" w:hanging="426"/>
        <w:rPr>
          <w:color w:val="171717" w:themeColor="background2" w:themeShade="1A"/>
        </w:rPr>
      </w:pPr>
      <w:r>
        <w:rPr>
          <w:color w:val="171717" w:themeColor="background2" w:themeShade="1A"/>
        </w:rPr>
        <w:t>(ad)</w:t>
      </w:r>
      <w:r>
        <w:rPr>
          <w:color w:val="171717" w:themeColor="background2" w:themeShade="1A"/>
        </w:rPr>
        <w:tab/>
        <w:t>să abordeze în comun răspândirea manipulării informațiilor și a ingerințelor Rusiei și Chinei, în special în contextul războiului ilegal al Rusiei împotriva Ucrainei</w:t>
      </w:r>
      <w:r>
        <w:rPr>
          <w:color w:val="171717" w:themeColor="background2" w:themeShade="1A"/>
        </w:rPr>
        <w:t xml:space="preserve"> și al impactului acestuia a</w:t>
      </w:r>
      <w:bookmarkStart w:id="1" w:name="_GoBack"/>
      <w:bookmarkEnd w:id="1"/>
      <w:r>
        <w:rPr>
          <w:color w:val="171717" w:themeColor="background2" w:themeShade="1A"/>
        </w:rPr>
        <w:t xml:space="preserve">supra Balcanilor de Vest, Africii și Americii Latine; </w:t>
      </w:r>
    </w:p>
    <w:p w:rsidR="003D49A1" w:rsidRPr="00A27FFC" w:rsidRDefault="00C14ADB" w:rsidP="003D49A1">
      <w:pPr>
        <w:widowControl/>
        <w:spacing w:after="240"/>
        <w:jc w:val="center"/>
      </w:pPr>
      <w:bookmarkStart w:id="2" w:name="TextBodyEnd"/>
      <w:bookmarkEnd w:id="2"/>
      <w:r>
        <w:t>°</w:t>
      </w:r>
    </w:p>
    <w:p w:rsidR="003D49A1" w:rsidRPr="00A27FFC" w:rsidRDefault="00C14ADB" w:rsidP="003D49A1">
      <w:pPr>
        <w:widowControl/>
        <w:spacing w:after="240"/>
        <w:jc w:val="center"/>
      </w:pPr>
      <w:r>
        <w:t>°         °</w:t>
      </w:r>
    </w:p>
    <w:p w:rsidR="003D49A1" w:rsidRPr="00A27FFC" w:rsidRDefault="00C14ADB" w:rsidP="003D49A1">
      <w:pPr>
        <w:pStyle w:val="NormalHanging12a"/>
      </w:pPr>
      <w:r>
        <w:t>2.</w:t>
      </w:r>
      <w:r>
        <w:tab/>
        <w:t xml:space="preserve">încredințează Președintei sarcina de a transmite prezenta recomandare Consiliului, Comisiei și Vicepreședintelui Comisiei/Înaltului Reprezentant al Uniunii </w:t>
      </w:r>
      <w:r>
        <w:t>pentru afaceri externe și politica de securitate.</w:t>
      </w:r>
    </w:p>
    <w:p w:rsidR="00144AD8" w:rsidRPr="00A27FFC" w:rsidRDefault="00144AD8" w:rsidP="00FD4651"/>
    <w:sectPr w:rsidR="00144AD8" w:rsidRPr="00A27FFC" w:rsidSect="00BE517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14ADB">
      <w:r>
        <w:separator/>
      </w:r>
    </w:p>
  </w:endnote>
  <w:endnote w:type="continuationSeparator" w:id="0">
    <w:p w:rsidR="00000000" w:rsidRDefault="00C14A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178" w:rsidRPr="00A27FFC" w:rsidRDefault="00C14ADB" w:rsidP="00BE5178">
    <w:pPr>
      <w:pStyle w:val="EPFooter"/>
    </w:pPr>
    <w:r w:rsidRPr="00A27FFC">
      <w:t>PE</w:t>
    </w:r>
    <w:r w:rsidRPr="00A27FFC">
      <w:rPr>
        <w:rStyle w:val="HideTWBExt"/>
      </w:rPr>
      <w:t>&lt;NoPE&gt;</w:t>
    </w:r>
    <w:r w:rsidRPr="00A27FFC">
      <w:t>752.865</w:t>
    </w:r>
    <w:r w:rsidRPr="00A27FFC">
      <w:rPr>
        <w:rStyle w:val="HideTWBExt"/>
      </w:rPr>
      <w:t>&lt;/NoPE&gt;&lt;Version&gt;</w:t>
    </w:r>
    <w:r w:rsidRPr="00A27FFC">
      <w:t>v01-00</w:t>
    </w:r>
    <w:r w:rsidRPr="00A27FFC">
      <w:rPr>
        <w:rStyle w:val="HideTWBExt"/>
      </w:rPr>
      <w:t>&lt;/Version&gt;</w:t>
    </w:r>
    <w:r w:rsidRPr="00A27FFC">
      <w:tab/>
    </w:r>
    <w:r w:rsidRPr="00A27FFC">
      <w:fldChar w:fldCharType="begin"/>
    </w:r>
    <w:r w:rsidRPr="00A27FFC">
      <w:instrText xml:space="preserve"> PAGE  \* MERGEFORMAT </w:instrText>
    </w:r>
    <w:r w:rsidRPr="00A27FFC">
      <w:fldChar w:fldCharType="separate"/>
    </w:r>
    <w:r>
      <w:rPr>
        <w:noProof/>
      </w:rPr>
      <w:t>4</w:t>
    </w:r>
    <w:r w:rsidRPr="00A27FFC">
      <w:fldChar w:fldCharType="end"/>
    </w:r>
    <w:r w:rsidRPr="00A27FFC">
      <w:t>/</w:t>
    </w:r>
    <w:r w:rsidR="00A27FFC" w:rsidRPr="00A27FFC">
      <w:fldChar w:fldCharType="begin"/>
    </w:r>
    <w:r>
      <w:instrText xml:space="preserve"> NUMPAGES  \* MERGEFORMAT </w:instrText>
    </w:r>
    <w:r w:rsidR="00A27FFC" w:rsidRPr="00A27FFC">
      <w:fldChar w:fldCharType="separate"/>
    </w:r>
    <w:r>
      <w:rPr>
        <w:noProof/>
      </w:rPr>
      <w:t>7</w:t>
    </w:r>
    <w:r w:rsidR="00A27FFC" w:rsidRPr="00A27FFC">
      <w:rPr>
        <w:noProof/>
      </w:rPr>
      <w:fldChar w:fldCharType="end"/>
    </w:r>
    <w:r w:rsidRPr="00A27FFC">
      <w:tab/>
    </w:r>
    <w:r w:rsidRPr="00A27FFC">
      <w:rPr>
        <w:rStyle w:val="HideTWBExt"/>
      </w:rPr>
      <w:t>&lt;PathFdR&gt;</w:t>
    </w:r>
    <w:r w:rsidRPr="00A27FFC">
      <w:t>PR\1285783RO.docx</w:t>
    </w:r>
    <w:r w:rsidRPr="00A27FFC">
      <w:rPr>
        <w:rStyle w:val="HideTWBExt"/>
      </w:rPr>
      <w:t>&lt;/P</w:t>
    </w:r>
    <w:r w:rsidRPr="00A27FFC">
      <w:rPr>
        <w:rStyle w:val="HideTWBExt"/>
      </w:rPr>
      <w:t>athFdR&gt;</w:t>
    </w:r>
  </w:p>
  <w:p w:rsidR="00144AD8" w:rsidRPr="00A27FFC" w:rsidRDefault="00C14ADB" w:rsidP="00BE5178">
    <w:pPr>
      <w:pStyle w:val="EPFooter2"/>
    </w:pPr>
    <w:r w:rsidRPr="00A27FFC">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178" w:rsidRPr="00A27FFC" w:rsidRDefault="00C14ADB" w:rsidP="00BE5178">
    <w:pPr>
      <w:pStyle w:val="EPFooter"/>
    </w:pPr>
    <w:r w:rsidRPr="00A27FFC">
      <w:rPr>
        <w:rStyle w:val="HideTWBExt"/>
      </w:rPr>
      <w:t>&lt;PathFdR&gt;</w:t>
    </w:r>
    <w:r w:rsidRPr="00A27FFC">
      <w:t>PR\1285783RO.docx</w:t>
    </w:r>
    <w:r w:rsidRPr="00A27FFC">
      <w:rPr>
        <w:rStyle w:val="HideTWBExt"/>
      </w:rPr>
      <w:t>&lt;/PathFdR&gt;</w:t>
    </w:r>
    <w:r w:rsidRPr="00A27FFC">
      <w:tab/>
    </w:r>
    <w:r w:rsidRPr="00A27FFC">
      <w:fldChar w:fldCharType="begin"/>
    </w:r>
    <w:r w:rsidRPr="00A27FFC">
      <w:instrText xml:space="preserve"> PAGE  \* MERGEFORMAT </w:instrText>
    </w:r>
    <w:r w:rsidRPr="00A27FFC">
      <w:fldChar w:fldCharType="separate"/>
    </w:r>
    <w:r>
      <w:rPr>
        <w:noProof/>
      </w:rPr>
      <w:t>5</w:t>
    </w:r>
    <w:r w:rsidRPr="00A27FFC">
      <w:fldChar w:fldCharType="end"/>
    </w:r>
    <w:r w:rsidRPr="00A27FFC">
      <w:t>/</w:t>
    </w:r>
    <w:r w:rsidR="00A27FFC" w:rsidRPr="00A27FFC">
      <w:fldChar w:fldCharType="begin"/>
    </w:r>
    <w:r>
      <w:instrText xml:space="preserve"> NUMPAGES  \* MERGEFORMAT </w:instrText>
    </w:r>
    <w:r w:rsidR="00A27FFC" w:rsidRPr="00A27FFC">
      <w:fldChar w:fldCharType="separate"/>
    </w:r>
    <w:r>
      <w:rPr>
        <w:noProof/>
      </w:rPr>
      <w:t>7</w:t>
    </w:r>
    <w:r w:rsidR="00A27FFC" w:rsidRPr="00A27FFC">
      <w:rPr>
        <w:noProof/>
      </w:rPr>
      <w:fldChar w:fldCharType="end"/>
    </w:r>
    <w:r w:rsidRPr="00A27FFC">
      <w:tab/>
      <w:t>PE</w:t>
    </w:r>
    <w:r w:rsidRPr="00A27FFC">
      <w:rPr>
        <w:rStyle w:val="HideTWBExt"/>
      </w:rPr>
      <w:t>&lt;NoPE&gt;</w:t>
    </w:r>
    <w:r w:rsidRPr="00A27FFC">
      <w:t>752.865</w:t>
    </w:r>
    <w:r w:rsidRPr="00A27FFC">
      <w:rPr>
        <w:rStyle w:val="HideTWBExt"/>
      </w:rPr>
      <w:t>&lt;/NoPE&gt;&lt;Version&gt;</w:t>
    </w:r>
    <w:r w:rsidRPr="00A27FFC">
      <w:t>v01-00</w:t>
    </w:r>
    <w:r w:rsidRPr="00A27FFC">
      <w:rPr>
        <w:rStyle w:val="HideTWBExt"/>
      </w:rPr>
      <w:t>&lt;/Version&gt;</w:t>
    </w:r>
  </w:p>
  <w:p w:rsidR="00144AD8" w:rsidRPr="00A27FFC" w:rsidRDefault="00C14ADB" w:rsidP="00BE5178">
    <w:pPr>
      <w:pStyle w:val="EPFooter2"/>
    </w:pPr>
    <w:r w:rsidRPr="00A27FFC">
      <w:tab/>
    </w:r>
    <w:r w:rsidRPr="00A27FFC">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5178" w:rsidRPr="00A27FFC" w:rsidRDefault="00C14ADB" w:rsidP="00BE5178">
    <w:pPr>
      <w:pStyle w:val="EPFooter"/>
    </w:pPr>
    <w:r w:rsidRPr="00A27FFC">
      <w:rPr>
        <w:rStyle w:val="HideTWBExt"/>
      </w:rPr>
      <w:t>&lt;PathFdR&gt;</w:t>
    </w:r>
    <w:r w:rsidRPr="00A27FFC">
      <w:t>PR\1285783RO.docx</w:t>
    </w:r>
    <w:r w:rsidRPr="00A27FFC">
      <w:rPr>
        <w:rStyle w:val="HideTWBExt"/>
      </w:rPr>
      <w:t>&lt;/PathFdR&gt;</w:t>
    </w:r>
    <w:r w:rsidRPr="00A27FFC">
      <w:tab/>
    </w:r>
    <w:r w:rsidRPr="00A27FFC">
      <w:tab/>
      <w:t>PE</w:t>
    </w:r>
    <w:r w:rsidRPr="00A27FFC">
      <w:rPr>
        <w:rStyle w:val="HideTWBExt"/>
      </w:rPr>
      <w:t>&lt;NoPE&gt;</w:t>
    </w:r>
    <w:r w:rsidRPr="00A27FFC">
      <w:t>752.865</w:t>
    </w:r>
    <w:r w:rsidRPr="00A27FFC">
      <w:rPr>
        <w:rStyle w:val="HideTWBExt"/>
      </w:rPr>
      <w:t>&lt;/NoPE&gt;&lt;Version&gt;</w:t>
    </w:r>
    <w:r w:rsidRPr="00A27FFC">
      <w:t>v01-00</w:t>
    </w:r>
    <w:r w:rsidRPr="00A27FFC">
      <w:rPr>
        <w:rStyle w:val="HideTWBExt"/>
      </w:rPr>
      <w:t>&lt;/Version&gt;</w:t>
    </w:r>
  </w:p>
  <w:p w:rsidR="00144AD8" w:rsidRPr="00A27FFC" w:rsidRDefault="00C14ADB" w:rsidP="00BE5178">
    <w:pPr>
      <w:pStyle w:val="EPFooter2"/>
    </w:pPr>
    <w:r w:rsidRPr="00A27FFC">
      <w:t>RO</w:t>
    </w:r>
    <w:r w:rsidRPr="00A27FFC">
      <w:tab/>
    </w:r>
    <w:r w:rsidRPr="00A27FFC">
      <w:rPr>
        <w:b w:val="0"/>
        <w:i/>
        <w:color w:val="C0C0C0"/>
        <w:sz w:val="22"/>
      </w:rPr>
      <w:t>Unită în</w:t>
    </w:r>
    <w:r w:rsidRPr="00A27FFC">
      <w:rPr>
        <w:b w:val="0"/>
        <w:i/>
        <w:color w:val="C0C0C0"/>
        <w:sz w:val="22"/>
      </w:rPr>
      <w:t xml:space="preserve"> diversitate</w:t>
    </w:r>
    <w:r w:rsidRPr="00A27FFC">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1E75" w:rsidRPr="00A27FFC" w:rsidRDefault="00C14ADB">
      <w:r w:rsidRPr="00A27FFC">
        <w:separator/>
      </w:r>
    </w:p>
  </w:footnote>
  <w:footnote w:type="continuationSeparator" w:id="0">
    <w:p w:rsidR="00351E75" w:rsidRPr="00A27FFC" w:rsidRDefault="00C14ADB">
      <w:r w:rsidRPr="00A27FFC">
        <w:continuationSeparator/>
      </w:r>
    </w:p>
  </w:footnote>
  <w:footnote w:id="1">
    <w:p w:rsidR="0023412A" w:rsidRPr="00A27FFC" w:rsidRDefault="00C14ADB">
      <w:pPr>
        <w:pStyle w:val="FootnoteText"/>
      </w:pPr>
      <w:r>
        <w:rPr>
          <w:rStyle w:val="FootnoteReference"/>
        </w:rPr>
        <w:footnoteRef/>
      </w:r>
      <w:r>
        <w:t xml:space="preserve"> J</w:t>
      </w:r>
      <w:r>
        <w:rPr>
          <w:sz w:val="20"/>
        </w:rPr>
        <w:t>O L 160, 7.5.2021, p. 112.</w:t>
      </w:r>
    </w:p>
  </w:footnote>
  <w:footnote w:id="2">
    <w:p w:rsidR="003D49A1" w:rsidRPr="00A27FFC" w:rsidRDefault="00C14ADB" w:rsidP="003D49A1">
      <w:pPr>
        <w:pStyle w:val="FootnoteText"/>
        <w:ind w:left="567" w:hanging="567"/>
        <w:rPr>
          <w:sz w:val="20"/>
        </w:rPr>
      </w:pPr>
      <w:r>
        <w:rPr>
          <w:rStyle w:val="FootnoteReference"/>
          <w:sz w:val="20"/>
        </w:rPr>
        <w:footnoteRef/>
      </w:r>
      <w:r>
        <w:rPr>
          <w:sz w:val="24"/>
        </w:rPr>
        <w:t xml:space="preserve"> </w:t>
      </w:r>
      <w:r>
        <w:rPr>
          <w:sz w:val="20"/>
        </w:rPr>
        <w:t>JO C 117 E, 6.5.2010, p. 198.</w:t>
      </w:r>
    </w:p>
  </w:footnote>
  <w:footnote w:id="3">
    <w:p w:rsidR="003D49A1" w:rsidRPr="00A27FFC" w:rsidRDefault="00C14ADB" w:rsidP="003D49A1">
      <w:pPr>
        <w:pStyle w:val="FootnoteText"/>
        <w:ind w:left="567" w:hanging="567"/>
        <w:rPr>
          <w:sz w:val="20"/>
        </w:rPr>
      </w:pPr>
      <w:r>
        <w:rPr>
          <w:rStyle w:val="FootnoteReference"/>
          <w:sz w:val="20"/>
        </w:rPr>
        <w:footnoteRef/>
      </w:r>
      <w:r>
        <w:rPr>
          <w:sz w:val="20"/>
        </w:rPr>
        <w:t xml:space="preserve"> JO C 65, 19.2.2016, p. 120.</w:t>
      </w:r>
    </w:p>
  </w:footnote>
  <w:footnote w:id="4">
    <w:p w:rsidR="003D49A1" w:rsidRPr="00A27FFC" w:rsidRDefault="00C14ADB" w:rsidP="003D49A1">
      <w:pPr>
        <w:pStyle w:val="FootnoteText"/>
        <w:ind w:left="567" w:hanging="567"/>
        <w:rPr>
          <w:sz w:val="20"/>
        </w:rPr>
      </w:pPr>
      <w:r>
        <w:rPr>
          <w:rStyle w:val="FootnoteReference"/>
          <w:sz w:val="20"/>
        </w:rPr>
        <w:footnoteRef/>
      </w:r>
      <w:r>
        <w:rPr>
          <w:sz w:val="20"/>
        </w:rPr>
        <w:t xml:space="preserve"> JO C 433, 23.12.2019, p. 89.</w:t>
      </w:r>
    </w:p>
  </w:footnote>
  <w:footnote w:id="5">
    <w:p w:rsidR="003D49A1" w:rsidRPr="00A27FFC" w:rsidRDefault="00C14ADB" w:rsidP="003D49A1">
      <w:pPr>
        <w:pStyle w:val="FootnoteText"/>
        <w:ind w:left="567" w:hanging="567"/>
        <w:rPr>
          <w:sz w:val="20"/>
        </w:rPr>
      </w:pPr>
      <w:r>
        <w:rPr>
          <w:rStyle w:val="FootnoteReference"/>
          <w:sz w:val="20"/>
        </w:rPr>
        <w:footnoteRef/>
      </w:r>
      <w:r>
        <w:rPr>
          <w:sz w:val="20"/>
        </w:rPr>
        <w:t xml:space="preserve"> JO C 132, 24.3.2022, p. 70.</w:t>
      </w:r>
    </w:p>
  </w:footnote>
  <w:footnote w:id="6">
    <w:p w:rsidR="003D49A1" w:rsidRPr="00A27FFC" w:rsidRDefault="00C14ADB" w:rsidP="003D49A1">
      <w:pPr>
        <w:pStyle w:val="FootnoteText"/>
        <w:ind w:left="567" w:hanging="567"/>
        <w:rPr>
          <w:sz w:val="20"/>
        </w:rPr>
      </w:pPr>
      <w:r>
        <w:rPr>
          <w:rStyle w:val="FootnoteReference"/>
          <w:sz w:val="20"/>
        </w:rPr>
        <w:footnoteRef/>
      </w:r>
      <w:r>
        <w:rPr>
          <w:sz w:val="20"/>
        </w:rPr>
        <w:t xml:space="preserve"> JO C 214, 16.6.2023, p. 26.</w:t>
      </w:r>
    </w:p>
  </w:footnote>
  <w:footnote w:id="7">
    <w:p w:rsidR="003D49A1" w:rsidRPr="00A27FFC" w:rsidRDefault="00C14ADB" w:rsidP="003D49A1">
      <w:pPr>
        <w:pStyle w:val="FootnoteText"/>
        <w:ind w:left="567" w:hanging="567"/>
        <w:rPr>
          <w:sz w:val="24"/>
        </w:rPr>
      </w:pPr>
      <w:r>
        <w:rPr>
          <w:rStyle w:val="FootnoteReference"/>
          <w:sz w:val="20"/>
        </w:rPr>
        <w:footnoteRef/>
      </w:r>
      <w:r>
        <w:rPr>
          <w:sz w:val="20"/>
        </w:rPr>
        <w:t xml:space="preserve"> JO C 214, 16.6.2023, p. 54.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ADB" w:rsidRDefault="00C14A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ADB" w:rsidRDefault="00C14A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ADB" w:rsidRDefault="00C14A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KEY" w:val="AFET"/>
    <w:docVar w:name="CopyToNetwork" w:val="-1"/>
    <w:docVar w:name="INSTMNU" w:val=" 7"/>
    <w:docVar w:name="LastEditedSection" w:val=" 1"/>
    <w:docVar w:name="strSubDir" w:val="1285"/>
    <w:docVar w:name="TXTLANGUE" w:val="RO"/>
    <w:docVar w:name="TXTLANGUEMIN" w:val="ro"/>
    <w:docVar w:name="TXTNRINI" w:val="2023/2126"/>
    <w:docVar w:name="TXTNRPE" w:val="752.865"/>
    <w:docVar w:name="TXTPEorAP" w:val="PE"/>
    <w:docVar w:name="TXTROUTE" w:val="PR\1285783RO.docx"/>
    <w:docVar w:name="TXTTITLE" w:val="on EU-US relations"/>
    <w:docVar w:name="TXTVERSION" w:val="01-00"/>
  </w:docVars>
  <w:rsids>
    <w:rsidRoot w:val="00351E75"/>
    <w:rsid w:val="000005E5"/>
    <w:rsid w:val="00001993"/>
    <w:rsid w:val="00005D56"/>
    <w:rsid w:val="00010437"/>
    <w:rsid w:val="000347EC"/>
    <w:rsid w:val="000D7D94"/>
    <w:rsid w:val="000E1288"/>
    <w:rsid w:val="000F26F5"/>
    <w:rsid w:val="000F791B"/>
    <w:rsid w:val="00144AD8"/>
    <w:rsid w:val="001533B4"/>
    <w:rsid w:val="00160F77"/>
    <w:rsid w:val="001B22EB"/>
    <w:rsid w:val="0023412A"/>
    <w:rsid w:val="00234B03"/>
    <w:rsid w:val="0024591C"/>
    <w:rsid w:val="00267945"/>
    <w:rsid w:val="002E2DB6"/>
    <w:rsid w:val="0032649C"/>
    <w:rsid w:val="00351E75"/>
    <w:rsid w:val="00387C58"/>
    <w:rsid w:val="00392F42"/>
    <w:rsid w:val="003D0074"/>
    <w:rsid w:val="003D49A1"/>
    <w:rsid w:val="00434A68"/>
    <w:rsid w:val="004A388E"/>
    <w:rsid w:val="004A5141"/>
    <w:rsid w:val="004C3409"/>
    <w:rsid w:val="005577F1"/>
    <w:rsid w:val="005A3662"/>
    <w:rsid w:val="0062719E"/>
    <w:rsid w:val="00627DF1"/>
    <w:rsid w:val="00686DFF"/>
    <w:rsid w:val="0069495A"/>
    <w:rsid w:val="006D4C8E"/>
    <w:rsid w:val="006D676F"/>
    <w:rsid w:val="006E363A"/>
    <w:rsid w:val="006F7C1B"/>
    <w:rsid w:val="00727010"/>
    <w:rsid w:val="007857AE"/>
    <w:rsid w:val="007C4764"/>
    <w:rsid w:val="0081489C"/>
    <w:rsid w:val="00855A58"/>
    <w:rsid w:val="0086407B"/>
    <w:rsid w:val="00865AB2"/>
    <w:rsid w:val="009062FC"/>
    <w:rsid w:val="009300E2"/>
    <w:rsid w:val="009302EC"/>
    <w:rsid w:val="00931782"/>
    <w:rsid w:val="009340AC"/>
    <w:rsid w:val="009B3734"/>
    <w:rsid w:val="009E5486"/>
    <w:rsid w:val="00A0276A"/>
    <w:rsid w:val="00A144CA"/>
    <w:rsid w:val="00A22B21"/>
    <w:rsid w:val="00A25F04"/>
    <w:rsid w:val="00A27FFC"/>
    <w:rsid w:val="00AF2187"/>
    <w:rsid w:val="00B10048"/>
    <w:rsid w:val="00B26C55"/>
    <w:rsid w:val="00B41647"/>
    <w:rsid w:val="00B6527B"/>
    <w:rsid w:val="00B6642B"/>
    <w:rsid w:val="00B757E7"/>
    <w:rsid w:val="00BE5178"/>
    <w:rsid w:val="00BE7750"/>
    <w:rsid w:val="00C14ADB"/>
    <w:rsid w:val="00C3019B"/>
    <w:rsid w:val="00C31424"/>
    <w:rsid w:val="00C47D1A"/>
    <w:rsid w:val="00C6187E"/>
    <w:rsid w:val="00C7235E"/>
    <w:rsid w:val="00C7360B"/>
    <w:rsid w:val="00C858AB"/>
    <w:rsid w:val="00C85D0F"/>
    <w:rsid w:val="00CA0DE5"/>
    <w:rsid w:val="00CB2AC0"/>
    <w:rsid w:val="00D349C1"/>
    <w:rsid w:val="00D860C1"/>
    <w:rsid w:val="00DC75F5"/>
    <w:rsid w:val="00E048E2"/>
    <w:rsid w:val="00E05579"/>
    <w:rsid w:val="00E24484"/>
    <w:rsid w:val="00E26C78"/>
    <w:rsid w:val="00E30CD5"/>
    <w:rsid w:val="00E33395"/>
    <w:rsid w:val="00E34F46"/>
    <w:rsid w:val="00EA624D"/>
    <w:rsid w:val="00F65426"/>
    <w:rsid w:val="00F75B7C"/>
    <w:rsid w:val="00FA7E38"/>
    <w:rsid w:val="00FC504F"/>
    <w:rsid w:val="00FC5F47"/>
    <w:rsid w:val="00FD465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47C822C-4065-4892-A0ED-88A27A9A9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4B0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144CA"/>
    <w:pPr>
      <w:spacing w:before="480" w:after="240"/>
    </w:pPr>
  </w:style>
  <w:style w:type="paragraph" w:styleId="TOC1">
    <w:name w:val="toc 1"/>
    <w:basedOn w:val="Normal"/>
    <w:next w:val="Normal"/>
    <w:autoRedefine/>
    <w:uiPriority w:val="39"/>
    <w:rsid w:val="00005D5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9340AC"/>
    <w:pPr>
      <w:spacing w:before="80" w:after="80"/>
    </w:pPr>
    <w:rPr>
      <w:rFonts w:ascii="Arial Narrow" w:hAnsi="Arial Narrow" w:cs="Arial"/>
      <w:b/>
      <w:sz w:val="32"/>
      <w:szCs w:val="22"/>
    </w:rPr>
  </w:style>
  <w:style w:type="paragraph" w:customStyle="1" w:styleId="CoverNormal24a">
    <w:name w:val="CoverNormal24a"/>
    <w:basedOn w:val="Normal"/>
    <w:rsid w:val="00C47D1A"/>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E363A"/>
    <w:pPr>
      <w:spacing w:before="1080"/>
      <w:jc w:val="right"/>
    </w:pPr>
    <w:rPr>
      <w:rFonts w:ascii="Arial" w:hAnsi="Arial" w:cs="Arial"/>
      <w:b/>
    </w:rPr>
  </w:style>
  <w:style w:type="paragraph" w:customStyle="1" w:styleId="CoverDocType24a">
    <w:name w:val="CoverDocType24a"/>
    <w:basedOn w:val="Normal"/>
    <w:rsid w:val="00C47D1A"/>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6D4C8E"/>
    <w:pPr>
      <w:tabs>
        <w:tab w:val="center" w:pos="4513"/>
        <w:tab w:val="right" w:pos="9026"/>
      </w:tabs>
    </w:pPr>
  </w:style>
  <w:style w:type="character" w:styleId="PageNumber">
    <w:name w:val="page number"/>
    <w:basedOn w:val="DefaultParagraphFont"/>
    <w:semiHidden/>
  </w:style>
  <w:style w:type="table" w:styleId="TableGrid">
    <w:name w:val="Table Grid"/>
    <w:basedOn w:val="TableNormal"/>
    <w:rsid w:val="00C723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7235E"/>
    <w:pPr>
      <w:jc w:val="center"/>
    </w:pPr>
    <w:rPr>
      <w:rFonts w:ascii="Arial" w:hAnsi="Arial" w:cs="Arial"/>
      <w:i/>
      <w:sz w:val="22"/>
      <w:szCs w:val="22"/>
    </w:rPr>
  </w:style>
  <w:style w:type="paragraph" w:customStyle="1" w:styleId="LineTop">
    <w:name w:val="LineTop"/>
    <w:basedOn w:val="Normal"/>
    <w:next w:val="Normal"/>
    <w:rsid w:val="00C7235E"/>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7235E"/>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340AC"/>
    <w:pPr>
      <w:spacing w:after="80"/>
    </w:pPr>
    <w:rPr>
      <w:rFonts w:ascii="Arial" w:hAnsi="Arial" w:cs="Arial"/>
      <w:sz w:val="20"/>
      <w:szCs w:val="22"/>
    </w:rPr>
  </w:style>
  <w:style w:type="paragraph" w:customStyle="1" w:styleId="EPLogo">
    <w:name w:val="EPLogo"/>
    <w:basedOn w:val="Normal"/>
    <w:qFormat/>
    <w:rsid w:val="009340AC"/>
    <w:pPr>
      <w:jc w:val="right"/>
    </w:pPr>
  </w:style>
  <w:style w:type="paragraph" w:customStyle="1" w:styleId="EPFooter">
    <w:name w:val="EPFooter"/>
    <w:basedOn w:val="Normal"/>
    <w:rsid w:val="00C47D1A"/>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6D4C8E"/>
    <w:rPr>
      <w:sz w:val="24"/>
    </w:rPr>
  </w:style>
  <w:style w:type="paragraph" w:customStyle="1" w:styleId="NormalHangingLeft12a">
    <w:name w:val="NormalHangingLeft12a"/>
    <w:basedOn w:val="Normal"/>
    <w:rsid w:val="00F65426"/>
    <w:pPr>
      <w:spacing w:after="240"/>
      <w:ind w:left="1134" w:hanging="567"/>
    </w:pPr>
  </w:style>
  <w:style w:type="paragraph" w:styleId="FootnoteText">
    <w:name w:val="footnote text"/>
    <w:basedOn w:val="Normal"/>
    <w:link w:val="FootnoteTextChar"/>
    <w:uiPriority w:val="99"/>
    <w:unhideWhenUsed/>
    <w:rsid w:val="003D49A1"/>
    <w:pPr>
      <w:keepLines/>
      <w:widowControl/>
      <w:spacing w:line="260" w:lineRule="exact"/>
      <w:ind w:left="425" w:hanging="425"/>
    </w:pPr>
    <w:rPr>
      <w:sz w:val="22"/>
      <w:lang w:eastAsia="fr-FR"/>
    </w:rPr>
  </w:style>
  <w:style w:type="character" w:customStyle="1" w:styleId="FootnoteTextChar">
    <w:name w:val="Footnote Text Char"/>
    <w:basedOn w:val="DefaultParagraphFont"/>
    <w:link w:val="FootnoteText"/>
    <w:uiPriority w:val="99"/>
    <w:rsid w:val="003D49A1"/>
    <w:rPr>
      <w:sz w:val="22"/>
      <w:lang w:val="ro-RO" w:eastAsia="fr-FR"/>
    </w:rPr>
  </w:style>
  <w:style w:type="character" w:customStyle="1" w:styleId="NormalHanging12aChar">
    <w:name w:val="NormalHanging12a Char"/>
    <w:basedOn w:val="DefaultParagraphFont"/>
    <w:link w:val="NormalHanging12a"/>
    <w:locked/>
    <w:rsid w:val="003D49A1"/>
    <w:rPr>
      <w:sz w:val="24"/>
    </w:rPr>
  </w:style>
  <w:style w:type="paragraph" w:customStyle="1" w:styleId="Action">
    <w:name w:val="Action"/>
    <w:basedOn w:val="Normal"/>
    <w:rsid w:val="003D49A1"/>
    <w:pPr>
      <w:keepNext/>
      <w:keepLines/>
      <w:tabs>
        <w:tab w:val="left" w:pos="357"/>
      </w:tabs>
      <w:spacing w:after="240"/>
      <w:ind w:left="357" w:hanging="357"/>
    </w:pPr>
  </w:style>
  <w:style w:type="character" w:styleId="FootnoteReference">
    <w:name w:val="footnote reference"/>
    <w:uiPriority w:val="99"/>
    <w:unhideWhenUsed/>
    <w:rsid w:val="003D49A1"/>
    <w:rPr>
      <w:b w:val="0"/>
      <w:bCs w:val="0"/>
      <w:vertAlign w:val="superscript"/>
    </w:rPr>
  </w:style>
  <w:style w:type="paragraph" w:styleId="Footer">
    <w:name w:val="footer"/>
    <w:basedOn w:val="Normal"/>
    <w:link w:val="FooterChar"/>
    <w:semiHidden/>
    <w:rsid w:val="00F75B7C"/>
    <w:pPr>
      <w:tabs>
        <w:tab w:val="center" w:pos="4513"/>
        <w:tab w:val="right" w:pos="9026"/>
      </w:tabs>
    </w:pPr>
  </w:style>
  <w:style w:type="character" w:customStyle="1" w:styleId="FooterChar">
    <w:name w:val="Footer Char"/>
    <w:basedOn w:val="DefaultParagraphFont"/>
    <w:link w:val="Footer"/>
    <w:semiHidden/>
    <w:rsid w:val="00F75B7C"/>
    <w:rPr>
      <w:sz w:val="24"/>
    </w:rPr>
  </w:style>
  <w:style w:type="paragraph" w:styleId="BalloonText">
    <w:name w:val="Balloon Text"/>
    <w:basedOn w:val="Normal"/>
    <w:link w:val="BalloonTextChar"/>
    <w:semiHidden/>
    <w:unhideWhenUsed/>
    <w:rsid w:val="00C6187E"/>
    <w:rPr>
      <w:rFonts w:ascii="Segoe UI" w:hAnsi="Segoe UI" w:cs="Segoe UI"/>
      <w:sz w:val="18"/>
      <w:szCs w:val="18"/>
    </w:rPr>
  </w:style>
  <w:style w:type="character" w:customStyle="1" w:styleId="BalloonTextChar">
    <w:name w:val="Balloon Text Char"/>
    <w:basedOn w:val="DefaultParagraphFont"/>
    <w:link w:val="BalloonText"/>
    <w:semiHidden/>
    <w:rsid w:val="00C6187E"/>
    <w:rPr>
      <w:rFonts w:ascii="Segoe UI" w:hAnsi="Segoe UI" w:cs="Segoe UI"/>
      <w:sz w:val="18"/>
      <w:szCs w:val="18"/>
    </w:rPr>
  </w:style>
  <w:style w:type="character" w:styleId="CommentReference">
    <w:name w:val="annotation reference"/>
    <w:basedOn w:val="DefaultParagraphFont"/>
    <w:rsid w:val="00727010"/>
    <w:rPr>
      <w:sz w:val="16"/>
      <w:szCs w:val="16"/>
    </w:rPr>
  </w:style>
  <w:style w:type="paragraph" w:styleId="CommentText">
    <w:name w:val="annotation text"/>
    <w:basedOn w:val="Normal"/>
    <w:link w:val="CommentTextChar"/>
    <w:rsid w:val="00727010"/>
    <w:rPr>
      <w:sz w:val="20"/>
    </w:rPr>
  </w:style>
  <w:style w:type="character" w:customStyle="1" w:styleId="CommentTextChar">
    <w:name w:val="Comment Text Char"/>
    <w:basedOn w:val="DefaultParagraphFont"/>
    <w:link w:val="CommentText"/>
    <w:rsid w:val="00727010"/>
  </w:style>
  <w:style w:type="paragraph" w:styleId="CommentSubject">
    <w:name w:val="annotation subject"/>
    <w:basedOn w:val="CommentText"/>
    <w:next w:val="CommentText"/>
    <w:link w:val="CommentSubjectChar"/>
    <w:semiHidden/>
    <w:unhideWhenUsed/>
    <w:rsid w:val="00727010"/>
    <w:rPr>
      <w:b/>
      <w:bCs/>
    </w:rPr>
  </w:style>
  <w:style w:type="character" w:customStyle="1" w:styleId="CommentSubjectChar">
    <w:name w:val="Comment Subject Char"/>
    <w:basedOn w:val="CommentTextChar"/>
    <w:link w:val="CommentSubject"/>
    <w:semiHidden/>
    <w:rsid w:val="007270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0E15B-DCA1-4A60-BBA1-49959C1D7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1801</Words>
  <Characters>10954</Characters>
  <Application>Microsoft Office Word</Application>
  <DocSecurity>0</DocSecurity>
  <Lines>199</Lines>
  <Paragraphs>92</Paragraphs>
  <ScaleCrop>false</ScaleCrop>
  <HeadingPairs>
    <vt:vector size="2" baseType="variant">
      <vt:variant>
        <vt:lpstr>Title</vt:lpstr>
      </vt:variant>
      <vt:variant>
        <vt:i4>1</vt:i4>
      </vt:variant>
    </vt:vector>
  </HeadingPairs>
  <TitlesOfParts>
    <vt:vector size="1" baseType="lpstr">
      <vt:lpstr>PR_INI_RecommCFSP</vt:lpstr>
    </vt:vector>
  </TitlesOfParts>
  <Company/>
  <LinksUpToDate>false</LinksUpToDate>
  <CharactersWithSpaces>12663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PR_INI_RecommCFSP</dc:title>
  <dc:creator>CANART Pascale</dc:creator>
  <cp:lastModifiedBy>OBADA Liliana</cp:lastModifiedBy>
  <cp:revision>2</cp:revision>
  <cp:lastPrinted>2023-09-14T12:21:00Z</cp:lastPrinted>
  <dcterms:created xsi:type="dcterms:W3CDTF">2023-09-28T07:58:00Z</dcterms:created>
  <dcterms:modified xsi:type="dcterms:W3CDTF">2023-09-28T07:58:00Z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1285783</vt:lpwstr>
  </property>
  <property fmtid="{D5CDD505-2E9C-101B-9397-08002B2CF9AE}" pid="4" name="&lt;Model&gt;">
    <vt:lpwstr>PR_INI_RecommCFSP</vt:lpwstr>
  </property>
  <property fmtid="{D5CDD505-2E9C-101B-9397-08002B2CF9AE}" pid="5" name="&lt;ModelCod&gt;">
    <vt:lpwstr>\\eiciBRUpr1\pdocep$\DocEP\DOCS\General\PR\PR_NonLeg\INI\PR_INI_RecommCFSP.dotx(19/04/2021 15:59:04)</vt:lpwstr>
  </property>
  <property fmtid="{D5CDD505-2E9C-101B-9397-08002B2CF9AE}" pid="6" name="&lt;ModelTra&gt;">
    <vt:lpwstr>\\eiciBRUpr1\pdocep$\DocEP\TRANSFIL\EN\PR_INI_RecommCFSP.EN(08/11/2019 14:52:04)</vt:lpwstr>
  </property>
  <property fmtid="{D5CDD505-2E9C-101B-9397-08002B2CF9AE}" pid="7" name="&lt;Type&gt;">
    <vt:lpwstr>PR</vt:lpwstr>
  </property>
  <property fmtid="{D5CDD505-2E9C-101B-9397-08002B2CF9AE}" pid="8" name="Bookout">
    <vt:lpwstr>OK - 2023/09/28 09:58</vt:lpwstr>
  </property>
  <property fmtid="{D5CDD505-2E9C-101B-9397-08002B2CF9AE}" pid="9" name="Created with">
    <vt:lpwstr>9.14.1 Build [20230315]</vt:lpwstr>
  </property>
  <property fmtid="{D5CDD505-2E9C-101B-9397-08002B2CF9AE}" pid="10" name="FooterPath">
    <vt:lpwstr>PR\1285783RO.docx</vt:lpwstr>
  </property>
  <property fmtid="{D5CDD505-2E9C-101B-9397-08002B2CF9AE}" pid="11" name="LastEdited with">
    <vt:lpwstr>9.14.1 Build [20230315]</vt:lpwstr>
  </property>
  <property fmtid="{D5CDD505-2E9C-101B-9397-08002B2CF9AE}" pid="12" name="PE number">
    <vt:lpwstr>752.865</vt:lpwstr>
  </property>
  <property fmtid="{D5CDD505-2E9C-101B-9397-08002B2CF9AE}" pid="13" name="SDLStudio">
    <vt:lpwstr/>
  </property>
  <property fmtid="{D5CDD505-2E9C-101B-9397-08002B2CF9AE}" pid="14" name="SendToEpades">
    <vt:lpwstr>OK - 2023/09/13 16:51</vt:lpwstr>
  </property>
</Properties>
</file>