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FD5F0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FD5F05" w:rsidRDefault="00C00DCC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69495A" w:rsidRPr="00FD5F05" w:rsidRDefault="00EA3D33" w:rsidP="00EA3D3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69495A" w:rsidRPr="00FD5F05" w:rsidRDefault="0069495A" w:rsidP="00C85D0F">
            <w:pPr>
              <w:pStyle w:val="EPLogo"/>
            </w:pPr>
            <w:r w:rsidRPr="00FD5F05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FD5F05" w:rsidRDefault="00C7235E" w:rsidP="00C7235E">
      <w:pPr>
        <w:pStyle w:val="LineTop"/>
      </w:pPr>
    </w:p>
    <w:p w:rsidR="00C7235E" w:rsidRPr="00FD5F05" w:rsidRDefault="00C7235E" w:rsidP="00C7235E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235E" w:rsidRPr="00FD5F05" w:rsidRDefault="00C7235E" w:rsidP="00C7235E">
      <w:pPr>
        <w:pStyle w:val="LineBottom"/>
      </w:pPr>
    </w:p>
    <w:p w:rsidR="00144AD8" w:rsidRPr="00FD5F05" w:rsidRDefault="00144AD8">
      <w:pPr>
        <w:pStyle w:val="CoverReference"/>
      </w:pPr>
      <w:r>
        <w:rPr>
          <w:rStyle w:val="HideTWBExt"/>
          <w:b w:val="0"/>
        </w:rPr>
        <w:t>&lt;RefProc&gt;</w:t>
      </w:r>
      <w:r>
        <w:t>2023/2052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44AD8" w:rsidRPr="00FD5F05" w:rsidRDefault="00144AD8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{24/10/2023}</w:t>
      </w:r>
      <w:r>
        <w:t>24.10.2023</w:t>
      </w:r>
      <w:r>
        <w:rPr>
          <w:rStyle w:val="HideTWBExt"/>
        </w:rPr>
        <w:t>&lt;/Date&gt;</w:t>
      </w:r>
    </w:p>
    <w:p w:rsidR="00144AD8" w:rsidRPr="00FD5F05" w:rsidRDefault="00144AD8">
      <w:pPr>
        <w:pStyle w:val="CoverDocType24a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:rsidR="00144AD8" w:rsidRPr="00FD5F05" w:rsidRDefault="009A45BF">
      <w:pPr>
        <w:pStyle w:val="CoverNormal"/>
      </w:pPr>
      <w:r>
        <w:rPr>
          <w:rStyle w:val="HideTWBExt"/>
        </w:rPr>
        <w:t>&lt;Titre&gt;</w:t>
      </w:r>
      <w:r>
        <w:t>o doporučení Evropského parlamentu Radě, Komisi a místopředsedovi Komise, vysokému představiteli Unie pro zahraniční věci a bezpečnostní politiku týkajícím se situace v Sýrii</w:t>
      </w:r>
      <w:r>
        <w:rPr>
          <w:rStyle w:val="HideTWBExt"/>
        </w:rPr>
        <w:t>&lt;/Titre&gt;</w:t>
      </w:r>
    </w:p>
    <w:p w:rsidR="00144AD8" w:rsidRPr="00FD5F05" w:rsidRDefault="00144AD8">
      <w:pPr>
        <w:pStyle w:val="CoverNormal24a"/>
      </w:pPr>
      <w:r>
        <w:rPr>
          <w:rStyle w:val="HideTWBExt"/>
        </w:rPr>
        <w:t>&lt;DocRef&gt;</w:t>
      </w:r>
      <w:r>
        <w:t>(2023/2052(INI))</w:t>
      </w:r>
      <w:r>
        <w:rPr>
          <w:rStyle w:val="HideTWBExt"/>
        </w:rPr>
        <w:t>&lt;/DocRef&gt;</w:t>
      </w:r>
    </w:p>
    <w:p w:rsidR="00144AD8" w:rsidRPr="00FD5F05" w:rsidRDefault="00144AD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 w:rsidR="00144AD8" w:rsidRPr="00FD5F05" w:rsidRDefault="009A45BF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Nathalie Loiseau</w:t>
      </w:r>
      <w:r>
        <w:rPr>
          <w:rStyle w:val="HideTWBExt"/>
        </w:rPr>
        <w:t>&lt;/Depute&gt;</w:t>
      </w:r>
    </w:p>
    <w:p w:rsidR="00627DF1" w:rsidRPr="00FD5F05" w:rsidRDefault="00627DF1" w:rsidP="00627DF1">
      <w:pPr>
        <w:pStyle w:val="CoverNormal"/>
      </w:pPr>
    </w:p>
    <w:p w:rsidR="00144AD8" w:rsidRPr="00FD5F05" w:rsidRDefault="00144AD8" w:rsidP="009340AC">
      <w:pPr>
        <w:widowControl/>
        <w:tabs>
          <w:tab w:val="center" w:pos="4677"/>
        </w:tabs>
      </w:pPr>
      <w:r>
        <w:br w:type="page"/>
      </w:r>
      <w:r>
        <w:lastRenderedPageBreak/>
        <w:t>PR_INI_RecommCFSP</w:t>
      </w:r>
    </w:p>
    <w:p w:rsidR="00144AD8" w:rsidRPr="00FD5F05" w:rsidRDefault="00C00DCC">
      <w:pPr>
        <w:pStyle w:val="TOCHeading"/>
      </w:pPr>
      <w:r>
        <w:t>OBSAH</w:t>
      </w:r>
    </w:p>
    <w:p w:rsidR="00144AD8" w:rsidRPr="00FD5F05" w:rsidRDefault="00C00DCC">
      <w:pPr>
        <w:pStyle w:val="TOCPage"/>
      </w:pPr>
      <w:r>
        <w:t>Strana</w:t>
      </w:r>
    </w:p>
    <w:p w:rsidR="005432DC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D5F05">
        <w:fldChar w:fldCharType="begin"/>
      </w:r>
      <w:r w:rsidRPr="00FD5F05">
        <w:instrText xml:space="preserve"> TOC \t "PageHeading</w:instrText>
      </w:r>
      <w:r w:rsidR="005432DC">
        <w:instrText>;</w:instrText>
      </w:r>
      <w:r w:rsidRPr="00FD5F05">
        <w:instrText xml:space="preserve">1" </w:instrText>
      </w:r>
      <w:r w:rsidRPr="00FD5F05">
        <w:fldChar w:fldCharType="separate"/>
      </w:r>
      <w:r w:rsidR="005432DC">
        <w:rPr>
          <w:noProof/>
        </w:rPr>
        <w:t>NÁVRH DOPORUČENÍ EVROPSKÉHO PARLAMENTU</w:t>
      </w:r>
      <w:r w:rsidR="005432DC">
        <w:rPr>
          <w:noProof/>
        </w:rPr>
        <w:tab/>
      </w:r>
      <w:r w:rsidR="005432DC">
        <w:rPr>
          <w:noProof/>
        </w:rPr>
        <w:fldChar w:fldCharType="begin"/>
      </w:r>
      <w:r w:rsidR="005432DC">
        <w:rPr>
          <w:noProof/>
        </w:rPr>
        <w:instrText xml:space="preserve"> PAGEREF _Toc150509267 \h </w:instrText>
      </w:r>
      <w:r w:rsidR="005432DC">
        <w:rPr>
          <w:noProof/>
        </w:rPr>
      </w:r>
      <w:r w:rsidR="005432DC">
        <w:rPr>
          <w:noProof/>
        </w:rPr>
        <w:fldChar w:fldCharType="separate"/>
      </w:r>
      <w:r w:rsidR="005432DC">
        <w:rPr>
          <w:noProof/>
        </w:rPr>
        <w:t>3</w:t>
      </w:r>
      <w:r w:rsidR="005432DC">
        <w:rPr>
          <w:noProof/>
        </w:rPr>
        <w:fldChar w:fldCharType="end"/>
      </w:r>
    </w:p>
    <w:p w:rsidR="00627DF1" w:rsidRPr="00FD5F05" w:rsidRDefault="00144AD8" w:rsidP="00865AB2">
      <w:r w:rsidRPr="00FD5F05">
        <w:fldChar w:fldCharType="end"/>
      </w:r>
    </w:p>
    <w:p w:rsidR="00144AD8" w:rsidRPr="00FD5F05" w:rsidRDefault="00144AD8">
      <w:pPr>
        <w:pStyle w:val="PageHeading"/>
      </w:pPr>
      <w:r>
        <w:br w:type="page"/>
      </w:r>
      <w:bookmarkStart w:id="1" w:name="_Toc150509267"/>
      <w:r>
        <w:lastRenderedPageBreak/>
        <w:t>NÁVRH DOPORUČENÍ EVROPSKÉHO PARLAMENTU</w:t>
      </w:r>
      <w:bookmarkEnd w:id="1"/>
    </w:p>
    <w:p w:rsidR="00144AD8" w:rsidRPr="00FD5F05" w:rsidRDefault="009A45BF">
      <w:pPr>
        <w:pStyle w:val="NormalBold"/>
      </w:pPr>
      <w:r>
        <w:t>Radě, Komisi a místopředsedovi Komise, vysokému představiteli Unie pro zahraniční věci a bezpečnostní politiku týkajícího se situace v Sýrii</w:t>
      </w:r>
    </w:p>
    <w:p w:rsidR="00144AD8" w:rsidRPr="00FD5F05" w:rsidRDefault="00C00DCC" w:rsidP="00A144CA">
      <w:pPr>
        <w:pStyle w:val="NormalBold"/>
      </w:pPr>
      <w:r>
        <w:t>(2023/2052(INI))</w:t>
      </w:r>
    </w:p>
    <w:p w:rsidR="00144AD8" w:rsidRPr="00FD5F05" w:rsidRDefault="00C00DCC">
      <w:pPr>
        <w:pStyle w:val="EPComma"/>
      </w:pPr>
      <w:r>
        <w:rPr>
          <w:i/>
        </w:rPr>
        <w:t>Evropský parlament</w:t>
      </w:r>
      <w:r>
        <w:t>,</w:t>
      </w:r>
    </w:p>
    <w:p w:rsidR="00144AD8" w:rsidRPr="00FD5F05" w:rsidRDefault="00144AD8">
      <w:pPr>
        <w:pStyle w:val="NormalHanging12a"/>
      </w:pPr>
      <w:r>
        <w:t>–</w:t>
      </w:r>
      <w:r>
        <w:tab/>
        <w:t>s ohledem na článek 118 jednacího řádu,</w:t>
      </w:r>
    </w:p>
    <w:p w:rsidR="00144AD8" w:rsidRPr="00FD5F05" w:rsidRDefault="00144AD8">
      <w:pPr>
        <w:pStyle w:val="NormalHanging12a"/>
      </w:pPr>
      <w:r>
        <w:t>–</w:t>
      </w:r>
      <w:r>
        <w:tab/>
        <w:t>s ohledem na zprávu Výboru pro zahraniční věci (A9</w:t>
      </w:r>
      <w:r>
        <w:noBreakHyphen/>
        <w:t>0000/2023),</w:t>
      </w:r>
    </w:p>
    <w:p w:rsidR="009A45BF" w:rsidRPr="00FD5F05" w:rsidRDefault="00144AD8" w:rsidP="009A45BF">
      <w:pPr>
        <w:pStyle w:val="NormalHanging12a"/>
        <w:ind w:left="426" w:hanging="426"/>
      </w:pPr>
      <w:r>
        <w:t>A.</w:t>
      </w:r>
      <w:r>
        <w:tab/>
        <w:t>vzhledem k tomu, že ženevský a astanský proces byly neúspěšné, neboť syrský režim soustavně odmítá seriózně vyjednávat s opozicí o politickém řešení;</w:t>
      </w:r>
    </w:p>
    <w:p w:rsidR="009A45BF" w:rsidRPr="00FD5F05" w:rsidRDefault="009A45BF" w:rsidP="009A45BF">
      <w:pPr>
        <w:pStyle w:val="NormalHanging12a"/>
        <w:ind w:left="426" w:hanging="426"/>
      </w:pPr>
      <w:r>
        <w:t>B.</w:t>
      </w:r>
      <w:r>
        <w:tab/>
        <w:t>vzhledem k tomu, že od roku 2011 zemřelo půl milionu Syřanů a 14 milionů jich bylo vysídleno, a to v důsledku násilného působení ozbrojených a teroristických skupin, ale především kvůli tvrdé represi syrského režimu vedené za pomoci jeho spojenců proti vlastnímu lidu; vzhledem k tomu, že tyto represe zahrnovaly opakované používání chemických zbraní, zápalných bomb, barelových bomb, raketových střel a leteckého bombardování vůči civilistům; vzhledem k tomu, že v koncentračním systému režimu zmizelo nejméně 150 000 Syřanů a rodiny dodnes nebyly informovány o osudu svých příbuzných;</w:t>
      </w:r>
    </w:p>
    <w:p w:rsidR="009A45BF" w:rsidRPr="00FD5F05" w:rsidRDefault="009A45BF" w:rsidP="009A45BF">
      <w:pPr>
        <w:pStyle w:val="NormalHanging12a"/>
        <w:ind w:left="426" w:hanging="426"/>
      </w:pPr>
      <w:r>
        <w:t>C.</w:t>
      </w:r>
      <w:r>
        <w:tab/>
        <w:t>vzhledem k tomu, že autoritářské zahraniční subjekty, zejména Rusko, Wagnerova skupina, Hizballáh a Írán, hrály v zemi od roku 2011 destruktivní úlohu, a vzhledem k tomu, že syrský režim nekontroluje celé území státu a může pokračovat pouze s podporou těchto zahraničních aktérů;</w:t>
      </w:r>
    </w:p>
    <w:p w:rsidR="009A45BF" w:rsidRPr="00FD5F05" w:rsidRDefault="009A45BF" w:rsidP="009A45BF">
      <w:pPr>
        <w:pStyle w:val="NormalHanging12a"/>
        <w:ind w:left="426" w:hanging="426"/>
      </w:pPr>
      <w:r>
        <w:t>D.</w:t>
      </w:r>
      <w:r>
        <w:tab/>
        <w:t>vzhledem k tomu, že Turecko pravidelně provádí rozsáhlé vojenské akce na syrském území;</w:t>
      </w:r>
    </w:p>
    <w:p w:rsidR="009A45BF" w:rsidRPr="00FD5F05" w:rsidRDefault="009A45BF" w:rsidP="009A45BF">
      <w:pPr>
        <w:pStyle w:val="NormalHanging12a"/>
        <w:ind w:left="426" w:hanging="426"/>
      </w:pPr>
      <w:r>
        <w:t>E.</w:t>
      </w:r>
      <w:r>
        <w:tab/>
        <w:t>vzhledem k tomu, že Islámský stát se dopustil zločinů proti lidskosti, včetně zločinů genocidy, na územích, která byla dočasně pod jeho kontrolou před akcí mezinárodní koalice;</w:t>
      </w:r>
    </w:p>
    <w:p w:rsidR="009A45BF" w:rsidRPr="00FD5F05" w:rsidRDefault="009A45BF" w:rsidP="009A45BF">
      <w:pPr>
        <w:pStyle w:val="NormalHanging12a"/>
        <w:ind w:left="426" w:hanging="426"/>
      </w:pPr>
      <w:r>
        <w:t>F.</w:t>
      </w:r>
      <w:r>
        <w:tab/>
        <w:t>vzhledem k tomu, že aktiva 289 jednotlivců a 70 subjektů, kteří se přímo podílejí na represích vůči obyvatelstvu, podléhají evropským sankcím;</w:t>
      </w:r>
    </w:p>
    <w:p w:rsidR="009A45BF" w:rsidRPr="00FD5F05" w:rsidRDefault="009A45BF" w:rsidP="009A45BF">
      <w:pPr>
        <w:pStyle w:val="NormalHanging12a"/>
        <w:ind w:left="426" w:hanging="426"/>
      </w:pPr>
      <w:r>
        <w:t>G.</w:t>
      </w:r>
      <w:r>
        <w:tab/>
        <w:t>vzhledem k tomu, že kvůli pokračujícím obstrukcím Ruska v Radě bezpečnosti OSN zůstává otevřený pouze jeden hraniční přechod mezi Tureckem a oblastmi, které režim nekontroluje, za účelem poskytování mezinárodní humanitární pomoci;</w:t>
      </w:r>
    </w:p>
    <w:p w:rsidR="009A45BF" w:rsidRPr="00FD5F05" w:rsidRDefault="009A45BF" w:rsidP="009A45BF">
      <w:pPr>
        <w:pStyle w:val="NormalHanging12a"/>
        <w:ind w:left="426" w:hanging="426"/>
      </w:pPr>
      <w:r>
        <w:t>H.</w:t>
      </w:r>
      <w:r>
        <w:tab/>
        <w:t>vzhledem k tomu, že několik zemí v regionu zahájilo proces normalizace vztahů se syrským režimem, který vedl k opětovnému začlenění Sýrie do Ligy arabských států;</w:t>
      </w:r>
    </w:p>
    <w:p w:rsidR="009A45BF" w:rsidRPr="00FD5F05" w:rsidRDefault="009A45BF" w:rsidP="009A45BF">
      <w:pPr>
        <w:pStyle w:val="NormalHanging12a"/>
        <w:ind w:left="426" w:hanging="426"/>
      </w:pPr>
      <w:r>
        <w:t>I.</w:t>
      </w:r>
      <w:r>
        <w:tab/>
        <w:t xml:space="preserve">vzhledem k tomu, že Evropská unie a její členské státy jsou od roku 2011 největším dárcem pomoci obyvatelstvu zasaženému konfliktem s pomocí ve výši 30 miliard EUR; </w:t>
      </w:r>
      <w:r>
        <w:lastRenderedPageBreak/>
        <w:t>vzhledem k tomu, že pomoc EU přislíbená na bruselské konferenci v červnu 2023 činí 3,8 miliardy EUR z celkové částky 5,6 miliardy EUR; vzhledem k tomu, že EU a členské státy poskytly mimořádnou pomoc v souvislosti se zemětřesením, které postihlo Sýrii, a vzhledem k tomu, že dne 23. února 2023 EU rozhodla o dočasném humanitárním vynětí ze sankcí s cílem usnadnit dodávky pomoci obětem;</w:t>
      </w:r>
    </w:p>
    <w:p w:rsidR="009A45BF" w:rsidRPr="00FD5F05" w:rsidRDefault="009A45BF" w:rsidP="009A45BF">
      <w:pPr>
        <w:pStyle w:val="NormalHanging12a"/>
        <w:ind w:left="426" w:hanging="426"/>
      </w:pPr>
      <w:r>
        <w:t>J.</w:t>
      </w:r>
      <w:r>
        <w:tab/>
        <w:t>vzhledem k tomu, že syrský stát jen velmi nedostatečně plní základní potřeby obyvatelstva, hospodářská situace v zemi je mimořádně nestabilní a Sýrie se stala narkostátem;</w:t>
      </w:r>
    </w:p>
    <w:p w:rsidR="009A45BF" w:rsidRPr="00FD5F05" w:rsidRDefault="009A45BF" w:rsidP="009A45BF">
      <w:pPr>
        <w:pStyle w:val="NormalHanging12a"/>
        <w:ind w:left="426" w:hanging="426"/>
      </w:pPr>
      <w:r>
        <w:t>1.</w:t>
      </w:r>
      <w:r>
        <w:tab/>
        <w:t>doporučuje Radě, Komisi a místopředsedovi Komise, vysokému představiteli Unie pro zahraniční věci a bezpečnostní politiku, aby ve své politice vůči Sýrii:</w:t>
      </w:r>
    </w:p>
    <w:p w:rsidR="009A45BF" w:rsidRPr="00FD5F05" w:rsidRDefault="009A45BF" w:rsidP="009A45BF">
      <w:pPr>
        <w:pStyle w:val="NormalHangingLeft12a"/>
        <w:ind w:left="851" w:hanging="425"/>
        <w:rPr>
          <w:b/>
          <w:bCs/>
          <w:i/>
        </w:rPr>
      </w:pPr>
      <w:r>
        <w:rPr>
          <w:b/>
          <w:i/>
        </w:rPr>
        <w:t>Politický vývoj</w:t>
      </w:r>
    </w:p>
    <w:p w:rsidR="009A45BF" w:rsidRPr="00FD5F05" w:rsidRDefault="009A45BF" w:rsidP="009A45BF">
      <w:pPr>
        <w:pStyle w:val="NormalHangingLeft12a"/>
        <w:ind w:left="851" w:hanging="425"/>
      </w:pPr>
      <w:r>
        <w:t>a)</w:t>
      </w:r>
      <w:r>
        <w:tab/>
        <w:t>připomínali, že EU podporuje syrské demokratické ambice, které v zemi přetrvávají – navzdory radikální represi ze strany režimu – od pokojných protestů v roce 2011, kdy Írán a Rusko poskytly rozhodující vojenskou a finanční podporu, která Asádovu klanu umožnila udržet se u moci;</w:t>
      </w:r>
    </w:p>
    <w:p w:rsidR="009A45BF" w:rsidRPr="00FD5F05" w:rsidRDefault="009A45BF" w:rsidP="009A45BF">
      <w:pPr>
        <w:pStyle w:val="NormalHangingLeft12a"/>
        <w:ind w:left="851" w:hanging="425"/>
      </w:pPr>
      <w:r>
        <w:t>b)</w:t>
      </w:r>
      <w:r>
        <w:tab/>
        <w:t>zdůrazňovali zvláštní odpovědnost režimu za smrt půl milionu civilistů, zničení země, vysídlení většiny obyvatelstva, mučení a zmizení 150 000 osob v koncentračním systému, používání chemických zbraní proti civilnímu obyvatelstvu a systematické zničení veškeré nenásilné opozice;</w:t>
      </w:r>
    </w:p>
    <w:p w:rsidR="009A45BF" w:rsidRPr="00FD5F05" w:rsidRDefault="009A45BF" w:rsidP="009A45BF">
      <w:pPr>
        <w:pStyle w:val="NormalHangingLeft12a"/>
        <w:ind w:left="851" w:hanging="425"/>
      </w:pPr>
      <w:r>
        <w:t>c)</w:t>
      </w:r>
      <w:r>
        <w:tab/>
        <w:t xml:space="preserve">odmítali jakoukoli normalizaci s Asádovým režimem, dokud nedojde k zásadnímu a ověřitelnému vývoji ve věci provádění rezoluce Rady bezpečnosti OSN č. 2254 (2015), včetně propuštění politických vězňů, informování rodin obětí o osudu pohřešovaných osob a ukončení veškerých útoků a překážek bránících poskytování humanitární pomoci; </w:t>
      </w:r>
    </w:p>
    <w:p w:rsidR="009A45BF" w:rsidRPr="00FD5F05" w:rsidRDefault="009A45BF" w:rsidP="009A45BF">
      <w:pPr>
        <w:pStyle w:val="NormalHangingLeft12a"/>
        <w:ind w:left="851" w:hanging="425"/>
      </w:pPr>
      <w:r>
        <w:t>d)</w:t>
      </w:r>
      <w:r>
        <w:tab/>
        <w:t xml:space="preserve">zdůrazňovali, že navzdory svrchovanému rozhodnutí některých arabských států znovu přijmout Sýrii do Ligy arabských států nevykazuje syrský režim žádné známky toho, že by chtěl bojovat proti obchodování s drogami, které má svou základnu v této zemi a postihuje celý region; odsoudili kontrolu Asádovy rodiny a jejích spojenců, včetně Hizballáhu, nad drogou Captagon, přičemž se odhaduje, že objem obchodování s touto drogou dosahuje 57 miliard USD; vzali na vědomí, že bratr Bašára Asáda velí vojenské jednotce, která je odpovědná za usnadňování její výroby; </w:t>
      </w:r>
    </w:p>
    <w:p w:rsidR="009A45BF" w:rsidRPr="00FD5F05" w:rsidRDefault="009A45BF" w:rsidP="009A45BF">
      <w:pPr>
        <w:pStyle w:val="NormalHangingLeft12a"/>
        <w:ind w:left="851" w:hanging="425"/>
      </w:pPr>
      <w:r>
        <w:t>e)</w:t>
      </w:r>
      <w:r>
        <w:tab/>
        <w:t xml:space="preserve">zdůrazňovali, že příčinou hospodářské situace země jsou represe, neschopnost a zkorumpovanost režimu, a nikoli evropské cílené sankce vůči jednotlivcům a subjektům zapojeným do represí; </w:t>
      </w:r>
    </w:p>
    <w:p w:rsidR="009A45BF" w:rsidRPr="00FD5F05" w:rsidRDefault="009A45BF" w:rsidP="009A45BF">
      <w:pPr>
        <w:pStyle w:val="NormalHangingLeft12a"/>
        <w:ind w:left="851" w:hanging="425"/>
      </w:pPr>
      <w:r>
        <w:t>f)</w:t>
      </w:r>
      <w:r>
        <w:tab/>
        <w:t>rychle udělovali soudržné, rozsáhlé a jasné výjimky důvěryhodným mezinárodním humanitárním organizacím; co nejvíce harmonizovali výklad nařízení o omezujících opatřeních vůči Sýrii ze strany členských států a uplatňovali rezoluci Rady bezpečnosti OSN č. 2664 (2022) o humanitární pomoci;</w:t>
      </w:r>
    </w:p>
    <w:p w:rsidR="009A45BF" w:rsidRPr="00FD5F05" w:rsidRDefault="009A45BF" w:rsidP="009A45BF">
      <w:pPr>
        <w:pStyle w:val="NormalHangingLeft12a"/>
        <w:ind w:left="851" w:hanging="425"/>
      </w:pPr>
      <w:r>
        <w:t>g)</w:t>
      </w:r>
      <w:r>
        <w:tab/>
        <w:t xml:space="preserve">oceňovali odvahu demonstrantů ve městech Suvajda a Dará, kteří od srpna 2023 opět pokojně protestují proti Asádově režimu; </w:t>
      </w:r>
    </w:p>
    <w:p w:rsidR="009A45BF" w:rsidRPr="00FD5F05" w:rsidRDefault="009A45BF" w:rsidP="009A45BF">
      <w:pPr>
        <w:pStyle w:val="NormalHangingLeft12a"/>
        <w:ind w:left="851" w:hanging="425"/>
        <w:rPr>
          <w:b/>
          <w:bCs/>
          <w:i/>
        </w:rPr>
      </w:pPr>
      <w:r>
        <w:rPr>
          <w:b/>
          <w:i/>
        </w:rPr>
        <w:t>Bezpečnost</w:t>
      </w:r>
    </w:p>
    <w:p w:rsidR="009A45BF" w:rsidRPr="00FD5F05" w:rsidRDefault="009A45BF" w:rsidP="009A45BF">
      <w:pPr>
        <w:pStyle w:val="NormalHangingLeft12a"/>
        <w:ind w:left="851" w:hanging="425"/>
      </w:pPr>
      <w:r>
        <w:t>h)</w:t>
      </w:r>
      <w:r>
        <w:tab/>
        <w:t xml:space="preserve">vyjadřovali politování nad pokračující přítomností stovek íránských a ruských základen a milicí na syrském území; vyjadřovali znepokojení nad hospodářským vykořisťováním země ze strany predátorských zahraničních velmocí; </w:t>
      </w:r>
    </w:p>
    <w:p w:rsidR="009A45BF" w:rsidRPr="00FD5F05" w:rsidRDefault="009A45BF" w:rsidP="009A45BF">
      <w:pPr>
        <w:pStyle w:val="NormalHangingLeft12a"/>
        <w:ind w:left="851" w:hanging="425"/>
      </w:pPr>
      <w:r>
        <w:t>i)</w:t>
      </w:r>
      <w:r>
        <w:tab/>
        <w:t>odsoudili útoky tureckých sil a jejich okupaci syrských území na severu země; vyjádřili hluboké znepokojení nad pokračující existencí radikální islamistické opozice v provincii Idlíb; podporovali pokračování mezinárodní koalice proti Islámskému státu, který zůstává aktivní v Sýrii i přes významné porážky;</w:t>
      </w:r>
    </w:p>
    <w:p w:rsidR="009A45BF" w:rsidRPr="00FD5F05" w:rsidRDefault="009A45BF" w:rsidP="009A45BF">
      <w:pPr>
        <w:pStyle w:val="NormalHangingLeft12a"/>
        <w:ind w:left="851" w:hanging="425"/>
      </w:pPr>
      <w:r>
        <w:t>j)</w:t>
      </w:r>
      <w:r>
        <w:tab/>
        <w:t xml:space="preserve">zdůrazňovali úlohu syrských demokratických sil v boji proti Dá’iš; </w:t>
      </w:r>
    </w:p>
    <w:p w:rsidR="009A45BF" w:rsidRPr="00FD5F05" w:rsidRDefault="009A45BF" w:rsidP="009A45BF">
      <w:pPr>
        <w:pStyle w:val="NormalHangingLeft12a"/>
        <w:ind w:left="851" w:hanging="425"/>
      </w:pPr>
      <w:r>
        <w:t>k)</w:t>
      </w:r>
      <w:r>
        <w:tab/>
        <w:t>naléhavě vyzvali členské státy, aby pokračovaly v repatriaci svých státních příslušníků, kteří se nacházejí v táborech pro džihádistické vězně al-Húl a al-Raudž, a aby je za jejich zločiny postavily před soud;</w:t>
      </w:r>
    </w:p>
    <w:p w:rsidR="009A45BF" w:rsidRPr="00FD5F05" w:rsidRDefault="009A45BF" w:rsidP="009A45BF">
      <w:pPr>
        <w:pStyle w:val="NormalHangingLeft12a"/>
        <w:ind w:left="851" w:hanging="425"/>
      </w:pPr>
      <w:r>
        <w:t>l)</w:t>
      </w:r>
      <w:r>
        <w:tab/>
        <w:t>zintenzivnili úsilí v boji proti ruským dezinformacím o Sýrii, zejména v arabštině;</w:t>
      </w:r>
    </w:p>
    <w:p w:rsidR="009A45BF" w:rsidRPr="00FD5F05" w:rsidRDefault="009A45BF" w:rsidP="009A45BF">
      <w:pPr>
        <w:pStyle w:val="NormalHangingLeft12a"/>
        <w:ind w:left="851" w:hanging="425"/>
        <w:rPr>
          <w:b/>
          <w:bCs/>
          <w:i/>
        </w:rPr>
      </w:pPr>
      <w:r>
        <w:rPr>
          <w:b/>
          <w:i/>
        </w:rPr>
        <w:t>Boj proti beztrestnosti</w:t>
      </w:r>
    </w:p>
    <w:p w:rsidR="009A45BF" w:rsidRPr="00FD5F05" w:rsidRDefault="009A45BF" w:rsidP="009A45BF">
      <w:pPr>
        <w:pStyle w:val="NormalHangingLeft12a"/>
        <w:ind w:left="851" w:hanging="425"/>
      </w:pPr>
      <w:r>
        <w:t>m)</w:t>
      </w:r>
      <w:r>
        <w:tab/>
        <w:t>zdůraznili, že boj proti beztrestnosti v Sýrii je pro Evropu morálním a politickým imperativem; uvítali pokrok dosažený francouzsko-německým společným vyšetřovacím týmem s ohledem na 11 000 těl obětí mučení uvedených v tzv. Caesarově zprávě, pozastavení členství Sýrie v mezinárodní Organizaci pro zákaz chemických zbraní a pokrok, jehož bylo dosaženo v Německu, Francii a Švédsku, pokud jde o postavení syrských zločinců před soud;</w:t>
      </w:r>
    </w:p>
    <w:p w:rsidR="009A45BF" w:rsidRPr="00FD5F05" w:rsidRDefault="009A45BF" w:rsidP="009A45BF">
      <w:pPr>
        <w:pStyle w:val="NormalHangingLeft12a"/>
        <w:ind w:left="851" w:hanging="425"/>
      </w:pPr>
      <w:r>
        <w:t>n)</w:t>
      </w:r>
      <w:r>
        <w:tab/>
        <w:t>naléhavě vyzvali všechny členské státy k zavedení automatické výměny informací o válečných zločincích, jejichž žádost o azyl byla zamítnuta podle článku 1 odstavce F Úmluvy o právním postavení uprchlíků;</w:t>
      </w:r>
    </w:p>
    <w:p w:rsidR="009A45BF" w:rsidRPr="00FD5F05" w:rsidRDefault="009A45BF" w:rsidP="009A45BF">
      <w:pPr>
        <w:pStyle w:val="NormalHangingLeft12a"/>
        <w:ind w:left="851" w:hanging="425"/>
      </w:pPr>
      <w:r>
        <w:t>o)</w:t>
      </w:r>
      <w:r>
        <w:tab/>
        <w:t>požadovali sdílení odborných znalostí a tlumočníků mezi justičními a policejními orgány a jmenování specifického státního zástupce v každém státě pro zločiny proti lidskosti; požadovali, aby byla evropská stipendia specificky přidělena Syřanům, kteří usilují o právní vzdělání;</w:t>
      </w:r>
    </w:p>
    <w:p w:rsidR="009A45BF" w:rsidRPr="00FD5F05" w:rsidRDefault="009A45BF" w:rsidP="009A45BF">
      <w:pPr>
        <w:pStyle w:val="NormalHangingLeft12a"/>
        <w:ind w:left="851" w:hanging="425"/>
      </w:pPr>
      <w:r>
        <w:t>p)</w:t>
      </w:r>
      <w:r>
        <w:tab/>
        <w:t>vyzvali členské státy, aby zřídily fond EU pro oběti zločinů proti lidskosti v Sýrii díky vytvoření právního rámce pro převod zmrazených finančních prostředků souvisejících s nezákonně nabytým majetkem syrského režimu rodinám obětí;</w:t>
      </w:r>
    </w:p>
    <w:p w:rsidR="009A45BF" w:rsidRPr="00FD5F05" w:rsidRDefault="009A45BF" w:rsidP="009A45BF">
      <w:pPr>
        <w:pStyle w:val="NormalHangingLeft12a"/>
        <w:ind w:left="851" w:hanging="425"/>
      </w:pPr>
      <w:r>
        <w:t>q)</w:t>
      </w:r>
      <w:r>
        <w:tab/>
        <w:t>uvítali přijetí rezoluce Valného shromáždění OSN ze dne 29. června 2023, kterou se zřizuje instituce pro pohřešované osoby v Sýrii, a pokračující financování mezinárodního, nezávislého a nestranného mechanismu na podporu vyšetřování nejzávažnějších trestných činů spáchaných v Sýrii od roku 2011;</w:t>
      </w:r>
    </w:p>
    <w:p w:rsidR="009A45BF" w:rsidRPr="00FD5F05" w:rsidRDefault="009A45BF" w:rsidP="009A45BF">
      <w:pPr>
        <w:pStyle w:val="NormalHangingLeft12a"/>
        <w:ind w:left="851" w:hanging="425"/>
        <w:rPr>
          <w:b/>
          <w:bCs/>
          <w:i/>
        </w:rPr>
      </w:pPr>
      <w:r>
        <w:rPr>
          <w:b/>
          <w:i/>
        </w:rPr>
        <w:t>Humanitární pomoc a uprchlíci</w:t>
      </w:r>
    </w:p>
    <w:p w:rsidR="009A45BF" w:rsidRPr="00FD5F05" w:rsidRDefault="009A45BF" w:rsidP="009A45BF">
      <w:pPr>
        <w:pStyle w:val="NormalHangingLeft12a"/>
        <w:ind w:left="851" w:hanging="425"/>
      </w:pPr>
      <w:r>
        <w:t>r)</w:t>
      </w:r>
      <w:r>
        <w:tab/>
        <w:t>na bruselské konferenci v roce 2024 vyzvali mezinárodní společenství, aby urychleně navýšilo svou humanitární pomoc 15,3 milionům Syřanů, kteří jsou na ní každodenně závislí; trvali na přístupu k nezávadné pitné vodě, vzdělání a dlouhodobé rozpočtové podpoře přizpůsobené potřebám žen; připomínali, že EU je v této oblasti největším přispěvatelem; oceňovali pokračující úsilí Libanonu, Jordánska, Turecka a Iráku, které přijaly 6 milionů uprchlíků v obtížných hospodářských podmínkách;</w:t>
      </w:r>
    </w:p>
    <w:p w:rsidR="009A45BF" w:rsidRPr="00FD5F05" w:rsidRDefault="009A45BF" w:rsidP="009A45BF">
      <w:pPr>
        <w:pStyle w:val="NormalHangingLeft12a"/>
        <w:ind w:left="851" w:hanging="425"/>
      </w:pPr>
      <w:r>
        <w:t>s)</w:t>
      </w:r>
      <w:r>
        <w:tab/>
        <w:t xml:space="preserve">odsoudili systematické pokusy syrského režimu zpronevěřit mezinárodní humanitární pomoc a převádět ji milicím a manipulovat se směnný kurz s cílem využít většinu pomoci na územích, která ovládá; </w:t>
      </w:r>
    </w:p>
    <w:p w:rsidR="009A45BF" w:rsidRPr="00FD5F05" w:rsidRDefault="009A45BF" w:rsidP="009A45BF">
      <w:pPr>
        <w:pStyle w:val="NormalHangingLeft12a"/>
        <w:ind w:left="851" w:hanging="425"/>
      </w:pPr>
      <w:r>
        <w:t>t)</w:t>
      </w:r>
      <w:r>
        <w:tab/>
        <w:t>důrazně odsoudili nesčetné případy ruského veta proti dodávkám pomoci obyvatelům severní části země; znovu odsoudili ruské pokusy pošpinit obrázek Bílých přileb;</w:t>
      </w:r>
    </w:p>
    <w:p w:rsidR="009A45BF" w:rsidRPr="00FD5F05" w:rsidRDefault="009A45BF" w:rsidP="009A45BF">
      <w:pPr>
        <w:pStyle w:val="NormalHangingLeft12a"/>
        <w:ind w:left="851" w:hanging="425"/>
      </w:pPr>
      <w:r>
        <w:t>u)</w:t>
      </w:r>
      <w:r>
        <w:tab/>
        <w:t>připomněli, že Sýrii nelze zcela ani zčásti považovat za bezpečnou zemi pro návrat jejích státních příslušníků z Evropy, kam uprchli před zločiny režimu, neboť jim hrozí mučení a násilné zmizení, pokud se vrátí do Sýrie;</w:t>
      </w:r>
    </w:p>
    <w:p w:rsidR="00144AD8" w:rsidRPr="00FD5F05" w:rsidRDefault="009A45BF" w:rsidP="009A45BF">
      <w:pPr>
        <w:pStyle w:val="NormalHanging12a"/>
      </w:pPr>
      <w:r>
        <w:t>2.</w:t>
      </w:r>
      <w:r>
        <w:tab/>
        <w:t>pověřuje svou předsedkyni, aby předala toto doporučení Radě, Komisi a místopředsedovi Komise, vysokému představiteli Unie pro zahraniční věci a bezpečnostní politiku a aby jej nechala přeložit do arabštiny a zveřejnila v tomto jazyce.</w:t>
      </w:r>
    </w:p>
    <w:p w:rsidR="00144AD8" w:rsidRPr="00FD5F05" w:rsidRDefault="00144AD8" w:rsidP="00FD4651"/>
    <w:sectPr w:rsidR="00144AD8" w:rsidRPr="00FD5F05" w:rsidSect="00FD5F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DCC" w:rsidRPr="00FD5F05" w:rsidRDefault="00C00DCC">
      <w:r w:rsidRPr="00FD5F05">
        <w:separator/>
      </w:r>
    </w:p>
  </w:endnote>
  <w:endnote w:type="continuationSeparator" w:id="0">
    <w:p w:rsidR="00C00DCC" w:rsidRPr="00FD5F05" w:rsidRDefault="00C00DCC">
      <w:r w:rsidRPr="00FD5F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F05" w:rsidRPr="00FD5F05" w:rsidRDefault="00FD5F05" w:rsidP="00FD5F05">
    <w:pPr>
      <w:pStyle w:val="EPFooter"/>
    </w:pPr>
    <w:r w:rsidRPr="00FD5F05">
      <w:t>PE</w:t>
    </w:r>
    <w:r w:rsidRPr="00FD5F05">
      <w:rPr>
        <w:rStyle w:val="HideTWBExt"/>
      </w:rPr>
      <w:t>&lt;NoPE&gt;</w:t>
    </w:r>
    <w:r w:rsidRPr="00FD5F05">
      <w:t>754.939</w:t>
    </w:r>
    <w:r w:rsidRPr="00FD5F05">
      <w:rPr>
        <w:rStyle w:val="HideTWBExt"/>
      </w:rPr>
      <w:t>&lt;/NoPE&gt;&lt;Version&gt;</w:t>
    </w:r>
    <w:r w:rsidRPr="00FD5F05">
      <w:t>v01-00</w:t>
    </w:r>
    <w:r w:rsidRPr="00FD5F05">
      <w:rPr>
        <w:rStyle w:val="HideTWBExt"/>
      </w:rPr>
      <w:t>&lt;/Version&gt;</w:t>
    </w:r>
    <w:r w:rsidRPr="00FD5F05">
      <w:tab/>
    </w:r>
    <w:r w:rsidRPr="00FD5F05">
      <w:fldChar w:fldCharType="begin"/>
    </w:r>
    <w:r w:rsidRPr="00FD5F05">
      <w:instrText xml:space="preserve"> PAGE  \* MERGEFORMAT </w:instrText>
    </w:r>
    <w:r w:rsidRPr="00FD5F05">
      <w:fldChar w:fldCharType="separate"/>
    </w:r>
    <w:r w:rsidR="005432DC">
      <w:rPr>
        <w:noProof/>
      </w:rPr>
      <w:t>2</w:t>
    </w:r>
    <w:r w:rsidRPr="00FD5F05">
      <w:fldChar w:fldCharType="end"/>
    </w:r>
    <w:r w:rsidRPr="00FD5F05">
      <w:t>/</w:t>
    </w:r>
    <w:r w:rsidR="005432DC">
      <w:fldChar w:fldCharType="begin"/>
    </w:r>
    <w:r w:rsidR="005432DC">
      <w:instrText xml:space="preserve"> NUMPAGES  \* MERGEFORMAT </w:instrText>
    </w:r>
    <w:r w:rsidR="005432DC">
      <w:fldChar w:fldCharType="separate"/>
    </w:r>
    <w:r w:rsidR="005432DC">
      <w:rPr>
        <w:noProof/>
      </w:rPr>
      <w:t>6</w:t>
    </w:r>
    <w:r w:rsidR="005432DC">
      <w:rPr>
        <w:noProof/>
      </w:rPr>
      <w:fldChar w:fldCharType="end"/>
    </w:r>
    <w:r w:rsidRPr="00FD5F05">
      <w:tab/>
    </w:r>
    <w:r w:rsidRPr="00FD5F05">
      <w:rPr>
        <w:rStyle w:val="HideTWBExt"/>
      </w:rPr>
      <w:t>&lt;PathFdR&gt;</w:t>
    </w:r>
    <w:r w:rsidRPr="00FD5F05">
      <w:t>PR\1288791CS.docx</w:t>
    </w:r>
    <w:r w:rsidRPr="00FD5F05">
      <w:rPr>
        <w:rStyle w:val="HideTWBExt"/>
      </w:rPr>
      <w:t>&lt;/PathFdR&gt;</w:t>
    </w:r>
  </w:p>
  <w:p w:rsidR="00144AD8" w:rsidRPr="00FD5F05" w:rsidRDefault="00FD5F05" w:rsidP="00FD5F05">
    <w:pPr>
      <w:pStyle w:val="EPFooter2"/>
    </w:pPr>
    <w:r w:rsidRPr="00FD5F0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F05" w:rsidRPr="00FD5F05" w:rsidRDefault="00FD5F05" w:rsidP="00FD5F05">
    <w:pPr>
      <w:pStyle w:val="EPFooter"/>
    </w:pPr>
    <w:r w:rsidRPr="00FD5F05">
      <w:rPr>
        <w:rStyle w:val="HideTWBExt"/>
      </w:rPr>
      <w:t>&lt;PathFdR&gt;</w:t>
    </w:r>
    <w:r w:rsidRPr="00FD5F05">
      <w:t>PR\1288791CS.docx</w:t>
    </w:r>
    <w:r w:rsidRPr="00FD5F05">
      <w:rPr>
        <w:rStyle w:val="HideTWBExt"/>
      </w:rPr>
      <w:t>&lt;/PathFdR&gt;</w:t>
    </w:r>
    <w:r w:rsidRPr="00FD5F05">
      <w:tab/>
    </w:r>
    <w:r w:rsidRPr="00FD5F05">
      <w:fldChar w:fldCharType="begin"/>
    </w:r>
    <w:r w:rsidRPr="00FD5F05">
      <w:instrText xml:space="preserve"> PAGE  \* MERGEFORMAT </w:instrText>
    </w:r>
    <w:r w:rsidRPr="00FD5F05">
      <w:fldChar w:fldCharType="separate"/>
    </w:r>
    <w:r w:rsidR="005432DC">
      <w:rPr>
        <w:noProof/>
      </w:rPr>
      <w:t>6</w:t>
    </w:r>
    <w:r w:rsidRPr="00FD5F05">
      <w:fldChar w:fldCharType="end"/>
    </w:r>
    <w:r w:rsidRPr="00FD5F05">
      <w:t>/</w:t>
    </w:r>
    <w:r w:rsidR="005432DC">
      <w:fldChar w:fldCharType="begin"/>
    </w:r>
    <w:r w:rsidR="005432DC">
      <w:instrText xml:space="preserve"> NUMPAGES  \* MERGEFORMAT </w:instrText>
    </w:r>
    <w:r w:rsidR="005432DC">
      <w:fldChar w:fldCharType="separate"/>
    </w:r>
    <w:r w:rsidR="005432DC">
      <w:rPr>
        <w:noProof/>
      </w:rPr>
      <w:t>6</w:t>
    </w:r>
    <w:r w:rsidR="005432DC">
      <w:rPr>
        <w:noProof/>
      </w:rPr>
      <w:fldChar w:fldCharType="end"/>
    </w:r>
    <w:r w:rsidRPr="00FD5F05">
      <w:tab/>
      <w:t>PE</w:t>
    </w:r>
    <w:r w:rsidRPr="00FD5F05">
      <w:rPr>
        <w:rStyle w:val="HideTWBExt"/>
      </w:rPr>
      <w:t>&lt;NoPE&gt;</w:t>
    </w:r>
    <w:r w:rsidRPr="00FD5F05">
      <w:t>754.939</w:t>
    </w:r>
    <w:r w:rsidRPr="00FD5F05">
      <w:rPr>
        <w:rStyle w:val="HideTWBExt"/>
      </w:rPr>
      <w:t>&lt;/NoPE&gt;&lt;Version&gt;</w:t>
    </w:r>
    <w:r w:rsidRPr="00FD5F05">
      <w:t>v01-00</w:t>
    </w:r>
    <w:r w:rsidRPr="00FD5F05">
      <w:rPr>
        <w:rStyle w:val="HideTWBExt"/>
      </w:rPr>
      <w:t>&lt;/Version&gt;</w:t>
    </w:r>
  </w:p>
  <w:p w:rsidR="00144AD8" w:rsidRPr="00FD5F05" w:rsidRDefault="00FD5F05" w:rsidP="00FD5F05">
    <w:pPr>
      <w:pStyle w:val="EPFooter2"/>
    </w:pPr>
    <w:r w:rsidRPr="00FD5F05">
      <w:tab/>
    </w:r>
    <w:r w:rsidRPr="00FD5F0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F05" w:rsidRPr="00FD5F05" w:rsidRDefault="00FD5F05" w:rsidP="00FD5F05">
    <w:pPr>
      <w:pStyle w:val="EPFooter"/>
    </w:pPr>
    <w:r w:rsidRPr="00FD5F05">
      <w:rPr>
        <w:rStyle w:val="HideTWBExt"/>
      </w:rPr>
      <w:t>&lt;PathFdR&gt;</w:t>
    </w:r>
    <w:r w:rsidRPr="00FD5F05">
      <w:t>PR\1288791CS.docx</w:t>
    </w:r>
    <w:r w:rsidRPr="00FD5F05">
      <w:rPr>
        <w:rStyle w:val="HideTWBExt"/>
      </w:rPr>
      <w:t>&lt;/PathFdR&gt;</w:t>
    </w:r>
    <w:r w:rsidRPr="00FD5F05">
      <w:tab/>
    </w:r>
    <w:r w:rsidRPr="00FD5F05">
      <w:tab/>
      <w:t>PE</w:t>
    </w:r>
    <w:r w:rsidRPr="00FD5F05">
      <w:rPr>
        <w:rStyle w:val="HideTWBExt"/>
      </w:rPr>
      <w:t>&lt;NoPE&gt;</w:t>
    </w:r>
    <w:r w:rsidRPr="00FD5F05">
      <w:t>754.939</w:t>
    </w:r>
    <w:r w:rsidRPr="00FD5F05">
      <w:rPr>
        <w:rStyle w:val="HideTWBExt"/>
      </w:rPr>
      <w:t>&lt;/NoPE&gt;&lt;Version&gt;</w:t>
    </w:r>
    <w:r w:rsidRPr="00FD5F05">
      <w:t>v01-00</w:t>
    </w:r>
    <w:r w:rsidRPr="00FD5F05">
      <w:rPr>
        <w:rStyle w:val="HideTWBExt"/>
      </w:rPr>
      <w:t>&lt;/Version&gt;</w:t>
    </w:r>
  </w:p>
  <w:p w:rsidR="00144AD8" w:rsidRPr="00FD5F05" w:rsidRDefault="00FD5F05" w:rsidP="00FD5F05">
    <w:pPr>
      <w:pStyle w:val="EPFooter2"/>
    </w:pPr>
    <w:r w:rsidRPr="00FD5F05">
      <w:t>CS</w:t>
    </w:r>
    <w:r w:rsidRPr="00FD5F05">
      <w:tab/>
    </w:r>
    <w:r w:rsidRPr="00FD5F05">
      <w:rPr>
        <w:b w:val="0"/>
        <w:i/>
        <w:color w:val="C0C0C0"/>
        <w:sz w:val="22"/>
      </w:rPr>
      <w:t>Jednotná v rozmanitosti</w:t>
    </w:r>
    <w:r w:rsidRPr="00FD5F0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DCC" w:rsidRPr="00FD5F05" w:rsidRDefault="00C00DCC">
      <w:r w:rsidRPr="00FD5F05">
        <w:separator/>
      </w:r>
    </w:p>
  </w:footnote>
  <w:footnote w:type="continuationSeparator" w:id="0">
    <w:p w:rsidR="00C00DCC" w:rsidRPr="00FD5F05" w:rsidRDefault="00C00DCC">
      <w:r w:rsidRPr="00FD5F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2DC" w:rsidRDefault="005432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2DC" w:rsidRDefault="005432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2DC" w:rsidRDefault="00543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AFET"/>
    <w:docVar w:name="INSTMNU" w:val=" 1"/>
    <w:docVar w:name="LastEditedSection" w:val=" 1"/>
    <w:docVar w:name="strDocTypeID" w:val="PR_INI_RecommCFSP"/>
    <w:docVar w:name="strSubDir" w:val="1288"/>
    <w:docVar w:name="TXTLANGUE" w:val="CS"/>
    <w:docVar w:name="TXTLANGUEMIN" w:val="cs"/>
    <w:docVar w:name="TXTNRINI" w:val="2023/2052"/>
    <w:docVar w:name="TXTNRPE" w:val="754.939"/>
    <w:docVar w:name="TXTPEorAP" w:val="PE"/>
    <w:docVar w:name="TXTROUTE" w:val="PR\1288791CS.docx"/>
    <w:docVar w:name="TXTVERSION" w:val="01-00"/>
  </w:docVars>
  <w:rsids>
    <w:rsidRoot w:val="00C00DCC"/>
    <w:rsid w:val="000005E5"/>
    <w:rsid w:val="00001993"/>
    <w:rsid w:val="00005D56"/>
    <w:rsid w:val="00010437"/>
    <w:rsid w:val="00144AD8"/>
    <w:rsid w:val="001533B4"/>
    <w:rsid w:val="00160F77"/>
    <w:rsid w:val="001B22EB"/>
    <w:rsid w:val="00234B03"/>
    <w:rsid w:val="0024591C"/>
    <w:rsid w:val="00267945"/>
    <w:rsid w:val="002772A2"/>
    <w:rsid w:val="0032649C"/>
    <w:rsid w:val="00387C58"/>
    <w:rsid w:val="00392F42"/>
    <w:rsid w:val="003D0074"/>
    <w:rsid w:val="00434A68"/>
    <w:rsid w:val="004A388E"/>
    <w:rsid w:val="004A5141"/>
    <w:rsid w:val="005432DC"/>
    <w:rsid w:val="005577F1"/>
    <w:rsid w:val="0062719E"/>
    <w:rsid w:val="00627DF1"/>
    <w:rsid w:val="00670DF4"/>
    <w:rsid w:val="00686DFF"/>
    <w:rsid w:val="0069495A"/>
    <w:rsid w:val="006D4C8E"/>
    <w:rsid w:val="006E363A"/>
    <w:rsid w:val="007C4764"/>
    <w:rsid w:val="0081489C"/>
    <w:rsid w:val="00855A58"/>
    <w:rsid w:val="0086407B"/>
    <w:rsid w:val="00865AB2"/>
    <w:rsid w:val="009062FC"/>
    <w:rsid w:val="009302EC"/>
    <w:rsid w:val="00931782"/>
    <w:rsid w:val="009340AC"/>
    <w:rsid w:val="00934744"/>
    <w:rsid w:val="009A45BF"/>
    <w:rsid w:val="009B3734"/>
    <w:rsid w:val="009F1ECE"/>
    <w:rsid w:val="00A144CA"/>
    <w:rsid w:val="00A17520"/>
    <w:rsid w:val="00A22B21"/>
    <w:rsid w:val="00AF2187"/>
    <w:rsid w:val="00B10048"/>
    <w:rsid w:val="00B26C55"/>
    <w:rsid w:val="00B6527B"/>
    <w:rsid w:val="00B6642B"/>
    <w:rsid w:val="00BE7750"/>
    <w:rsid w:val="00C00DCC"/>
    <w:rsid w:val="00C3019B"/>
    <w:rsid w:val="00C47D1A"/>
    <w:rsid w:val="00C7235E"/>
    <w:rsid w:val="00C7360B"/>
    <w:rsid w:val="00CA0DE5"/>
    <w:rsid w:val="00CB2AC0"/>
    <w:rsid w:val="00D349C1"/>
    <w:rsid w:val="00D860C1"/>
    <w:rsid w:val="00E048E2"/>
    <w:rsid w:val="00E05579"/>
    <w:rsid w:val="00E24484"/>
    <w:rsid w:val="00E26C78"/>
    <w:rsid w:val="00E34F46"/>
    <w:rsid w:val="00EA3D33"/>
    <w:rsid w:val="00EA624D"/>
    <w:rsid w:val="00F65426"/>
    <w:rsid w:val="00FA7E38"/>
    <w:rsid w:val="00FC504F"/>
    <w:rsid w:val="00FC5F47"/>
    <w:rsid w:val="00FD4651"/>
    <w:rsid w:val="00FD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72AF0-A243-4F0A-8736-A4C0E9EC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styleId="Footer">
    <w:name w:val="footer"/>
    <w:basedOn w:val="Normal"/>
    <w:link w:val="FooterChar"/>
    <w:semiHidden/>
    <w:rsid w:val="009347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3474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1358</Words>
  <Characters>8216</Characters>
  <Application>Microsoft Office Word</Application>
  <DocSecurity>0</DocSecurity>
  <Lines>158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SOCHOROVA Lenka</dc:creator>
  <cp:keywords/>
  <dc:description/>
  <cp:lastModifiedBy>OSLADILOVA Jana</cp:lastModifiedBy>
  <cp:revision>2</cp:revision>
  <cp:lastPrinted>2006-05-02T14:58:00Z</cp:lastPrinted>
  <dcterms:created xsi:type="dcterms:W3CDTF">2023-11-10T10:47:00Z</dcterms:created>
  <dcterms:modified xsi:type="dcterms:W3CDTF">2023-11-10T10:47:00Z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1288791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\\eiciLUXpr1\pdocep$\DocEP\DOCS\General\PR\PR_NonLeg\INI\PR_INI_RecommCFSP.dotx(19/04/2021 15:59:04)</vt:lpwstr>
  </property>
  <property fmtid="{D5CDD505-2E9C-101B-9397-08002B2CF9AE}" pid="8" name="&lt;ModelTra&gt;">
    <vt:lpwstr>\\eiciLUXpr1\pdocep$\DocEP\TRANSFIL\CS\PR_INI_RecommCFSP.CS(08/04/2022 13:42:06)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PR\1288791CS.docx</vt:lpwstr>
  </property>
  <property fmtid="{D5CDD505-2E9C-101B-9397-08002B2CF9AE}" pid="11" name="PE number">
    <vt:lpwstr>754.939</vt:lpwstr>
  </property>
  <property fmtid="{D5CDD505-2E9C-101B-9397-08002B2CF9AE}" pid="12" name="Bookout">
    <vt:lpwstr>OK - 2023/11/10 11:47</vt:lpwstr>
  </property>
  <property fmtid="{D5CDD505-2E9C-101B-9397-08002B2CF9AE}" pid="13" name="SDLStudio">
    <vt:lpwstr/>
  </property>
</Properties>
</file>