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69495A" w:rsidRPr="001D036C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69495A" w:rsidRPr="001D036C" w:rsidRDefault="00F01CD9" w:rsidP="00C85D0F">
            <w:pPr>
              <w:pStyle w:val="EPName"/>
            </w:pPr>
            <w:bookmarkStart w:id="0" w:name="_GoBack"/>
            <w:bookmarkEnd w:id="0"/>
            <w:r w:rsidRPr="001D036C">
              <w:t>Parlament Europejski</w:t>
            </w:r>
          </w:p>
          <w:p w:rsidR="0069495A" w:rsidRPr="001D036C" w:rsidRDefault="002C48CC" w:rsidP="002C48CC">
            <w:pPr>
              <w:pStyle w:val="EPTerm"/>
            </w:pPr>
            <w:r w:rsidRPr="001D036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69495A" w:rsidRPr="001D036C" w:rsidRDefault="0069495A" w:rsidP="00C85D0F">
            <w:pPr>
              <w:pStyle w:val="EPLogo"/>
            </w:pPr>
            <w:r w:rsidRPr="001D036C">
              <w:rPr>
                <w:noProof/>
                <w:lang w:eastAsia="pl-PL"/>
              </w:rPr>
              <w:drawing>
                <wp:inline distT="0" distB="0" distL="0" distR="0" wp14:anchorId="4B8BE00E" wp14:editId="501F4E6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7235E" w:rsidRPr="001D036C" w:rsidRDefault="00C7235E" w:rsidP="00C7235E">
      <w:pPr>
        <w:pStyle w:val="LineTop"/>
      </w:pPr>
    </w:p>
    <w:p w:rsidR="00C7235E" w:rsidRPr="001D036C" w:rsidRDefault="00C7235E" w:rsidP="00C7235E">
      <w:pPr>
        <w:pStyle w:val="EPBody"/>
      </w:pPr>
      <w:r w:rsidRPr="001D036C">
        <w:rPr>
          <w:rStyle w:val="HideTWBExt"/>
        </w:rPr>
        <w:t>&lt;</w:t>
      </w:r>
      <w:r w:rsidRPr="001D036C">
        <w:rPr>
          <w:rStyle w:val="HideTWBExt"/>
          <w:i w:val="0"/>
        </w:rPr>
        <w:t>Commission</w:t>
      </w:r>
      <w:r w:rsidRPr="001D036C">
        <w:rPr>
          <w:rStyle w:val="HideTWBExt"/>
        </w:rPr>
        <w:t>&gt;</w:t>
      </w:r>
      <w:r w:rsidRPr="001D036C">
        <w:rPr>
          <w:rStyle w:val="HideTWBInt"/>
        </w:rPr>
        <w:t>{AFET}</w:t>
      </w:r>
      <w:r w:rsidRPr="001D036C">
        <w:t>Komisja Spraw Zagranicznych</w:t>
      </w:r>
      <w:r w:rsidRPr="001D036C">
        <w:rPr>
          <w:rStyle w:val="HideTWBExt"/>
        </w:rPr>
        <w:t>&lt;/</w:t>
      </w:r>
      <w:r w:rsidRPr="001D036C">
        <w:rPr>
          <w:rStyle w:val="HideTWBExt"/>
          <w:i w:val="0"/>
        </w:rPr>
        <w:t>Commission</w:t>
      </w:r>
      <w:r w:rsidRPr="001D036C">
        <w:rPr>
          <w:rStyle w:val="HideTWBExt"/>
        </w:rPr>
        <w:t>&gt;</w:t>
      </w:r>
    </w:p>
    <w:p w:rsidR="00C7235E" w:rsidRPr="001D036C" w:rsidRDefault="00C7235E" w:rsidP="00C7235E">
      <w:pPr>
        <w:pStyle w:val="LineBottom"/>
      </w:pPr>
    </w:p>
    <w:p w:rsidR="00144AD8" w:rsidRPr="001D036C" w:rsidRDefault="00144AD8">
      <w:pPr>
        <w:pStyle w:val="CoverReference"/>
      </w:pPr>
      <w:r w:rsidRPr="001D036C">
        <w:rPr>
          <w:rStyle w:val="HideTWBExt"/>
          <w:b w:val="0"/>
        </w:rPr>
        <w:t>&lt;RefProc&gt;</w:t>
      </w:r>
      <w:r w:rsidRPr="001D036C">
        <w:t>2023/2052</w:t>
      </w:r>
      <w:r w:rsidRPr="001D036C">
        <w:rPr>
          <w:rStyle w:val="HideTWBExt"/>
          <w:b w:val="0"/>
        </w:rPr>
        <w:t>&lt;/RefProc&gt;&lt;RefTypeProc&gt;</w:t>
      </w:r>
      <w:r w:rsidRPr="001D036C">
        <w:t>(INI)</w:t>
      </w:r>
      <w:r w:rsidRPr="001D036C">
        <w:rPr>
          <w:rStyle w:val="HideTWBExt"/>
          <w:b w:val="0"/>
        </w:rPr>
        <w:t>&lt;/RefTypeProc&gt;</w:t>
      </w:r>
    </w:p>
    <w:p w:rsidR="00144AD8" w:rsidRPr="001D036C" w:rsidRDefault="00144AD8">
      <w:pPr>
        <w:pStyle w:val="CoverDate"/>
      </w:pPr>
      <w:r w:rsidRPr="001D036C">
        <w:rPr>
          <w:rStyle w:val="HideTWBExt"/>
        </w:rPr>
        <w:t>&lt;Date&gt;</w:t>
      </w:r>
      <w:r w:rsidRPr="001D036C">
        <w:rPr>
          <w:rStyle w:val="HideTWBInt"/>
        </w:rPr>
        <w:t>{24/10/2023}</w:t>
      </w:r>
      <w:r w:rsidRPr="001D036C">
        <w:t>24.10.2023</w:t>
      </w:r>
      <w:r w:rsidRPr="001D036C">
        <w:rPr>
          <w:rStyle w:val="HideTWBExt"/>
        </w:rPr>
        <w:t>&lt;/Date&gt;</w:t>
      </w:r>
    </w:p>
    <w:p w:rsidR="00144AD8" w:rsidRPr="001D036C" w:rsidRDefault="00144AD8">
      <w:pPr>
        <w:pStyle w:val="CoverDocType24a"/>
      </w:pPr>
      <w:r w:rsidRPr="001D036C">
        <w:rPr>
          <w:rStyle w:val="HideTWBExt"/>
          <w:b w:val="0"/>
        </w:rPr>
        <w:t>&lt;TitreType&gt;</w:t>
      </w:r>
      <w:r w:rsidRPr="001D036C">
        <w:t>PROJEKT SPRAWOZDANIA</w:t>
      </w:r>
      <w:r w:rsidRPr="001D036C">
        <w:rPr>
          <w:rStyle w:val="HideTWBExt"/>
          <w:b w:val="0"/>
        </w:rPr>
        <w:t>&lt;/TitreType&gt;</w:t>
      </w:r>
    </w:p>
    <w:p w:rsidR="00144AD8" w:rsidRPr="001D036C" w:rsidRDefault="00144AD8">
      <w:pPr>
        <w:pStyle w:val="CoverNormal"/>
      </w:pPr>
      <w:r w:rsidRPr="001D036C">
        <w:rPr>
          <w:rStyle w:val="HideTWBExt"/>
        </w:rPr>
        <w:t>&lt;Titre&gt;</w:t>
      </w:r>
      <w:r w:rsidRPr="001D036C">
        <w:t>w sprawie zalecenia Parlamentu Europejskiego dla Rady, Komisji oraz wiceprzewodniczącego Komisji / wysokiego przedstawiciela Unii do spraw zagranicznych i polityki bezpieczeństwa w sprawie sytuacji w Syrii</w:t>
      </w:r>
      <w:r w:rsidRPr="001D036C">
        <w:rPr>
          <w:rStyle w:val="HideTWBExt"/>
        </w:rPr>
        <w:t>&lt;/Titre&gt;</w:t>
      </w:r>
    </w:p>
    <w:p w:rsidR="00144AD8" w:rsidRPr="001D036C" w:rsidRDefault="00144AD8">
      <w:pPr>
        <w:pStyle w:val="CoverNormal24a"/>
      </w:pPr>
      <w:r w:rsidRPr="001D036C">
        <w:rPr>
          <w:rStyle w:val="HideTWBExt"/>
        </w:rPr>
        <w:t>&lt;DocRef&gt;</w:t>
      </w:r>
      <w:r w:rsidRPr="001D036C">
        <w:t>(2023/2052(INI))</w:t>
      </w:r>
      <w:r w:rsidRPr="001D036C">
        <w:rPr>
          <w:rStyle w:val="HideTWBExt"/>
        </w:rPr>
        <w:t>&lt;/DocRef&gt;</w:t>
      </w:r>
    </w:p>
    <w:p w:rsidR="00144AD8" w:rsidRPr="001D036C" w:rsidRDefault="00144AD8">
      <w:pPr>
        <w:pStyle w:val="CoverNormal24a"/>
      </w:pPr>
      <w:r w:rsidRPr="001D036C">
        <w:rPr>
          <w:rStyle w:val="HideTWBExt"/>
        </w:rPr>
        <w:t>&lt;Commission&gt;</w:t>
      </w:r>
      <w:r w:rsidRPr="001D036C">
        <w:rPr>
          <w:rStyle w:val="HideTWBInt"/>
        </w:rPr>
        <w:t>{AFET}</w:t>
      </w:r>
      <w:r w:rsidRPr="001D036C">
        <w:t>Komisja Spraw Zagranicznych</w:t>
      </w:r>
      <w:r w:rsidRPr="001D036C">
        <w:rPr>
          <w:rStyle w:val="HideTWBExt"/>
        </w:rPr>
        <w:t>&lt;/Commission&gt;</w:t>
      </w:r>
    </w:p>
    <w:p w:rsidR="00144AD8" w:rsidRPr="001D036C" w:rsidRDefault="002C48CC">
      <w:pPr>
        <w:pStyle w:val="CoverNormal24a"/>
      </w:pPr>
      <w:r w:rsidRPr="001D036C">
        <w:t xml:space="preserve">Sprawozdawczyni: </w:t>
      </w:r>
      <w:r w:rsidRPr="001D036C">
        <w:rPr>
          <w:rStyle w:val="HideTWBExt"/>
        </w:rPr>
        <w:t>&lt;Depute&gt;</w:t>
      </w:r>
      <w:r w:rsidRPr="001D036C">
        <w:t>Nathalie Loiseau</w:t>
      </w:r>
      <w:r w:rsidRPr="001D036C">
        <w:rPr>
          <w:rStyle w:val="HideTWBExt"/>
        </w:rPr>
        <w:t>&lt;/Depute&gt;</w:t>
      </w:r>
    </w:p>
    <w:p w:rsidR="00627DF1" w:rsidRPr="001D036C" w:rsidRDefault="00627DF1" w:rsidP="00627DF1">
      <w:pPr>
        <w:pStyle w:val="CoverNormal"/>
      </w:pPr>
    </w:p>
    <w:p w:rsidR="00144AD8" w:rsidRPr="001D036C" w:rsidRDefault="00144AD8" w:rsidP="009340AC">
      <w:pPr>
        <w:widowControl/>
        <w:tabs>
          <w:tab w:val="center" w:pos="4677"/>
        </w:tabs>
      </w:pPr>
      <w:r w:rsidRPr="001D036C">
        <w:br w:type="page"/>
      </w:r>
      <w:r w:rsidRPr="001D036C">
        <w:lastRenderedPageBreak/>
        <w:t>PR_INI_RecommCFSP</w:t>
      </w:r>
    </w:p>
    <w:p w:rsidR="00144AD8" w:rsidRPr="001D036C" w:rsidRDefault="00F01CD9">
      <w:pPr>
        <w:pStyle w:val="TOCHeading"/>
      </w:pPr>
      <w:r w:rsidRPr="001D036C">
        <w:t>SPIS TREŚCI</w:t>
      </w:r>
    </w:p>
    <w:p w:rsidR="00144AD8" w:rsidRPr="001D036C" w:rsidRDefault="00F01CD9">
      <w:pPr>
        <w:pStyle w:val="TOCPage"/>
      </w:pPr>
      <w:r w:rsidRPr="001D036C">
        <w:t>Strona</w:t>
      </w:r>
    </w:p>
    <w:p w:rsidR="00BC7E48" w:rsidRDefault="00144AD8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pl-PL"/>
        </w:rPr>
      </w:pPr>
      <w:r w:rsidRPr="001D036C">
        <w:fldChar w:fldCharType="begin"/>
      </w:r>
      <w:r w:rsidRPr="001D036C">
        <w:instrText xml:space="preserve"> TOC \t "PageHeading</w:instrText>
      </w:r>
      <w:r w:rsidR="00A1263F" w:rsidRPr="001D036C">
        <w:instrText>;</w:instrText>
      </w:r>
      <w:r w:rsidRPr="001D036C">
        <w:instrText xml:space="preserve">1" </w:instrText>
      </w:r>
      <w:r w:rsidRPr="001D036C">
        <w:fldChar w:fldCharType="separate"/>
      </w:r>
      <w:r w:rsidR="00BC7E48">
        <w:rPr>
          <w:noProof/>
        </w:rPr>
        <w:t>PROJEKT ZALECENIA PARLAMENTU EUROPEJSKIEGO</w:t>
      </w:r>
      <w:r w:rsidR="00BC7E48">
        <w:rPr>
          <w:noProof/>
        </w:rPr>
        <w:tab/>
      </w:r>
      <w:r w:rsidR="00BC7E48">
        <w:rPr>
          <w:noProof/>
        </w:rPr>
        <w:fldChar w:fldCharType="begin"/>
      </w:r>
      <w:r w:rsidR="00BC7E48">
        <w:rPr>
          <w:noProof/>
        </w:rPr>
        <w:instrText xml:space="preserve"> PAGEREF _Toc150502078 \h </w:instrText>
      </w:r>
      <w:r w:rsidR="00BC7E48">
        <w:rPr>
          <w:noProof/>
        </w:rPr>
      </w:r>
      <w:r w:rsidR="00BC7E48">
        <w:rPr>
          <w:noProof/>
        </w:rPr>
        <w:fldChar w:fldCharType="separate"/>
      </w:r>
      <w:r w:rsidR="00BC7E48">
        <w:rPr>
          <w:noProof/>
        </w:rPr>
        <w:t>3</w:t>
      </w:r>
      <w:r w:rsidR="00BC7E48">
        <w:rPr>
          <w:noProof/>
        </w:rPr>
        <w:fldChar w:fldCharType="end"/>
      </w:r>
    </w:p>
    <w:p w:rsidR="00627DF1" w:rsidRPr="001D036C" w:rsidRDefault="00144AD8" w:rsidP="00865AB2">
      <w:r w:rsidRPr="001D036C">
        <w:fldChar w:fldCharType="end"/>
      </w:r>
    </w:p>
    <w:p w:rsidR="00144AD8" w:rsidRPr="001D036C" w:rsidRDefault="00144AD8" w:rsidP="00407AC0">
      <w:pPr>
        <w:pStyle w:val="PageHeading"/>
        <w:jc w:val="left"/>
      </w:pPr>
      <w:r w:rsidRPr="001D036C">
        <w:br w:type="page"/>
      </w:r>
      <w:bookmarkStart w:id="1" w:name="_Toc150502078"/>
      <w:r w:rsidRPr="001D036C">
        <w:lastRenderedPageBreak/>
        <w:t>PROJEKT ZALECENIA PARLAMENTU EUROPEJSKIEGO</w:t>
      </w:r>
      <w:bookmarkEnd w:id="1"/>
    </w:p>
    <w:p w:rsidR="00144AD8" w:rsidRPr="001D036C" w:rsidRDefault="002C48CC" w:rsidP="00407AC0">
      <w:pPr>
        <w:pStyle w:val="NormalBold"/>
      </w:pPr>
      <w:r w:rsidRPr="001D036C">
        <w:t>dla Rady, Komisji oraz wiceprzewodniczącego Komisji / wysokiego przedstawiciela Unii do spraw zagranicznych i polityki bezpieczeństwa w sprawie sytuacji w Syrii</w:t>
      </w:r>
    </w:p>
    <w:p w:rsidR="00144AD8" w:rsidRPr="001D036C" w:rsidRDefault="00F01CD9" w:rsidP="00407AC0">
      <w:pPr>
        <w:pStyle w:val="NormalBold"/>
      </w:pPr>
      <w:r w:rsidRPr="001D036C">
        <w:t>(2023/2052(INI))</w:t>
      </w:r>
    </w:p>
    <w:p w:rsidR="00144AD8" w:rsidRPr="001D036C" w:rsidRDefault="00F01CD9" w:rsidP="00407AC0">
      <w:pPr>
        <w:pStyle w:val="EPComma"/>
      </w:pPr>
      <w:r w:rsidRPr="001D036C">
        <w:rPr>
          <w:i/>
        </w:rPr>
        <w:t>Parlament Europejski</w:t>
      </w:r>
      <w:r w:rsidRPr="001D036C">
        <w:t>,</w:t>
      </w:r>
    </w:p>
    <w:p w:rsidR="00144AD8" w:rsidRPr="001D036C" w:rsidRDefault="00144AD8" w:rsidP="00407AC0">
      <w:pPr>
        <w:pStyle w:val="NormalHanging12a"/>
        <w:ind w:left="426" w:hanging="426"/>
      </w:pPr>
      <w:r w:rsidRPr="001D036C">
        <w:t>–</w:t>
      </w:r>
      <w:r w:rsidRPr="001D036C">
        <w:tab/>
        <w:t>uwzględniając art. 118 Regulaminu,</w:t>
      </w:r>
    </w:p>
    <w:p w:rsidR="00144AD8" w:rsidRPr="001D036C" w:rsidRDefault="00144AD8" w:rsidP="00407AC0">
      <w:pPr>
        <w:pStyle w:val="NormalHanging12a"/>
        <w:ind w:left="426" w:hanging="426"/>
      </w:pPr>
      <w:r w:rsidRPr="001D036C">
        <w:t>–</w:t>
      </w:r>
      <w:r w:rsidRPr="001D036C">
        <w:tab/>
        <w:t>uwzględniając sprawozdanie Komisji Spraw Zagranicznych (A9-0000/2023),</w:t>
      </w:r>
    </w:p>
    <w:p w:rsidR="001F4A1C" w:rsidRPr="001D036C" w:rsidRDefault="00407AC0" w:rsidP="00407AC0">
      <w:pPr>
        <w:pStyle w:val="NormalHanging12a"/>
        <w:ind w:left="426" w:hanging="426"/>
      </w:pPr>
      <w:r w:rsidRPr="001D036C">
        <w:t>A.</w:t>
      </w:r>
      <w:r w:rsidRPr="001D036C">
        <w:tab/>
        <w:t>mając na uwadze, że procesy genewski i astański okazały się niepowodzeniem, ponieważ reżim syryjski nadal odmawia przystąpienia do poważnych negocjacji z opozycją w celu wypracowania rozwiązania politycznego;</w:t>
      </w:r>
    </w:p>
    <w:p w:rsidR="001F4A1C" w:rsidRPr="001D036C" w:rsidRDefault="00407AC0" w:rsidP="00407AC0">
      <w:pPr>
        <w:pStyle w:val="NormalHanging12a"/>
        <w:ind w:left="426" w:hanging="426"/>
      </w:pPr>
      <w:r w:rsidRPr="001D036C">
        <w:t>B.</w:t>
      </w:r>
      <w:r w:rsidRPr="001D036C">
        <w:tab/>
        <w:t>mając na uwadze, że od 2011 r. zginęło pół miliona Syryjczyków, a 14 mln zostało przesiedlonych w wyniku brutalnych działań ugrupowań zbrojnych i terrorystycznych, ale głównie w wyniku ostrych represji prowadzonych wobec własnego narodu przez reżim syryjski wspierany przez sojuszników; mając na uwadze, że represje te obejmowały wielokrotne użycie broni chemicznej, bomb zapalających, bomb beczkowych i pocisków, a także konwencjonalne bombardowanie ludności cywilnej; mając na uwadze, że co najmniej 150 000 Syryjczyków uznaje się za zaginionych w systemie obozów reżimu, a rodziny nadal nie są informowane o losie bliskich;</w:t>
      </w:r>
    </w:p>
    <w:p w:rsidR="001F4A1C" w:rsidRPr="001D036C" w:rsidRDefault="00407AC0" w:rsidP="00407AC0">
      <w:pPr>
        <w:pStyle w:val="NormalHanging12a"/>
        <w:ind w:left="426" w:hanging="426"/>
      </w:pPr>
      <w:r w:rsidRPr="001D036C">
        <w:t>C.</w:t>
      </w:r>
      <w:r w:rsidRPr="001D036C">
        <w:tab/>
        <w:t>mając na uwadze, że autorytarne podmioty zagraniczne, w tym Rosja, grupa Wagnera, Hezbollah i Iran, odgrywają destrukcyjną dla tego kraju rolę od 2011 r. oraz że reżim syryjski nie kontroluje całego terytorium kraju i może pozostać u władzy jedynie przy wsparciu tych podmiotów zagranicznych;</w:t>
      </w:r>
    </w:p>
    <w:p w:rsidR="001F4A1C" w:rsidRPr="001D036C" w:rsidRDefault="00407AC0" w:rsidP="00407AC0">
      <w:pPr>
        <w:pStyle w:val="NormalHanging12a"/>
        <w:ind w:left="426" w:hanging="426"/>
      </w:pPr>
      <w:r w:rsidRPr="001D036C">
        <w:t>D.</w:t>
      </w:r>
      <w:r w:rsidRPr="001D036C">
        <w:tab/>
        <w:t>mając na uwadze, że Turcja regularnie prowadzi zakrojone na szeroką skalę działania zbrojne na terytorium Syrii;</w:t>
      </w:r>
    </w:p>
    <w:p w:rsidR="001F4A1C" w:rsidRPr="001D036C" w:rsidRDefault="00407AC0" w:rsidP="00407AC0">
      <w:pPr>
        <w:pStyle w:val="NormalHanging12a"/>
        <w:ind w:left="426" w:hanging="426"/>
      </w:pPr>
      <w:r w:rsidRPr="001D036C">
        <w:t>E.</w:t>
      </w:r>
      <w:r w:rsidRPr="001D036C">
        <w:tab/>
        <w:t>mając na uwadze, że Państwo Islamskie popełniło zbrodnie przeciwko ludzkości, w tym dopuściło się ludobójstwa, na terytoriach, które tymczasowo pozostawały pod jego kontrolą, zanim koalicja międzynarodowa podjęła działania;</w:t>
      </w:r>
    </w:p>
    <w:p w:rsidR="001F4A1C" w:rsidRPr="001D036C" w:rsidRDefault="00407AC0" w:rsidP="00407AC0">
      <w:pPr>
        <w:pStyle w:val="NormalHanging12a"/>
        <w:ind w:left="426" w:hanging="426"/>
      </w:pPr>
      <w:r w:rsidRPr="001D036C">
        <w:t>F.</w:t>
      </w:r>
      <w:r w:rsidRPr="001D036C">
        <w:tab/>
        <w:t>mając na uwadze, że aktywa 289 osób i 70 podmiotów bezpośrednio zaangażowanych w represje wobec ludności podlegają sankcjom europejskim;</w:t>
      </w:r>
    </w:p>
    <w:p w:rsidR="001F4A1C" w:rsidRPr="001D036C" w:rsidRDefault="00407AC0" w:rsidP="00407AC0">
      <w:pPr>
        <w:pStyle w:val="NormalHanging12a"/>
        <w:ind w:left="426" w:hanging="426"/>
      </w:pPr>
      <w:r w:rsidRPr="001D036C">
        <w:t>G.</w:t>
      </w:r>
      <w:r w:rsidRPr="001D036C">
        <w:tab/>
        <w:t>mając na uwadze, że w wyniku ciągłego blokowania przez Rosję działań Rady Bezpieczeństwa Organizacji Narodów Zjednoczonych (ONZ) tylko jedno przejście graniczne między Turcją a obszarami, które nie są kontrolowane przez reżim, pozostaje otwarte dla międzynarodowej pomocy humanitarnej;</w:t>
      </w:r>
    </w:p>
    <w:p w:rsidR="001F4A1C" w:rsidRPr="001D036C" w:rsidRDefault="00407AC0" w:rsidP="00407AC0">
      <w:pPr>
        <w:pStyle w:val="NormalHanging12a"/>
        <w:ind w:left="426" w:hanging="426"/>
      </w:pPr>
      <w:r w:rsidRPr="001D036C">
        <w:t>H.</w:t>
      </w:r>
      <w:r w:rsidRPr="001D036C">
        <w:tab/>
        <w:t>mając na uwadze, że kilka krajów w regionie rozpoczęło proces normalizacji stosunków z reżimem syryjskim, co doprowadziło do ponownego włączenia Syrii do Ligi Państw Arabskich;</w:t>
      </w:r>
    </w:p>
    <w:p w:rsidR="001F4A1C" w:rsidRPr="001D036C" w:rsidRDefault="00407AC0" w:rsidP="00407AC0">
      <w:pPr>
        <w:pStyle w:val="NormalHanging12a"/>
        <w:ind w:left="426" w:hanging="426"/>
      </w:pPr>
      <w:r w:rsidRPr="001D036C">
        <w:t>I.</w:t>
      </w:r>
      <w:r w:rsidRPr="001D036C">
        <w:tab/>
        <w:t xml:space="preserve">mając na uwadze, że Unia Europejska i jej państwa członkowskie są największym </w:t>
      </w:r>
      <w:r w:rsidRPr="001D036C">
        <w:lastRenderedPageBreak/>
        <w:t>darczyńcą pomocy dla osób dotkniętych konfliktem od 2011 r., a ich wsparcie wynosi 30 mld EUR; mając na uwadze, że europejska pomoc zadeklarowana na konferencji w Brukseli w czerwcu 2023 r. wynosi 3,8 mld EUR z łącznej kwoty 5,6 mld EUR; mając na uwadze, że UE i państwa członkowskie udzieliły pomocy nadzwyczajnej w związku z trzęsieniem ziemi w Syrii, a 23 lutego 2023 r. Unia podjęła decyzję o tymczasowym zawieszeniu sankcji ze względów humanitarnych, aby ułatwić dostarczanie pomocy ofiarom;</w:t>
      </w:r>
    </w:p>
    <w:p w:rsidR="001F4A1C" w:rsidRPr="001D036C" w:rsidRDefault="00407AC0" w:rsidP="00407AC0">
      <w:pPr>
        <w:pStyle w:val="NormalHanging12a"/>
        <w:ind w:left="426" w:hanging="426"/>
      </w:pPr>
      <w:r w:rsidRPr="001D036C">
        <w:t>J.</w:t>
      </w:r>
      <w:r w:rsidRPr="001D036C">
        <w:tab/>
        <w:t>mając na uwadze, że państwo syryjskie nie zaspokaja w wystarczającym stopniu podstawowych potrzeb ludności, że sytuacja gospodarcza kraju jest niezwykle niepewna i że Syria przekształciła się w państwo narkotykowe;</w:t>
      </w:r>
    </w:p>
    <w:p w:rsidR="00267945" w:rsidRPr="001D036C" w:rsidRDefault="00267945" w:rsidP="00407AC0">
      <w:pPr>
        <w:pStyle w:val="NormalHanging12a"/>
        <w:ind w:left="426" w:hanging="426"/>
      </w:pPr>
      <w:r w:rsidRPr="001D036C">
        <w:t>1.</w:t>
      </w:r>
      <w:r w:rsidRPr="001D036C">
        <w:tab/>
        <w:t>jeśli chodzi o politykę względem Syrii, zaleca Radzie, Komisji oraz wiceprzewodniczącemu Komisji / wysokiemu przedstawicielowi Unii do spraw zagranicznych i polityki bezpieczeństwa:</w:t>
      </w:r>
    </w:p>
    <w:p w:rsidR="006D365C" w:rsidRPr="001D036C" w:rsidRDefault="00407AC0" w:rsidP="00407AC0">
      <w:pPr>
        <w:pStyle w:val="NormalHangingLeft12a"/>
        <w:ind w:left="851" w:hanging="425"/>
        <w:rPr>
          <w:b/>
          <w:bCs/>
          <w:i/>
        </w:rPr>
      </w:pPr>
      <w:r w:rsidRPr="001D036C">
        <w:rPr>
          <w:b/>
          <w:i/>
        </w:rPr>
        <w:t>Proces kształtowania polityki</w:t>
      </w:r>
    </w:p>
    <w:p w:rsidR="006D365C" w:rsidRPr="001D036C" w:rsidRDefault="006D365C" w:rsidP="00407AC0">
      <w:pPr>
        <w:pStyle w:val="NormalHangingLeft12a"/>
        <w:ind w:left="851" w:hanging="425"/>
      </w:pPr>
      <w:r w:rsidRPr="001D036C">
        <w:t>a)</w:t>
      </w:r>
      <w:r w:rsidRPr="001D036C">
        <w:tab/>
        <w:t>przypomnienie o poparciu Unii dla syryjskich aspiracji demokratycznych, które utrzymują się w tym kraju pomimo powszechnych represji ze strony reżimu od czasu pokojowych protestów w 2011 r., przy zdecydowanym wsparciu wojskowym i finansowym ze strony Iranu i Rosji dla utrzymania u władzy klanu Assada;</w:t>
      </w:r>
    </w:p>
    <w:p w:rsidR="006D365C" w:rsidRPr="001D036C" w:rsidRDefault="006D365C" w:rsidP="00407AC0">
      <w:pPr>
        <w:pStyle w:val="NormalHangingLeft12a"/>
        <w:ind w:left="851" w:hanging="425"/>
      </w:pPr>
      <w:r w:rsidRPr="001D036C">
        <w:t>b)</w:t>
      </w:r>
      <w:r w:rsidRPr="001D036C">
        <w:tab/>
        <w:t>podkreślenie szczególnej odpowiedzialności reżimu za śmierć pół miliona cywilów, zniszczenie kraju, przesiedlenie większości ludności, tortury i zaginięcie 150 000 osób w systemie obozów, stosowanie broni chemicznej przeciwko ludności cywilnej oraz systematyczne niszczenie wszelkiej pokojowej opozycji;</w:t>
      </w:r>
    </w:p>
    <w:p w:rsidR="006D365C" w:rsidRPr="001D036C" w:rsidRDefault="006D365C" w:rsidP="00407AC0">
      <w:pPr>
        <w:pStyle w:val="NormalHangingLeft12a"/>
        <w:ind w:left="851" w:hanging="425"/>
      </w:pPr>
      <w:r w:rsidRPr="001D036C">
        <w:t>c)</w:t>
      </w:r>
      <w:r w:rsidRPr="001D036C">
        <w:tab/>
        <w:t xml:space="preserve">sprzeciwienie się jakiejkolwiek normalizacji stosunków z reżimem Assada, jeśli nie odnotuje się wyraźnych i weryfikowalnych postępów we wdrażaniu rezolucji Rady Bezpieczeństwa ONZ nr 2254 (2015), które obejmują uwolnienie więźniów politycznych, informowanie rodzin ofiar o losie zaginionych osób oraz zaprzestanie atakowania i utrudniania działalności humanitarnej; </w:t>
      </w:r>
    </w:p>
    <w:p w:rsidR="006D365C" w:rsidRPr="001D036C" w:rsidRDefault="006D365C" w:rsidP="00407AC0">
      <w:pPr>
        <w:pStyle w:val="NormalHangingLeft12a"/>
        <w:ind w:left="851" w:hanging="425"/>
      </w:pPr>
      <w:r w:rsidRPr="001D036C">
        <w:t>d)</w:t>
      </w:r>
      <w:r w:rsidRPr="001D036C">
        <w:tab/>
        <w:t xml:space="preserve">podkreślenie, że pomimo suwerennej decyzji niektórych państw arabskich o ponownym przyjęciu Syrii do Ligi Państw Arabskich nic nie wskazuje na to, by reżim syryjski chciał zwalczać handel narkotykami pochodzący z tego kraju i mający wpływ na cały region; potępienie kontrolowania Captagonu przez rodzinę Assad i jej sojuszników, w tym Hezbollah; wartość handlu tym narkotykiem szacuje się na 57 mld USD; zwrócenie uwagi, że brat Baszara al-Assada dowodzi jednostką wojskową odpowiedzialną za ułatwianie jego produkcji; </w:t>
      </w:r>
    </w:p>
    <w:p w:rsidR="006D365C" w:rsidRPr="001D036C" w:rsidRDefault="006D365C" w:rsidP="00407AC0">
      <w:pPr>
        <w:pStyle w:val="NormalHangingLeft12a"/>
        <w:ind w:left="851" w:hanging="425"/>
      </w:pPr>
      <w:r w:rsidRPr="001D036C">
        <w:t>e)</w:t>
      </w:r>
      <w:r w:rsidRPr="001D036C">
        <w:tab/>
        <w:t xml:space="preserve">podkreślenie, że to represje, zaniedbania i korupcja reżimu są odpowiedzialne za sytuację gospodarczą, a nie europejskie ukierunkowane sankcje wobec osób i podmiotów zaangażowanych w represje; </w:t>
      </w:r>
    </w:p>
    <w:p w:rsidR="006D365C" w:rsidRPr="001D036C" w:rsidRDefault="006D365C" w:rsidP="00407AC0">
      <w:pPr>
        <w:pStyle w:val="NormalHangingLeft12a"/>
        <w:ind w:left="851" w:hanging="425"/>
      </w:pPr>
      <w:r w:rsidRPr="001D036C">
        <w:t>f)</w:t>
      </w:r>
      <w:r w:rsidRPr="001D036C">
        <w:tab/>
        <w:t>szybkie przyznanie zaufanym międzynarodowym organizacjom humanitarnym solidnych, szerokich i wyraźnych zwolnień; zharmonizowanie w jak największym stopniu interpretacji rozporządzenia w sprawie środków ograniczających w Syrii przez państwa członkowskie i zastosowanie rezolucji Rady Bezpieczeństwa ONZ nr 2664 (2022) w sprawie pomocy humanitarnej;</w:t>
      </w:r>
    </w:p>
    <w:p w:rsidR="006D365C" w:rsidRPr="001D036C" w:rsidRDefault="006D365C" w:rsidP="00407AC0">
      <w:pPr>
        <w:pStyle w:val="NormalHangingLeft12a"/>
        <w:ind w:left="851" w:hanging="425"/>
      </w:pPr>
      <w:r w:rsidRPr="001D036C">
        <w:lastRenderedPageBreak/>
        <w:t>g)</w:t>
      </w:r>
      <w:r w:rsidRPr="001D036C">
        <w:tab/>
        <w:t xml:space="preserve">uznanie odwagi demonstrantów w miastach As-Suwajda i Dara, którzy od sierpnia 2023 r. ponownie pokojowo manifestowali przeciwko reżimowi Assada; </w:t>
      </w:r>
    </w:p>
    <w:p w:rsidR="006D365C" w:rsidRPr="001D036C" w:rsidRDefault="00407AC0" w:rsidP="00407AC0">
      <w:pPr>
        <w:pStyle w:val="NormalHangingLeft12a"/>
        <w:ind w:left="851" w:hanging="425"/>
        <w:rPr>
          <w:b/>
          <w:bCs/>
          <w:i/>
        </w:rPr>
      </w:pPr>
      <w:r w:rsidRPr="001D036C">
        <w:rPr>
          <w:b/>
          <w:i/>
        </w:rPr>
        <w:t>Bezpieczeństwo</w:t>
      </w:r>
    </w:p>
    <w:p w:rsidR="006D365C" w:rsidRPr="001D036C" w:rsidRDefault="006D365C" w:rsidP="00407AC0">
      <w:pPr>
        <w:pStyle w:val="NormalHangingLeft12a"/>
        <w:ind w:left="851" w:hanging="425"/>
      </w:pPr>
      <w:r w:rsidRPr="001D036C">
        <w:t>h)</w:t>
      </w:r>
      <w:r w:rsidRPr="001D036C">
        <w:tab/>
        <w:t xml:space="preserve">wyrażenie ubolewania w związku z ciągłą obecnością na terytorium Syrii setek irańskich i rosyjskich baz i bojówek; wyrażenie zaniepokojenia gospodarczym wykorzystywaniem kraju przez wrogie obce mocarstwa; </w:t>
      </w:r>
    </w:p>
    <w:p w:rsidR="006D365C" w:rsidRPr="001D036C" w:rsidRDefault="006D365C" w:rsidP="00407AC0">
      <w:pPr>
        <w:pStyle w:val="NormalHangingLeft12a"/>
        <w:ind w:left="851" w:hanging="425"/>
      </w:pPr>
      <w:r w:rsidRPr="001D036C">
        <w:t>i)</w:t>
      </w:r>
      <w:r w:rsidRPr="001D036C">
        <w:tab/>
        <w:t>potępienie ataków sił tureckich i okupowania przez nie terytoriów syryjskich na północy; wyrażenie głębokiego zaniepokojenia utrzymującą się radykalną opozycją islamską w prowincji Idlib; wspieranie utrzymania międzynarodowej koalicji przeciwko Państwu Islamskiemu, które nadal działa w Syrii pomimo poważnych porażek;</w:t>
      </w:r>
    </w:p>
    <w:p w:rsidR="006D365C" w:rsidRPr="001D036C" w:rsidRDefault="006D365C" w:rsidP="00407AC0">
      <w:pPr>
        <w:pStyle w:val="NormalHangingLeft12a"/>
        <w:ind w:left="851" w:hanging="425"/>
      </w:pPr>
      <w:r w:rsidRPr="001D036C">
        <w:t>j)</w:t>
      </w:r>
      <w:r w:rsidRPr="001D036C">
        <w:tab/>
        <w:t xml:space="preserve">podkreślenie roli Demokratycznych Sił Syrii w walce z Daiszem; </w:t>
      </w:r>
    </w:p>
    <w:p w:rsidR="006D365C" w:rsidRPr="001D036C" w:rsidRDefault="006D365C" w:rsidP="00407AC0">
      <w:pPr>
        <w:pStyle w:val="NormalHangingLeft12a"/>
        <w:ind w:left="851" w:hanging="425"/>
      </w:pPr>
      <w:r w:rsidRPr="001D036C">
        <w:t>k)</w:t>
      </w:r>
      <w:r w:rsidRPr="001D036C">
        <w:tab/>
        <w:t>wezwanie państw członkowskich, by kontynuowały repatriację swoich obywateli przebywających w obozach dżihadystów Al-Hol i Al-Roj oraz by osądziły ich za popełnione zbrodnie;</w:t>
      </w:r>
    </w:p>
    <w:p w:rsidR="006D365C" w:rsidRPr="001D036C" w:rsidRDefault="006D365C" w:rsidP="00407AC0">
      <w:pPr>
        <w:pStyle w:val="NormalHangingLeft12a"/>
        <w:ind w:left="851" w:hanging="425"/>
      </w:pPr>
      <w:r w:rsidRPr="001D036C">
        <w:t>l)</w:t>
      </w:r>
      <w:r w:rsidRPr="001D036C">
        <w:tab/>
        <w:t>zintensyfikowanie wysiłków, aby przeciwdziałać rosyjskiej dezinformacji na temat Syrii, zwłaszcza w języku arabskim;</w:t>
      </w:r>
    </w:p>
    <w:p w:rsidR="006D365C" w:rsidRPr="001D036C" w:rsidRDefault="00407AC0" w:rsidP="00407AC0">
      <w:pPr>
        <w:pStyle w:val="NormalHangingLeft12a"/>
        <w:ind w:left="851" w:hanging="425"/>
        <w:rPr>
          <w:b/>
          <w:bCs/>
          <w:i/>
        </w:rPr>
      </w:pPr>
      <w:r w:rsidRPr="001D036C">
        <w:rPr>
          <w:b/>
          <w:i/>
        </w:rPr>
        <w:t>Zwalczanie bezkarności</w:t>
      </w:r>
    </w:p>
    <w:p w:rsidR="006D365C" w:rsidRPr="001D036C" w:rsidRDefault="006D365C" w:rsidP="00407AC0">
      <w:pPr>
        <w:pStyle w:val="NormalHangingLeft12a"/>
        <w:ind w:left="851" w:hanging="425"/>
      </w:pPr>
      <w:r w:rsidRPr="001D036C">
        <w:t>m)</w:t>
      </w:r>
      <w:r w:rsidRPr="001D036C">
        <w:tab/>
        <w:t>podkreślenie, że walka z bezkarnością w Syrii jest moralnym i politycznym obowiązkiem Europy; pozytywne odniesienie się do postępów w zakresie wymiaru sprawiedliwości, osiągniętych przez francusko-niemiecki wspólny zespół dochodzeniowo-śledczy w odniesieniu do 11 000 ciał ofiar tortur wskazanych w raporcie Cezara, a także do zawieszenia udziału Syrii w pracach międzynarodowej Organizacji ds. Zakazu Broni Chemicznej oraz postępów poczynionych w Niemczech, Francji i Szwecji z myślą o postawieniu syryjskich przestępców przed sądem;</w:t>
      </w:r>
    </w:p>
    <w:p w:rsidR="006D365C" w:rsidRPr="001D036C" w:rsidRDefault="006D365C" w:rsidP="00407AC0">
      <w:pPr>
        <w:pStyle w:val="NormalHangingLeft12a"/>
        <w:ind w:left="851" w:hanging="425"/>
      </w:pPr>
      <w:r w:rsidRPr="001D036C">
        <w:t>n)</w:t>
      </w:r>
      <w:r w:rsidRPr="001D036C">
        <w:tab/>
        <w:t>wezwanie do automatycznej wymiany informacji między wszystkimi państwami członkowskimi na temat zbrodniarzy wojennych, których wniosek o udzielenie azylu został odrzucony na mocy art. 1 lit. f) Konwencji dotyczącej statusu uchodźców;</w:t>
      </w:r>
    </w:p>
    <w:p w:rsidR="006D365C" w:rsidRPr="001D036C" w:rsidRDefault="006D365C" w:rsidP="00407AC0">
      <w:pPr>
        <w:pStyle w:val="NormalHangingLeft12a"/>
        <w:ind w:left="851" w:hanging="425"/>
      </w:pPr>
      <w:r w:rsidRPr="001D036C">
        <w:t>o)</w:t>
      </w:r>
      <w:r w:rsidRPr="001D036C">
        <w:tab/>
        <w:t>wezwanie organów sądowych i policyjnych do wspólnego korzystania z usług ekspertów i tłumaczy ustnych i do wyznaczenia w każdym państwie członkowskim prokuratora ds. zbrodni przeciwko ludzkości; zaapelowanie o to, by stypendia europejskie były przyznawane w szczególności Syryjczykom poszukującym szkolenia prawniczego;</w:t>
      </w:r>
    </w:p>
    <w:p w:rsidR="006D365C" w:rsidRPr="001D036C" w:rsidRDefault="006D365C" w:rsidP="00407AC0">
      <w:pPr>
        <w:pStyle w:val="NormalHangingLeft12a"/>
        <w:ind w:left="851" w:hanging="425"/>
      </w:pPr>
      <w:r w:rsidRPr="001D036C">
        <w:t>p)</w:t>
      </w:r>
      <w:r w:rsidRPr="001D036C">
        <w:tab/>
        <w:t>wezwanie państw członkowskich do ustanowienia europejskiego funduszu na rzecz ofiar zbrodni przeciwko ludzkości w Syrii poprzez opracowanie ram prawnych umożliwiających przekazywanie rodzinom ofiar zamrożonych środków finansowych związanych z nielegalnie pozyskanym mieniem reżimu syryjskiego;</w:t>
      </w:r>
    </w:p>
    <w:p w:rsidR="006D365C" w:rsidRPr="001D036C" w:rsidRDefault="006D365C" w:rsidP="00DF7E38">
      <w:pPr>
        <w:pStyle w:val="NormalHangingLeft12a"/>
        <w:ind w:left="851" w:hanging="425"/>
      </w:pPr>
      <w:r w:rsidRPr="001D036C">
        <w:t>q)</w:t>
      </w:r>
      <w:r w:rsidRPr="001D036C">
        <w:tab/>
        <w:t xml:space="preserve">wyrażenie zadowolenia w związku z przyjęciem rezolucji Zgromadzenia Ogólnego </w:t>
      </w:r>
      <w:r w:rsidRPr="001D036C">
        <w:lastRenderedPageBreak/>
        <w:t>ONZ z 29 czerwca 2023 r. ustanawiającej instytucję ds. osób zaginionych w Syrii oraz w związku z dalszym finansowaniem międzynarodowego niezależnego i bezstronnego mechanizmu wspierającego dochodzenia w sprawie najpoważniejszych zbrodni popełnionych w Syrii od 2011 r.;</w:t>
      </w:r>
    </w:p>
    <w:p w:rsidR="006D365C" w:rsidRPr="001D036C" w:rsidRDefault="00407AC0" w:rsidP="00407AC0">
      <w:pPr>
        <w:pStyle w:val="NormalHangingLeft12a"/>
        <w:ind w:left="851" w:hanging="425"/>
        <w:rPr>
          <w:b/>
          <w:bCs/>
          <w:i/>
        </w:rPr>
      </w:pPr>
      <w:r w:rsidRPr="001D036C">
        <w:rPr>
          <w:b/>
          <w:i/>
        </w:rPr>
        <w:t>Pomoc humanitarna i uchodźcy</w:t>
      </w:r>
    </w:p>
    <w:p w:rsidR="006D365C" w:rsidRPr="001D036C" w:rsidRDefault="006D365C" w:rsidP="00407AC0">
      <w:pPr>
        <w:pStyle w:val="NormalHangingLeft12a"/>
        <w:ind w:left="851" w:hanging="425"/>
      </w:pPr>
      <w:r w:rsidRPr="001D036C">
        <w:t>r)</w:t>
      </w:r>
      <w:r w:rsidRPr="001D036C">
        <w:tab/>
        <w:t>zwrócenie się do społeczności międzynarodowej, na konferencji w Brukseli w 2024 r., o pilne zwiększenie pomocy humanitarnej dla 15,3 mln Syryjczyków, których codzienne życie zależy od tej pomocy; położenie nacisku na dostęp do czystej wody, edukacji i długoterminowego wsparcia budżetowego dostosowanego do potrzeb kobiet; przypomnienie, że Unia wnosi największy wkład w tym zakresie; wyrażenie uznania dla faktu, że Liban, Jordania, Turcja i Irak nie ustają w wysiłkach, aby przyjąć 6 mln uchodźców w trudnych warunkach gospodarczych;</w:t>
      </w:r>
    </w:p>
    <w:p w:rsidR="006D365C" w:rsidRPr="001D036C" w:rsidRDefault="006D365C" w:rsidP="00407AC0">
      <w:pPr>
        <w:pStyle w:val="NormalHangingLeft12a"/>
        <w:ind w:left="851" w:hanging="425"/>
      </w:pPr>
      <w:r w:rsidRPr="001D036C">
        <w:t>s)</w:t>
      </w:r>
      <w:r w:rsidRPr="001D036C">
        <w:tab/>
        <w:t xml:space="preserve">potępienie podejmowanych przez reżim syryjski systematycznych prób przekierowywania międzynarodowej pomocy humanitarnej i przekazywania jej bojówkom, a także manipulowania kursami walutowymi w celu zatrzymania większości pomocy na terytoriach znajdujących się pod jego kontrolą; </w:t>
      </w:r>
    </w:p>
    <w:p w:rsidR="006D365C" w:rsidRPr="001D036C" w:rsidRDefault="006D365C" w:rsidP="00407AC0">
      <w:pPr>
        <w:pStyle w:val="NormalHangingLeft12a"/>
        <w:ind w:left="851" w:hanging="425"/>
      </w:pPr>
      <w:r w:rsidRPr="001D036C">
        <w:t>t)</w:t>
      </w:r>
      <w:r w:rsidRPr="001D036C">
        <w:tab/>
        <w:t>zdecydowane potępienie niezliczonych przypadków zgłaszania przez Rosję weta przeciwko dostarczaniu pomocy mieszkańcom północy; ponowne potępienie podejmowanych przez Rosję prób zaszkodzenia wizerunkowi białych hełmów;</w:t>
      </w:r>
    </w:p>
    <w:p w:rsidR="006D365C" w:rsidRPr="001D036C" w:rsidRDefault="006D365C" w:rsidP="00407AC0">
      <w:pPr>
        <w:pStyle w:val="NormalHangingLeft12a"/>
        <w:ind w:left="851" w:hanging="425"/>
      </w:pPr>
      <w:r w:rsidRPr="001D036C">
        <w:t>u)</w:t>
      </w:r>
      <w:r w:rsidRPr="001D036C">
        <w:tab/>
        <w:t>przypomnienie, że Syrii nie można uznać, w całości ani w części, za bezpieczny kraj i że jej obywatele przebywający w Europie, którzy uciekli przed zbrodniami reżimu, mogą stać się ofiarami tortur i wymuszonych zaginięć, jeżeli tam powrócą;</w:t>
      </w:r>
    </w:p>
    <w:p w:rsidR="00144AD8" w:rsidRPr="001D036C" w:rsidRDefault="00144AD8" w:rsidP="00407AC0">
      <w:pPr>
        <w:pStyle w:val="NormalHanging12a"/>
      </w:pPr>
      <w:r w:rsidRPr="001D036C">
        <w:t>2.</w:t>
      </w:r>
      <w:r w:rsidRPr="001D036C">
        <w:tab/>
        <w:t>zobowiązuje swoją przewodniczącą do przekazania niniejszego zalecenia Radzie, Komisji i wiceprzewodniczącemu Komisji / wysokiemu przedstawicielowi Unii do spraw zagranicznych i polityki bezpieczeństwa oraz do zapewnienia jego przetłumaczenia na język arabski i opublikowania w tym języku.</w:t>
      </w:r>
    </w:p>
    <w:p w:rsidR="00144AD8" w:rsidRPr="001D036C" w:rsidRDefault="00144AD8" w:rsidP="00407AC0"/>
    <w:sectPr w:rsidR="00144AD8" w:rsidRPr="001D036C" w:rsidSect="001D03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01B2" w:rsidRPr="001D036C" w:rsidRDefault="002601B2">
      <w:r w:rsidRPr="001D036C">
        <w:separator/>
      </w:r>
    </w:p>
  </w:endnote>
  <w:endnote w:type="continuationSeparator" w:id="0">
    <w:p w:rsidR="002601B2" w:rsidRPr="001D036C" w:rsidRDefault="002601B2">
      <w:r w:rsidRPr="001D036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036C" w:rsidRPr="001D036C" w:rsidRDefault="001D036C" w:rsidP="001D036C">
    <w:pPr>
      <w:pStyle w:val="EPFooter"/>
    </w:pPr>
    <w:r w:rsidRPr="001D036C">
      <w:t>PE</w:t>
    </w:r>
    <w:r w:rsidRPr="001D036C">
      <w:rPr>
        <w:rStyle w:val="HideTWBExt"/>
      </w:rPr>
      <w:t>&lt;NoPE&gt;</w:t>
    </w:r>
    <w:r w:rsidRPr="001D036C">
      <w:t>754.939</w:t>
    </w:r>
    <w:r w:rsidRPr="001D036C">
      <w:rPr>
        <w:rStyle w:val="HideTWBExt"/>
      </w:rPr>
      <w:t>&lt;/NoPE&gt;&lt;Version&gt;</w:t>
    </w:r>
    <w:r w:rsidRPr="001D036C">
      <w:t>v01-00</w:t>
    </w:r>
    <w:r w:rsidRPr="001D036C">
      <w:rPr>
        <w:rStyle w:val="HideTWBExt"/>
      </w:rPr>
      <w:t>&lt;/Version&gt;</w:t>
    </w:r>
    <w:r w:rsidRPr="001D036C">
      <w:tab/>
    </w:r>
    <w:r w:rsidRPr="001D036C">
      <w:fldChar w:fldCharType="begin"/>
    </w:r>
    <w:r w:rsidRPr="001D036C">
      <w:instrText xml:space="preserve"> PAGE  \* MERGEFORMAT </w:instrText>
    </w:r>
    <w:r w:rsidRPr="001D036C">
      <w:fldChar w:fldCharType="separate"/>
    </w:r>
    <w:r w:rsidR="00BC7E48">
      <w:rPr>
        <w:noProof/>
      </w:rPr>
      <w:t>2</w:t>
    </w:r>
    <w:r w:rsidRPr="001D036C">
      <w:fldChar w:fldCharType="end"/>
    </w:r>
    <w:r w:rsidRPr="001D036C">
      <w:t>/</w:t>
    </w:r>
    <w:fldSimple w:instr=" NUMPAGES  \* MERGEFORMAT ">
      <w:r w:rsidR="00BC7E48">
        <w:rPr>
          <w:noProof/>
        </w:rPr>
        <w:t>6</w:t>
      </w:r>
    </w:fldSimple>
    <w:r w:rsidRPr="001D036C">
      <w:tab/>
    </w:r>
    <w:r w:rsidRPr="001D036C">
      <w:rPr>
        <w:rStyle w:val="HideTWBExt"/>
      </w:rPr>
      <w:t>&lt;PathFdR&gt;</w:t>
    </w:r>
    <w:r w:rsidRPr="001D036C">
      <w:t>PR\1288791PL.docx</w:t>
    </w:r>
    <w:r w:rsidRPr="001D036C">
      <w:rPr>
        <w:rStyle w:val="HideTWBExt"/>
      </w:rPr>
      <w:t>&lt;/PathFdR&gt;</w:t>
    </w:r>
  </w:p>
  <w:p w:rsidR="00144AD8" w:rsidRPr="001D036C" w:rsidRDefault="001D036C" w:rsidP="001D036C">
    <w:pPr>
      <w:pStyle w:val="EPFooter2"/>
    </w:pPr>
    <w:r w:rsidRPr="001D036C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036C" w:rsidRPr="001D036C" w:rsidRDefault="001D036C" w:rsidP="001D036C">
    <w:pPr>
      <w:pStyle w:val="EPFooter"/>
    </w:pPr>
    <w:r w:rsidRPr="001D036C">
      <w:rPr>
        <w:rStyle w:val="HideTWBExt"/>
      </w:rPr>
      <w:t>&lt;PathFdR&gt;</w:t>
    </w:r>
    <w:r w:rsidRPr="001D036C">
      <w:t>PR\1288791PL.docx</w:t>
    </w:r>
    <w:r w:rsidRPr="001D036C">
      <w:rPr>
        <w:rStyle w:val="HideTWBExt"/>
      </w:rPr>
      <w:t>&lt;/PathFdR&gt;</w:t>
    </w:r>
    <w:r w:rsidRPr="001D036C">
      <w:tab/>
    </w:r>
    <w:r w:rsidRPr="001D036C">
      <w:fldChar w:fldCharType="begin"/>
    </w:r>
    <w:r w:rsidRPr="001D036C">
      <w:instrText xml:space="preserve"> PAGE  \* MERGEFORMAT </w:instrText>
    </w:r>
    <w:r w:rsidRPr="001D036C">
      <w:fldChar w:fldCharType="separate"/>
    </w:r>
    <w:r w:rsidR="00BC7E48">
      <w:rPr>
        <w:noProof/>
      </w:rPr>
      <w:t>3</w:t>
    </w:r>
    <w:r w:rsidRPr="001D036C">
      <w:fldChar w:fldCharType="end"/>
    </w:r>
    <w:r w:rsidRPr="001D036C">
      <w:t>/</w:t>
    </w:r>
    <w:fldSimple w:instr=" NUMPAGES  \* MERGEFORMAT ">
      <w:r w:rsidR="00BC7E48">
        <w:rPr>
          <w:noProof/>
        </w:rPr>
        <w:t>6</w:t>
      </w:r>
    </w:fldSimple>
    <w:r w:rsidRPr="001D036C">
      <w:tab/>
      <w:t>PE</w:t>
    </w:r>
    <w:r w:rsidRPr="001D036C">
      <w:rPr>
        <w:rStyle w:val="HideTWBExt"/>
      </w:rPr>
      <w:t>&lt;NoPE&gt;</w:t>
    </w:r>
    <w:r w:rsidRPr="001D036C">
      <w:t>754.939</w:t>
    </w:r>
    <w:r w:rsidRPr="001D036C">
      <w:rPr>
        <w:rStyle w:val="HideTWBExt"/>
      </w:rPr>
      <w:t>&lt;/NoPE&gt;&lt;Version&gt;</w:t>
    </w:r>
    <w:r w:rsidRPr="001D036C">
      <w:t>v01-00</w:t>
    </w:r>
    <w:r w:rsidRPr="001D036C">
      <w:rPr>
        <w:rStyle w:val="HideTWBExt"/>
      </w:rPr>
      <w:t>&lt;/Version&gt;</w:t>
    </w:r>
  </w:p>
  <w:p w:rsidR="00144AD8" w:rsidRPr="001D036C" w:rsidRDefault="001D036C" w:rsidP="001D036C">
    <w:pPr>
      <w:pStyle w:val="EPFooter2"/>
    </w:pPr>
    <w:r w:rsidRPr="001D036C">
      <w:tab/>
    </w:r>
    <w:r w:rsidRPr="001D036C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036C" w:rsidRPr="001D036C" w:rsidRDefault="001D036C" w:rsidP="001D036C">
    <w:pPr>
      <w:pStyle w:val="EPFooter"/>
    </w:pPr>
    <w:r w:rsidRPr="001D036C">
      <w:rPr>
        <w:rStyle w:val="HideTWBExt"/>
      </w:rPr>
      <w:t>&lt;PathFdR&gt;</w:t>
    </w:r>
    <w:r w:rsidRPr="001D036C">
      <w:t>PR\1288791PL.docx</w:t>
    </w:r>
    <w:r w:rsidRPr="001D036C">
      <w:rPr>
        <w:rStyle w:val="HideTWBExt"/>
      </w:rPr>
      <w:t>&lt;/PathFdR&gt;</w:t>
    </w:r>
    <w:r w:rsidRPr="001D036C">
      <w:tab/>
    </w:r>
    <w:r w:rsidRPr="001D036C">
      <w:tab/>
      <w:t>PE</w:t>
    </w:r>
    <w:r w:rsidRPr="001D036C">
      <w:rPr>
        <w:rStyle w:val="HideTWBExt"/>
      </w:rPr>
      <w:t>&lt;NoPE&gt;</w:t>
    </w:r>
    <w:r w:rsidRPr="001D036C">
      <w:t>754.939</w:t>
    </w:r>
    <w:r w:rsidRPr="001D036C">
      <w:rPr>
        <w:rStyle w:val="HideTWBExt"/>
      </w:rPr>
      <w:t>&lt;/NoPE&gt;&lt;Version&gt;</w:t>
    </w:r>
    <w:r w:rsidRPr="001D036C">
      <w:t>v01-00</w:t>
    </w:r>
    <w:r w:rsidRPr="001D036C">
      <w:rPr>
        <w:rStyle w:val="HideTWBExt"/>
      </w:rPr>
      <w:t>&lt;/Version&gt;</w:t>
    </w:r>
  </w:p>
  <w:p w:rsidR="00144AD8" w:rsidRPr="001D036C" w:rsidRDefault="001D036C" w:rsidP="001D036C">
    <w:pPr>
      <w:pStyle w:val="EPFooter2"/>
    </w:pPr>
    <w:r w:rsidRPr="001D036C">
      <w:t>PL</w:t>
    </w:r>
    <w:r w:rsidRPr="001D036C">
      <w:tab/>
    </w:r>
    <w:r w:rsidRPr="001D036C">
      <w:rPr>
        <w:b w:val="0"/>
        <w:i/>
        <w:color w:val="C0C0C0"/>
        <w:sz w:val="22"/>
      </w:rPr>
      <w:t>Zjednoczona w różnorodności</w:t>
    </w:r>
    <w:r w:rsidRPr="001D036C">
      <w:tab/>
      <w:t>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01B2" w:rsidRPr="001D036C" w:rsidRDefault="002601B2">
      <w:r w:rsidRPr="001D036C">
        <w:t xml:space="preserve"> </w:t>
      </w:r>
    </w:p>
  </w:footnote>
  <w:footnote w:type="continuationSeparator" w:id="0">
    <w:p w:rsidR="002601B2" w:rsidRPr="001D036C" w:rsidRDefault="002601B2">
      <w:r w:rsidRPr="001D036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7E48" w:rsidRDefault="00BC7E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7E48" w:rsidRDefault="00BC7E4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7E48" w:rsidRDefault="00BC7E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0873E7"/>
    <w:multiLevelType w:val="hybridMultilevel"/>
    <w:tmpl w:val="6D6AF96E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764D65"/>
    <w:multiLevelType w:val="hybridMultilevel"/>
    <w:tmpl w:val="85DCE2F6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46227D4"/>
    <w:multiLevelType w:val="hybridMultilevel"/>
    <w:tmpl w:val="54745AFA"/>
    <w:styleLink w:val="Style1import"/>
    <w:lvl w:ilvl="0" w:tplc="8070DE06">
      <w:start w:val="1"/>
      <w:numFmt w:val="upperLetter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E62F496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90058FA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9F05E38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884BBCC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D9076BE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DF0C0A0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2EA329C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A64D56C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7591117A"/>
    <w:multiLevelType w:val="hybridMultilevel"/>
    <w:tmpl w:val="54745AFA"/>
    <w:numStyleLink w:val="Style1import"/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2"/>
  </w:num>
  <w:num w:numId="42">
    <w:abstractNumId w:val="13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10241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HORMFMNU" w:val=" 2"/>
    <w:docVar w:name="COMKEY" w:val="AFET"/>
    <w:docVar w:name="INSTMNU" w:val=" 7"/>
    <w:docVar w:name="LastEditedSection" w:val=" 1"/>
    <w:docVar w:name="strDocTypeID" w:val="PR_INI_RecommCFSP"/>
    <w:docVar w:name="strSubDir" w:val="1288"/>
    <w:docVar w:name="TXTLANGUE" w:val="FR"/>
    <w:docVar w:name="TXTLANGUEMIN" w:val="fr"/>
    <w:docVar w:name="TXTNRINI" w:val="2023/2052"/>
    <w:docVar w:name="TXTNRPE" w:val="754.939"/>
    <w:docVar w:name="TXTPEorAP" w:val="PE"/>
    <w:docVar w:name="TXTROUTE" w:val="PR\1288791FR.docx"/>
    <w:docVar w:name="TXTTITLE" w:val="la situation en Syrie"/>
    <w:docVar w:name="TXTVERSION" w:val="01-00"/>
  </w:docVars>
  <w:rsids>
    <w:rsidRoot w:val="00F01CD9"/>
    <w:rsid w:val="000005E5"/>
    <w:rsid w:val="00001993"/>
    <w:rsid w:val="00005D56"/>
    <w:rsid w:val="00010437"/>
    <w:rsid w:val="000B080F"/>
    <w:rsid w:val="00141BE7"/>
    <w:rsid w:val="00144AD8"/>
    <w:rsid w:val="001533B4"/>
    <w:rsid w:val="00160F77"/>
    <w:rsid w:val="001A4F7E"/>
    <w:rsid w:val="001B22EB"/>
    <w:rsid w:val="001C1390"/>
    <w:rsid w:val="001D036C"/>
    <w:rsid w:val="001F4A1C"/>
    <w:rsid w:val="00234B03"/>
    <w:rsid w:val="0024591C"/>
    <w:rsid w:val="002601B2"/>
    <w:rsid w:val="00267945"/>
    <w:rsid w:val="002B3D8D"/>
    <w:rsid w:val="002C48CC"/>
    <w:rsid w:val="0032649C"/>
    <w:rsid w:val="00387C58"/>
    <w:rsid w:val="00392F42"/>
    <w:rsid w:val="003D0074"/>
    <w:rsid w:val="003F5567"/>
    <w:rsid w:val="00407AC0"/>
    <w:rsid w:val="00423C14"/>
    <w:rsid w:val="00434A68"/>
    <w:rsid w:val="004725B2"/>
    <w:rsid w:val="004A388E"/>
    <w:rsid w:val="004A5141"/>
    <w:rsid w:val="005577F1"/>
    <w:rsid w:val="00597830"/>
    <w:rsid w:val="005A1CE6"/>
    <w:rsid w:val="0062719E"/>
    <w:rsid w:val="00627DF1"/>
    <w:rsid w:val="00684F6D"/>
    <w:rsid w:val="00686DFF"/>
    <w:rsid w:val="0069495A"/>
    <w:rsid w:val="006B151F"/>
    <w:rsid w:val="006D365C"/>
    <w:rsid w:val="006D4C8E"/>
    <w:rsid w:val="006E363A"/>
    <w:rsid w:val="007018BC"/>
    <w:rsid w:val="007C4764"/>
    <w:rsid w:val="00806E1B"/>
    <w:rsid w:val="0081489C"/>
    <w:rsid w:val="00855A58"/>
    <w:rsid w:val="0086407B"/>
    <w:rsid w:val="00865AB2"/>
    <w:rsid w:val="009062FC"/>
    <w:rsid w:val="009302EC"/>
    <w:rsid w:val="00931782"/>
    <w:rsid w:val="009340AC"/>
    <w:rsid w:val="00984C23"/>
    <w:rsid w:val="009B3734"/>
    <w:rsid w:val="00A01C11"/>
    <w:rsid w:val="00A1263F"/>
    <w:rsid w:val="00A144CA"/>
    <w:rsid w:val="00A22B21"/>
    <w:rsid w:val="00AB251C"/>
    <w:rsid w:val="00AF2187"/>
    <w:rsid w:val="00B10048"/>
    <w:rsid w:val="00B26C55"/>
    <w:rsid w:val="00B6527B"/>
    <w:rsid w:val="00B6642B"/>
    <w:rsid w:val="00B90279"/>
    <w:rsid w:val="00BC7E48"/>
    <w:rsid w:val="00BE7750"/>
    <w:rsid w:val="00C3019B"/>
    <w:rsid w:val="00C47D1A"/>
    <w:rsid w:val="00C7235E"/>
    <w:rsid w:val="00C7360B"/>
    <w:rsid w:val="00CA0DE5"/>
    <w:rsid w:val="00CB2AC0"/>
    <w:rsid w:val="00D349C1"/>
    <w:rsid w:val="00D80481"/>
    <w:rsid w:val="00D860C1"/>
    <w:rsid w:val="00DF7E38"/>
    <w:rsid w:val="00E048E2"/>
    <w:rsid w:val="00E05579"/>
    <w:rsid w:val="00E24484"/>
    <w:rsid w:val="00E26C78"/>
    <w:rsid w:val="00E34F46"/>
    <w:rsid w:val="00E675B4"/>
    <w:rsid w:val="00EA624D"/>
    <w:rsid w:val="00EC481E"/>
    <w:rsid w:val="00F01CD9"/>
    <w:rsid w:val="00F65426"/>
    <w:rsid w:val="00FA7E38"/>
    <w:rsid w:val="00FC504F"/>
    <w:rsid w:val="00FC5F47"/>
    <w:rsid w:val="00FD4651"/>
    <w:rsid w:val="00FE3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5:chartTrackingRefBased/>
  <w15:docId w15:val="{B08CEAA1-5B3B-4CB8-AB49-0357338C3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4B03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A144CA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005D56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9340AC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C47D1A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6E363A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C47D1A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6D4C8E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semiHidden/>
  </w:style>
  <w:style w:type="table" w:styleId="TableGrid">
    <w:name w:val="Table Grid"/>
    <w:basedOn w:val="TableNormal"/>
    <w:rsid w:val="00C723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7235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7235E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7235E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9340AC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9340AC"/>
    <w:pPr>
      <w:jc w:val="right"/>
    </w:pPr>
  </w:style>
  <w:style w:type="paragraph" w:customStyle="1" w:styleId="EPFooter">
    <w:name w:val="EPFooter"/>
    <w:basedOn w:val="Normal"/>
    <w:rsid w:val="00C47D1A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6D4C8E"/>
    <w:rPr>
      <w:sz w:val="24"/>
    </w:rPr>
  </w:style>
  <w:style w:type="paragraph" w:customStyle="1" w:styleId="NormalHangingLeft12a">
    <w:name w:val="NormalHangingLeft12a"/>
    <w:basedOn w:val="Normal"/>
    <w:rsid w:val="00F65426"/>
    <w:pPr>
      <w:spacing w:after="240"/>
      <w:ind w:left="1134" w:hanging="567"/>
    </w:pPr>
  </w:style>
  <w:style w:type="paragraph" w:styleId="Footer">
    <w:name w:val="footer"/>
    <w:basedOn w:val="Normal"/>
    <w:link w:val="FooterChar"/>
    <w:semiHidden/>
    <w:rsid w:val="00EC481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EC481E"/>
    <w:rPr>
      <w:sz w:val="24"/>
      <w:lang w:val="pl-PL"/>
    </w:rPr>
  </w:style>
  <w:style w:type="numbering" w:customStyle="1" w:styleId="Style1import">
    <w:name w:val="Style 1 importé"/>
    <w:rsid w:val="001F4A1C"/>
    <w:pPr>
      <w:numPr>
        <w:numId w:val="41"/>
      </w:numPr>
    </w:pPr>
  </w:style>
  <w:style w:type="paragraph" w:styleId="BalloonText">
    <w:name w:val="Balloon Text"/>
    <w:basedOn w:val="Normal"/>
    <w:link w:val="BalloonTextChar"/>
    <w:semiHidden/>
    <w:unhideWhenUsed/>
    <w:rsid w:val="00B9027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90279"/>
    <w:rPr>
      <w:rFonts w:ascii="Segoe UI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1408</Words>
  <Characters>9280</Characters>
  <Application>Microsoft Office Word</Application>
  <DocSecurity>0</DocSecurity>
  <Lines>171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PR_INI_RecommCFSP</vt:lpstr>
    </vt:vector>
  </TitlesOfParts>
  <Company/>
  <LinksUpToDate>false</LinksUpToDate>
  <CharactersWithSpaces>10621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PR_INI_RecommCFSP</dc:title>
  <dc:subject/>
  <dc:creator>CANART Pascale</dc:creator>
  <cp:keywords/>
  <dc:description/>
  <cp:lastModifiedBy>WIERTLEWSKA Maria</cp:lastModifiedBy>
  <cp:revision>2</cp:revision>
  <cp:lastPrinted>2023-10-25T07:29:00Z</cp:lastPrinted>
  <dcterms:created xsi:type="dcterms:W3CDTF">2023-11-10T08:47:00Z</dcterms:created>
  <dcterms:modified xsi:type="dcterms:W3CDTF">2023-11-10T08:47:00Z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Created with">
    <vt:lpwstr>9.16.1 Build [20230915]</vt:lpwstr>
  </property>
  <property fmtid="{D5CDD505-2E9C-101B-9397-08002B2CF9AE}" pid="4" name="LastEdited with">
    <vt:lpwstr>9.16.1 Build [20230915]</vt:lpwstr>
  </property>
  <property fmtid="{D5CDD505-2E9C-101B-9397-08002B2CF9AE}" pid="5" name="&lt;FdR&gt;">
    <vt:lpwstr>1288791</vt:lpwstr>
  </property>
  <property fmtid="{D5CDD505-2E9C-101B-9397-08002B2CF9AE}" pid="6" name="&lt;Type&gt;">
    <vt:lpwstr>PR</vt:lpwstr>
  </property>
  <property fmtid="{D5CDD505-2E9C-101B-9397-08002B2CF9AE}" pid="7" name="&lt;ModelCod&gt;">
    <vt:lpwstr>\\eiciBRUpr1\pdocep$\DocEP\DOCS\General\PR\PR_NonLeg\INI\PR_INI_RecommCFSP.dotx(19/04/2021 15:59:04)</vt:lpwstr>
  </property>
  <property fmtid="{D5CDD505-2E9C-101B-9397-08002B2CF9AE}" pid="8" name="&lt;ModelTra&gt;">
    <vt:lpwstr>\\eiciBRUpr1\pdocep$\DocEP\TRANSFIL\FR\PR_INI_RecommCFSP.FR(08/11/2019 14:52:07)</vt:lpwstr>
  </property>
  <property fmtid="{D5CDD505-2E9C-101B-9397-08002B2CF9AE}" pid="9" name="&lt;Model&gt;">
    <vt:lpwstr>PR_INI_RecommCFSP</vt:lpwstr>
  </property>
  <property fmtid="{D5CDD505-2E9C-101B-9397-08002B2CF9AE}" pid="10" name="FooterPath">
    <vt:lpwstr>PR\1288791PL.docx</vt:lpwstr>
  </property>
  <property fmtid="{D5CDD505-2E9C-101B-9397-08002B2CF9AE}" pid="11" name="PE number">
    <vt:lpwstr>754.939</vt:lpwstr>
  </property>
  <property fmtid="{D5CDD505-2E9C-101B-9397-08002B2CF9AE}" pid="12" name="SendToEpades">
    <vt:lpwstr>OK - 2023/10/24 14:42</vt:lpwstr>
  </property>
  <property fmtid="{D5CDD505-2E9C-101B-9397-08002B2CF9AE}" pid="13" name="Bookout">
    <vt:lpwstr>OK - 2023/11/10 09:47</vt:lpwstr>
  </property>
  <property fmtid="{D5CDD505-2E9C-101B-9397-08002B2CF9AE}" pid="14" name="SDLStudio">
    <vt:lpwstr/>
  </property>
</Properties>
</file>