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Europos Parlamentas</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AFET</w:t>
      </w:r>
      <w:r>
        <w:rPr>
          <w:rStyle w:val="HideTWBInt"/>
        </w:rPr>
        <w:t>}</w:t>
      </w:r>
      <w:r>
        <w:t>Užsienio reikalų komitetas</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2025/2020</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18/02/2025</w:t>
      </w:r>
      <w:r>
        <w:rPr>
          <w:rStyle w:val="HideTWBInt"/>
        </w:rPr>
        <w:t>}</w:t>
      </w:r>
      <w:r>
        <w:t>18.2.2025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PRANEŠIMO PROJEKTAS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dėl 2023 ir 2024 m. Komisijos ataskaitų dėl Juodkalnijos</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(2025/2020(INI))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AFET</w:t>
      </w:r>
      <w:r>
        <w:rPr>
          <w:rStyle w:val="HideTWBInt"/>
        </w:rPr>
        <w:t>}</w:t>
      </w:r>
      <w:r>
        <w:t>Užsienio reikalų komitetas</w:t>
      </w:r>
      <w:r>
        <w:rPr>
          <w:rStyle w:val="HideTWBExt"/>
        </w:rPr>
        <w:t>&lt;/</w:t>
      </w:r>
      <w:r>
        <w:rPr>
          <w:rStyle w:val="HideTWBExt"/>
        </w:rPr>
        <w:t>Commission</w:t>
      </w:r>
      <w:r>
        <w:rPr>
          <w:rStyle w:val="HideTWBExt"/>
        </w:rPr>
        <w:t>&gt;</w:t>
      </w:r>
    </w:p>
    <w:p>
      <w:pPr>
        <w:pStyle w:val="CoverNormal24a"/>
      </w:pPr>
      <w:r>
        <w:t>Pranešėjas</w:t>
      </w:r>
      <w:r>
        <w:t xml:space="preserve">: </w:t>
      </w:r>
      <w:r>
        <w:rPr>
          <w:rStyle w:val="HideTWBExt"/>
        </w:rPr>
        <w:t>&lt;</w:t>
      </w:r>
      <w:r>
        <w:rPr>
          <w:rStyle w:val="HideTWBExt"/>
        </w:rPr>
        <w:t>Depute</w:t>
      </w:r>
      <w:r>
        <w:rPr>
          <w:rStyle w:val="HideTWBExt"/>
        </w:rPr>
        <w:t>&gt;</w:t>
      </w:r>
      <w:r>
        <w:t>Marjan Šarec</w:t>
      </w:r>
      <w:r>
        <w:rPr>
          <w:rStyle w:val="HideTWBExt"/>
        </w:rPr>
        <w:t>&lt;/</w:t>
      </w:r>
      <w:r>
        <w:rPr>
          <w:rStyle w:val="HideTWBExt"/>
        </w:rPr>
        <w:t>Depute</w:t>
      </w:r>
      <w:r>
        <w:rPr>
          <w:rStyle w:val="HideTWBExt"/>
        </w:rPr>
        <w:t>&gt;</w:t>
      </w:r>
    </w:p>
    <w:p>
      <w:r>
        <w:br w:type="page"/>
      </w:r>
      <w:r>
        <w:t>PR_INI</w:t>
      </w:r>
    </w:p>
    <w:p>
      <w:pPr>
        <w:pStyle w:val="TOCHeading"/>
      </w:pPr>
      <w:r>
        <w:t>TURINYS</w:t>
      </w:r>
    </w:p>
    <w:p>
      <w:pPr>
        <w:pStyle w:val="TOCPage"/>
      </w:pPr>
      <w:r>
        <w:t>Psl.</w:t>
      </w:r>
    </w:p>
    <w:p>
      <w:pPr>
        <w:pStyle w:val="TOC1"/>
        <w:tabs>
          <w:tab w:val="right" w:leader="dot" w:pos="9062"/>
        </w:tabs>
        <w:rPr>
          <w:rFonts w:ascii="Calibri" w:hAnsi="Calibri"/>
          <w:noProof/>
          <w:sz w:val="22"/>
        </w:rPr>
      </w:pPr>
      <w:r>
        <w:fldChar w:fldCharType="begin"/>
      </w:r>
      <w:r>
        <w:instrText>TOC \t "PageHeading"</w:instrText>
      </w:r>
      <w:r>
        <w:fldChar w:fldCharType="separate"/>
      </w:r>
      <w:r>
        <w:t>PASIŪLYMAS DĖL EUROPOS PARLAMENTO REZOLIUCIJOS</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AIŠKINAMOJI DALIS</w:t>
      </w:r>
      <w:r>
        <w:tab/>
      </w:r>
      <w:r>
        <w:fldChar w:fldCharType="begin"/>
      </w:r>
      <w:r>
        <w:instrText xml:space="preserve"> PAGEREF _Toc256000004 \h </w:instrText>
      </w:r>
      <w:r>
        <w:fldChar w:fldCharType="separate"/>
      </w:r>
      <w:r>
        <w:t>9</w:t>
      </w:r>
      <w:r>
        <w:fldChar w:fldCharType="end"/>
      </w:r>
    </w:p>
    <w:p>
      <w:pPr>
        <w:pStyle w:val="TOC1"/>
        <w:tabs>
          <w:tab w:val="right" w:leader="dot" w:pos="9062"/>
        </w:tabs>
        <w:rPr>
          <w:rFonts w:ascii="Calibri" w:hAnsi="Calibri"/>
          <w:noProof/>
          <w:sz w:val="22"/>
        </w:rPr>
      </w:pPr>
      <w:r>
        <w:t>PRIEDAS. SUBJEKTAI ARBA ASMENYS, IŠ KURIŲ PRANEŠĖJAS GAVO INFORMACIJOS</w:t>
      </w:r>
      <w:r>
        <w:tab/>
      </w:r>
      <w:r>
        <w:fldChar w:fldCharType="begin"/>
      </w:r>
      <w:r>
        <w:instrText xml:space="preserve"> PAGEREF _Toc256000005 \h </w:instrText>
      </w:r>
      <w:r>
        <w:fldChar w:fldCharType="separate"/>
      </w:r>
      <w:r>
        <w:t>11</w:t>
      </w:r>
      <w:r>
        <w:fldChar w:fldCharType="end"/>
      </w:r>
    </w:p>
    <w:p>
      <w:pPr>
        <w:pStyle w:val="Normal12b"/>
      </w:pPr>
      <w:r>
        <w:fldChar w:fldCharType="end"/>
      </w:r>
    </w:p>
    <w:p>
      <w:pPr>
        <w:pStyle w:val="CoverNormalLeft"/>
      </w:pPr>
    </w:p>
    <w:p>
      <w:pPr>
        <w:pStyle w:val="PageHeading"/>
      </w:pPr>
      <w:r>
        <w:br w:type="page"/>
      </w:r>
      <w:bookmarkStart w:id="0" w:name="_Toc256000003"/>
      <w:r>
        <w:t>PASIŪLYMAS DĖL EUROPOS PARLAMENTO REZOLIUCIJOS</w:t>
      </w:r>
      <w:bookmarkEnd w:id="0"/>
    </w:p>
    <w:p>
      <w:pPr>
        <w:pStyle w:val="NormalBold"/>
      </w:pPr>
      <w:r>
        <w:t>dėl 2023 ir 2024 m. Komisijos ataskaitų dėl Juodkalnijos</w:t>
      </w:r>
    </w:p>
    <w:p>
      <w:pPr>
        <w:pStyle w:val="NormalBold"/>
      </w:pPr>
      <w:r>
        <w:t>(2025/2020(INI))</w:t>
      </w:r>
    </w:p>
    <w:p>
      <w:pPr>
        <w:pStyle w:val="EPComma"/>
      </w:pPr>
      <w:r>
        <w:rPr>
          <w:rStyle w:val="Italic"/>
        </w:rPr>
        <w:t>Europos Parlamentas</w:t>
      </w:r>
      <w:r>
        <w:t>,</w:t>
      </w:r>
    </w:p>
    <w:p>
      <w:pPr>
        <w:pStyle w:val="NormalHanging12a"/>
      </w:pPr>
      <w:r>
        <w:t>–</w:t>
      </w:r>
      <w:r>
        <w:tab/>
      </w:r>
      <w:r>
        <w:t>atsižvelgdamas į Europos Bendrijų bei jų valstybių narių ir Juodkalnijos Respublikos stabilizacijos ir asociacijos susitarimą</w:t>
      </w:r>
      <w:r>
        <w:rPr>
          <w:rStyle w:val="FootnoteReference"/>
        </w:rPr>
        <w:footnoteReference w:id="2"/>
      </w:r>
      <w:r>
        <w:t>, kuris įsigaliojo 2010 m. gegužės 1 d.,</w:t>
      </w:r>
    </w:p>
    <w:p>
      <w:pPr>
        <w:pStyle w:val="NormalHanging12a"/>
      </w:pPr>
      <w:r>
        <w:t>–</w:t>
      </w:r>
      <w:r>
        <w:tab/>
      </w:r>
      <w:r>
        <w:t>atsižvelgdamas į 2008 m. gruodžio 15 d. Juodkalnijos narystės Europos Sąjungoje prašymą,</w:t>
      </w:r>
    </w:p>
    <w:p>
      <w:pPr>
        <w:pStyle w:val="NormalHanging12a"/>
      </w:pPr>
      <w:r>
        <w:t>–</w:t>
      </w:r>
      <w:r>
        <w:tab/>
      </w:r>
      <w:r>
        <w:t>atsižvelgdamas į 2010 m. lapkričio 9 d. Komisijos nuomonę dėl Juodkalnijos narystės Europos Sąjungoje prašymo (</w:t>
      </w:r>
      <w:hyperlink r:id="rId6" w:history="1">
        <w:r>
          <w:rPr>
            <w:rStyle w:val="Hyperlink"/>
          </w:rPr>
          <w:t>COM(2010)0670</w:t>
        </w:r>
      </w:hyperlink>
      <w:r>
        <w:rPr>
          <w:rStyle w:val="DefaultParagraphFont"/>
          <w:b w:val="0"/>
          <w:i w:val="0"/>
          <w:u w:val="none"/>
        </w:rPr>
        <w:t xml:space="preserve">), 2010 m. gruodžio 16–17 d. </w:t>
      </w:r>
      <w:r>
        <w:rPr>
          <w:rStyle w:val="DefaultParagraphFont"/>
          <w:b w:val="0"/>
          <w:i w:val="0"/>
          <w:u w:val="none"/>
        </w:rPr>
        <w:t>Europos Vadovų Tarybos</w:t>
      </w:r>
      <w:r>
        <w:rPr>
          <w:rStyle w:val="DefaultParagraphFont"/>
          <w:b w:val="0"/>
          <w:i w:val="0"/>
          <w:u w:val="none"/>
        </w:rPr>
        <w:t xml:space="preserve"> sprendimą suteikti Juodkalnijai šalies kandidatės statusą ir 2012 m. birželio 29 d. </w:t>
      </w:r>
      <w:r>
        <w:rPr>
          <w:rStyle w:val="DefaultParagraphFont"/>
          <w:b w:val="0"/>
          <w:i w:val="0"/>
          <w:u w:val="none"/>
        </w:rPr>
        <w:t>Europos Vadovų Tarybos</w:t>
      </w:r>
      <w:r>
        <w:rPr>
          <w:rStyle w:val="DefaultParagraphFont"/>
          <w:b w:val="0"/>
          <w:i w:val="0"/>
          <w:u w:val="none"/>
        </w:rPr>
        <w:t xml:space="preserve"> sprendimą pradėti derybas su Juodkalnija dėl stojimo į ES,</w:t>
      </w:r>
    </w:p>
    <w:p>
      <w:pPr>
        <w:pStyle w:val="NormalHanging12a"/>
      </w:pPr>
      <w:r>
        <w:t>–</w:t>
      </w:r>
      <w:r>
        <w:tab/>
      </w:r>
      <w:r>
        <w:t xml:space="preserve">atsižvelgdamas į 2021 m. rugsėjo 15 d. </w:t>
      </w:r>
      <w:r>
        <w:t>Europos Parlamento</w:t>
      </w:r>
      <w:r>
        <w:t xml:space="preserve"> ir Tarybos reglamentą (ES) 2021/1529, kuriuo nustatoma Pasirengimo narystei paramos priemonė (PNPP III)</w:t>
      </w:r>
      <w:r>
        <w:rPr>
          <w:rStyle w:val="FootnoteReference"/>
        </w:rPr>
        <w:footnoteReference w:id="3"/>
      </w:r>
      <w:r>
        <w:t>,</w:t>
      </w:r>
    </w:p>
    <w:p>
      <w:pPr>
        <w:pStyle w:val="NormalHanging12a"/>
      </w:pPr>
      <w:r>
        <w:t>–</w:t>
      </w:r>
      <w:r>
        <w:tab/>
      </w:r>
      <w:r>
        <w:t xml:space="preserve">atsižvelgdamas į 2024 m. gegužės 14 d. </w:t>
      </w:r>
      <w:r>
        <w:t>Europos Parlamento</w:t>
      </w:r>
      <w:r>
        <w:t xml:space="preserve"> ir Tarybos reglamentą (ES) 2024/1449, kuriuo nustatoma Vakarų Balkanų reformų ir ekonomikos augimo priemonė</w:t>
      </w:r>
      <w:r>
        <w:rPr>
          <w:rStyle w:val="FootnoteReference"/>
        </w:rPr>
        <w:footnoteReference w:id="4"/>
      </w:r>
      <w:r>
        <w:t>,</w:t>
      </w:r>
    </w:p>
    <w:p>
      <w:pPr>
        <w:pStyle w:val="NormalHanging12a"/>
      </w:pPr>
      <w:r>
        <w:t>–</w:t>
      </w:r>
      <w:r>
        <w:tab/>
      </w:r>
      <w:r>
        <w:t xml:space="preserve">atsižvelgdamas į 2003 m. birželio 19–20 d. Salonikuose vykusio </w:t>
      </w:r>
      <w:r>
        <w:t>Europos Vadovų Tarybos</w:t>
      </w:r>
      <w:r>
        <w:t xml:space="preserve"> susitikimo išvadas, pateiktas ES Tarybai pirmininkavusios valstybės narės,</w:t>
      </w:r>
    </w:p>
    <w:p>
      <w:pPr>
        <w:pStyle w:val="NormalHanging12a"/>
      </w:pPr>
      <w:r>
        <w:t>–</w:t>
      </w:r>
      <w:r>
        <w:tab/>
      </w:r>
      <w:r>
        <w:t>atsižvelgdamas į 2023 m. gruodžio 13 d. Briuselyje ir 2024 m. gruodžio 18 d. Briuselyje vykusių ES ir Vakarų Balkanų aukščiausiojo lygio susitikimų deklaracijas,</w:t>
      </w:r>
    </w:p>
    <w:p>
      <w:pPr>
        <w:pStyle w:val="NormalHanging12a"/>
      </w:pPr>
      <w:r>
        <w:t>–</w:t>
      </w:r>
      <w:r>
        <w:tab/>
      </w:r>
      <w:r>
        <w:t xml:space="preserve">atsižvelgdamas į 2014 m. rugpjūčio 28 d. pradėtą </w:t>
      </w:r>
      <w:r>
        <w:t>Berlyno</w:t>
      </w:r>
      <w:r>
        <w:t xml:space="preserve"> procesą,</w:t>
      </w:r>
    </w:p>
    <w:p>
      <w:pPr>
        <w:pStyle w:val="NormalHanging12a"/>
      </w:pPr>
      <w:r>
        <w:t>–</w:t>
      </w:r>
      <w:r>
        <w:tab/>
      </w:r>
      <w:r>
        <w:t>atsižvelgdamas į 2020 m. spalio 6 d. Komisijos komunikatą „Vakarų Balkanų ekonomikos ir investicijų planas“ (</w:t>
      </w:r>
      <w:hyperlink r:id="rId7" w:history="1">
        <w:r>
          <w:rPr>
            <w:rStyle w:val="Hyperlink"/>
          </w:rPr>
          <w:t>COM(2020)0641</w:t>
        </w:r>
      </w:hyperlink>
      <w:r>
        <w:rPr>
          <w:rStyle w:val="DefaultParagraphFont"/>
          <w:b w:val="0"/>
          <w:i w:val="0"/>
          <w:u w:val="none"/>
        </w:rPr>
        <w:t>),</w:t>
      </w:r>
    </w:p>
    <w:p>
      <w:pPr>
        <w:pStyle w:val="NormalHanging12a"/>
      </w:pPr>
      <w:r>
        <w:t>–</w:t>
      </w:r>
      <w:r>
        <w:tab/>
      </w:r>
      <w:r>
        <w:t>atsižvelgdamas į 2023 m. lapkričio 8 d. Komisijos komunikatą „2023 m. komunikatas dėl ES plėtros politikos“ (</w:t>
      </w:r>
      <w:hyperlink r:id="rId8" w:history="1">
        <w:r>
          <w:rPr>
            <w:rStyle w:val="Hyperlink"/>
          </w:rPr>
          <w:t>COM(2023)0690</w:t>
        </w:r>
      </w:hyperlink>
      <w:r>
        <w:rPr>
          <w:rStyle w:val="DefaultParagraphFont"/>
          <w:b w:val="0"/>
          <w:i w:val="0"/>
          <w:u w:val="none"/>
        </w:rPr>
        <w:t>) ir prie jo pridėtą Komisijos tarnybų darbinį dokumentą „2023 m. ataskaita dėl Juodkalnijos“ (</w:t>
      </w:r>
      <w:hyperlink r:id="rId9" w:history="1">
        <w:r>
          <w:rPr>
            <w:rStyle w:val="Hyperlink"/>
            <w:b w:val="0"/>
            <w:i w:val="0"/>
            <w:u w:val="none"/>
          </w:rPr>
          <w:t>SWD(2023)0694</w:t>
        </w:r>
      </w:hyperlink>
      <w:r>
        <w:rPr>
          <w:rStyle w:val="DefaultParagraphFont"/>
          <w:b w:val="0"/>
          <w:i w:val="0"/>
          <w:u w:val="none"/>
        </w:rPr>
        <w:t>),</w:t>
      </w:r>
    </w:p>
    <w:p>
      <w:pPr>
        <w:pStyle w:val="NormalHanging12a"/>
      </w:pPr>
      <w:r>
        <w:t>–</w:t>
      </w:r>
      <w:r>
        <w:tab/>
      </w:r>
      <w:r>
        <w:t>atsižvelgdamas į 2023 m. lapkričio 8 d. Komisijos komunikatą „Naujas Vakarų Balkanų ekonomikos augimo planas“ (</w:t>
      </w:r>
      <w:hyperlink r:id="rId10" w:history="1">
        <w:r>
          <w:rPr>
            <w:rStyle w:val="Hyperlink"/>
          </w:rPr>
          <w:t>COM(2023)0691</w:t>
        </w:r>
      </w:hyperlink>
      <w:r>
        <w:rPr>
          <w:rStyle w:val="DefaultParagraphFont"/>
          <w:b w:val="0"/>
          <w:i w:val="0"/>
          <w:u w:val="none"/>
        </w:rPr>
        <w:t>),</w:t>
      </w:r>
    </w:p>
    <w:p>
      <w:pPr>
        <w:pStyle w:val="NormalHanging12a"/>
      </w:pPr>
      <w:r>
        <w:t>–</w:t>
      </w:r>
      <w:r>
        <w:tab/>
      </w:r>
      <w:r>
        <w:t>atsižvelgdamas į 2024 m. kovo 20 d. Komisijos komunikatą dėl plėtrai pasirengti skirtų reformų ir politikos peržiūrų (</w:t>
      </w:r>
      <w:hyperlink r:id="rId11" w:history="1">
        <w:r>
          <w:rPr>
            <w:rStyle w:val="Hyperlink"/>
          </w:rPr>
          <w:t>COM(2024)0146</w:t>
        </w:r>
      </w:hyperlink>
      <w:r>
        <w:rPr>
          <w:rStyle w:val="DefaultParagraphFont"/>
          <w:b w:val="0"/>
          <w:i w:val="0"/>
          <w:u w:val="none"/>
        </w:rPr>
        <w:t>),</w:t>
      </w:r>
    </w:p>
    <w:p>
      <w:pPr>
        <w:pStyle w:val="NormalHanging12a"/>
      </w:pPr>
      <w:r>
        <w:t>–</w:t>
      </w:r>
      <w:r>
        <w:tab/>
      </w:r>
      <w:r>
        <w:t>atsižvelgdamas į 2024 m. liepos 24 d. Komisijos komunikatą „2024 m. teisinės valstybės principo taikymo ataskaita“ (</w:t>
      </w:r>
      <w:hyperlink r:id="rId12" w:history="1">
        <w:r>
          <w:rPr>
            <w:rStyle w:val="Hyperlink"/>
          </w:rPr>
          <w:t>COM(2024)0800</w:t>
        </w:r>
      </w:hyperlink>
      <w:r>
        <w:rPr>
          <w:rStyle w:val="DefaultParagraphFont"/>
          <w:b w:val="0"/>
          <w:i w:val="0"/>
          <w:u w:val="none"/>
        </w:rPr>
        <w:t>) ir prie jo pridėtą Komisijos tarnybų darbinį dokumentą „2024 m. teisinės valstybės principo taikymo ataskaita. Teisinės valstybės padėtis Europos Sąjungoje. Šalies skyrius: teisinės valstybės principo taikymo padėtis Juodkalnijoje“ (</w:t>
      </w:r>
      <w:hyperlink r:id="rId13" w:history="1">
        <w:r>
          <w:rPr>
            <w:rStyle w:val="Hyperlink"/>
            <w:b w:val="0"/>
            <w:i w:val="0"/>
            <w:u w:val="none"/>
          </w:rPr>
          <w:t>SWD(2024)0829</w:t>
        </w:r>
      </w:hyperlink>
      <w:r>
        <w:rPr>
          <w:rStyle w:val="DefaultParagraphFont"/>
          <w:b w:val="0"/>
          <w:i w:val="0"/>
          <w:u w:val="none"/>
        </w:rPr>
        <w:t>),</w:t>
      </w:r>
    </w:p>
    <w:p>
      <w:pPr>
        <w:pStyle w:val="NormalHanging12a"/>
      </w:pPr>
      <w:r>
        <w:t>–</w:t>
      </w:r>
      <w:r>
        <w:tab/>
      </w:r>
      <w:r>
        <w:t>atsižvelgdamas į 2024 m. spalio 30 d. Komisijos komunikatą „2024 m. komunikatas dėl ES plėtros politikos“ (</w:t>
      </w:r>
      <w:hyperlink r:id="rId14" w:history="1">
        <w:r>
          <w:rPr>
            <w:rStyle w:val="Hyperlink"/>
          </w:rPr>
          <w:t>COM(2024)0690</w:t>
        </w:r>
      </w:hyperlink>
      <w:r>
        <w:rPr>
          <w:rStyle w:val="DefaultParagraphFont"/>
          <w:b w:val="0"/>
          <w:i w:val="0"/>
          <w:u w:val="none"/>
        </w:rPr>
        <w:t>) ir prie jo pridėtą Komisijos tarnybų darbinį dokumentą „2024 m. ataskaita dėl Juodkalnijos“ (</w:t>
      </w:r>
      <w:hyperlink r:id="rId15" w:history="1">
        <w:r>
          <w:rPr>
            <w:rStyle w:val="Hyperlink"/>
            <w:b w:val="0"/>
            <w:i w:val="0"/>
            <w:u w:val="none"/>
          </w:rPr>
          <w:t>SWD(2024)0694</w:t>
        </w:r>
      </w:hyperlink>
      <w:r>
        <w:rPr>
          <w:rStyle w:val="DefaultParagraphFont"/>
          <w:b w:val="0"/>
          <w:i w:val="0"/>
          <w:u w:val="none"/>
        </w:rPr>
        <w:t>),</w:t>
      </w:r>
    </w:p>
    <w:p>
      <w:pPr>
        <w:pStyle w:val="NormalHanging12a"/>
      </w:pPr>
      <w:r>
        <w:t>–</w:t>
      </w:r>
      <w:r>
        <w:tab/>
      </w:r>
      <w:r>
        <w:t>atsižvelgdamas į 2023 m. gegužės 31 d. ir 2024 m. birželio 13 d. Komisijos atliktą Juodkalnijos ekonominių reformų programos apžvalgą ir šalių vertinimus, taip pat į 2023 m. gegužės 16 d. Tarybos priimtas ES, Vakarų Balkanų ir Turkijos dialogo ekonomikos ir finansų klausimais bendras išvadas ir 2024 m. gegužės 14 d. Tarybos priimtas ES, Vakarų Balkanų partnerių ir Turkijos, Sakartvelo, Moldovos Respublikos ir Ukrainos dialogo ekonomikos ir finansų klausimais bendras išvadas,</w:t>
      </w:r>
    </w:p>
    <w:p>
      <w:pPr>
        <w:pStyle w:val="NormalHanging12a"/>
      </w:pPr>
      <w:r>
        <w:t>–</w:t>
      </w:r>
      <w:r>
        <w:tab/>
      </w:r>
      <w:r>
        <w:t>atsižvelgdamas į 2021 m. birželio 22 d., 2021 m. gruodžio 13 d., 2024 m. sausio 29 d., 2024 m. birželio 26 d. ir 2024 m. gruodžio 16 d. ES ir Juodkalnijos tarpvyriausybines stojimo konferencijas,</w:t>
      </w:r>
    </w:p>
    <w:p>
      <w:pPr>
        <w:pStyle w:val="NormalHanging12a"/>
      </w:pPr>
      <w:r>
        <w:t>–</w:t>
      </w:r>
      <w:r>
        <w:tab/>
      </w:r>
      <w:r>
        <w:t>atsižvelgdamas į 2022 m. liepos 14 d. vykusį vienuoliktąjį ES ir Juodkalnijos stabilizacijos ir asociacijos tarybos posėdį,</w:t>
      </w:r>
    </w:p>
    <w:p>
      <w:pPr>
        <w:pStyle w:val="NormalHanging12a"/>
      </w:pPr>
      <w:r>
        <w:t>–</w:t>
      </w:r>
      <w:r>
        <w:tab/>
      </w:r>
      <w:r>
        <w:t>atsižvelgdamas į 2024 m. spalio 31 d. ir lapkričio 1 d. vykusiame ES ir Juodkalnijos stabilizacijos ir asociacijos parlamentinio komiteto 22-ajame posėdyje priimtą pareiškimą ir rekomendacijas,</w:t>
      </w:r>
    </w:p>
    <w:p>
      <w:pPr>
        <w:pStyle w:val="NormalHanging12a"/>
      </w:pPr>
      <w:r>
        <w:t>–</w:t>
      </w:r>
      <w:r>
        <w:tab/>
      </w:r>
      <w:r>
        <w:t>atsižvelgdamas į tai, kad 2017 m. birželio 5 d. Juodkalnija įstojo į NATO,</w:t>
      </w:r>
    </w:p>
    <w:p>
      <w:pPr>
        <w:pStyle w:val="NormalHanging12a"/>
      </w:pPr>
      <w:r>
        <w:t>–</w:t>
      </w:r>
      <w:r>
        <w:tab/>
      </w:r>
      <w:r>
        <w:t xml:space="preserve">atsižvelgdamas į 2022 m. sausio 10 d. </w:t>
      </w:r>
      <w:r>
        <w:t>Europos Audito Rūmų</w:t>
      </w:r>
      <w:r>
        <w:t xml:space="preserve"> specialiąją ataskaitą Nr. 01/2022 „ES parama teisinei valstybei Vakarų Balkanuose: nepaisant pastangų, esminės problemos neišspręstos“,</w:t>
      </w:r>
    </w:p>
    <w:p>
      <w:pPr>
        <w:pStyle w:val="NormalHanging12a"/>
      </w:pPr>
      <w:r>
        <w:t>–</w:t>
      </w:r>
      <w:r>
        <w:tab/>
      </w:r>
      <w:r>
        <w:t>atsižvelgdamas į 2022 m. lapkričio 23 d. rekomendaciją Tarybai, Komisijai ir Komisijos pirmininko pavaduotojui ir Sąjungos vyriausiajam įgaliotiniui užsienio reikalams ir saugumo politikai dėl naujos ES plėtros strategijos</w:t>
      </w:r>
      <w:r>
        <w:rPr>
          <w:rStyle w:val="FootnoteReference"/>
        </w:rPr>
        <w:footnoteReference w:id="5"/>
      </w:r>
      <w:r>
        <w:t>,</w:t>
      </w:r>
    </w:p>
    <w:p>
      <w:pPr>
        <w:pStyle w:val="NormalHanging12a"/>
      </w:pPr>
      <w:r>
        <w:t>–</w:t>
      </w:r>
      <w:r>
        <w:tab/>
      </w:r>
      <w:r>
        <w:t>atsižvelgdamas į savo ankstesnes rezoliucijas dėl Juodkalnijos,</w:t>
      </w:r>
    </w:p>
    <w:p>
      <w:pPr>
        <w:pStyle w:val="NormalHanging12a"/>
      </w:pPr>
      <w:r>
        <w:t>–</w:t>
      </w:r>
      <w:r>
        <w:tab/>
      </w:r>
      <w:r>
        <w:t>atsižvelgdamas į Darbo tvarkos taisyklių 55 straipsnį,</w:t>
      </w:r>
    </w:p>
    <w:p>
      <w:pPr>
        <w:pStyle w:val="NormalHanging12a"/>
      </w:pPr>
      <w:r>
        <w:t>–</w:t>
      </w:r>
      <w:r>
        <w:tab/>
      </w:r>
      <w:r>
        <w:t>atsižvelgdamas į Užsienio reikalų komiteto pranešimą (A10-0000/2025),</w:t>
      </w:r>
    </w:p>
    <w:p>
      <w:pPr>
        <w:pStyle w:val="NormalHanging12a"/>
      </w:pPr>
      <w:r>
        <w:t>A.</w:t>
      </w:r>
      <w:r>
        <w:tab/>
      </w:r>
      <w:r>
        <w:t>kadangi plėtra yra viena iš pagrindinių ES užsienio politikos priemonių ir strateginės geopolitinės investicijos į taiką, stabilumą, saugumą ir gerovę;</w:t>
      </w:r>
    </w:p>
    <w:p>
      <w:pPr>
        <w:pStyle w:val="NormalHanging12a"/>
      </w:pPr>
      <w:r>
        <w:t>B.</w:t>
      </w:r>
      <w:r>
        <w:tab/>
      </w:r>
      <w:r>
        <w:t>kadangi kiekviena šalis vertinama pagal nuopelnus;</w:t>
      </w:r>
    </w:p>
    <w:p>
      <w:pPr>
        <w:pStyle w:val="NormalHanging12a"/>
      </w:pPr>
      <w:r>
        <w:t>C.</w:t>
      </w:r>
      <w:r>
        <w:tab/>
      </w:r>
      <w:r>
        <w:t>kadangi Juodkalnija yra padariusi didžiausią pažangą stojimo procese ir šį procesą labai palaiko visuomenė;</w:t>
      </w:r>
    </w:p>
    <w:p>
      <w:pPr>
        <w:pStyle w:val="Normal12a24b"/>
      </w:pPr>
      <w:r>
        <w:rPr>
          <w:rStyle w:val="BoldItalic"/>
        </w:rPr>
        <w:t>Įsipareigojimas siekti narystės ES</w:t>
      </w:r>
    </w:p>
    <w:p>
      <w:pPr>
        <w:pStyle w:val="NormalHanging12a"/>
      </w:pPr>
      <w:r>
        <w:t>1.</w:t>
      </w:r>
      <w:r>
        <w:tab/>
      </w:r>
      <w:r>
        <w:t>pripažįsta tvirtą Juodkalnijos įsipareigojimą siekti narystės ES ir patvirtina, kad visapusiškai remia būsimą šios šalies narystę ES;</w:t>
      </w:r>
    </w:p>
    <w:p>
      <w:pPr>
        <w:pStyle w:val="NormalHanging12a"/>
      </w:pPr>
      <w:r>
        <w:t>2.</w:t>
      </w:r>
      <w:r>
        <w:tab/>
      </w:r>
      <w:r>
        <w:t>palankiai vertina teigiamą Juodkalnijos pažangą įgyvendinant su ES susijusias reformas ir priemones, grindžiamas plataus užmojo tvarkaraščiu ir bendromis politinių veikėjų, pilietinės visuomenės ir piliečių pastangomis; džiaugiasi tuo, kad Juodkalniją įvykdė 23 ir 24 skyrių tarpinius kriterijus ir gavo teigiamą tarpinių kriterijų įvertinimo ataskaitą; palankiai vertina tai, kad uždaryti dar trys derybų skyriai, iš viso dabar uždaryti šeši;</w:t>
      </w:r>
    </w:p>
    <w:p>
      <w:pPr>
        <w:pStyle w:val="NormalHanging12a"/>
      </w:pPr>
      <w:r>
        <w:t>3.</w:t>
      </w:r>
      <w:r>
        <w:tab/>
      </w:r>
      <w:r>
        <w:t>skatina visus politinius veikėjus ir toliau daugiausia dėmesio skirti integracijai į ES ir reikalingoms reformoms; pabrėžia, kad, siekiant uždaryti papildomus skyrius, reikia politinio stabilumo, įsipareigojimo ir konstruktyvaus visų partijų dalyvavimo; pabrėžia, kad patvirtintos reformos turi būti veiksmingai įgyvendinamos siekiant užtikrinti tikrą pažangą;</w:t>
      </w:r>
    </w:p>
    <w:p>
      <w:pPr>
        <w:pStyle w:val="NormalHanging12a"/>
      </w:pPr>
      <w:r>
        <w:t>4.</w:t>
      </w:r>
      <w:r>
        <w:tab/>
      </w:r>
      <w:r>
        <w:t>palankiai vertina nuolatinį ir visapusišką Juodkalnijos pozicijos suderinimą su ES bendra užsienio ir saugumo politika, įskaitant ES ribojamąsias priemones, tarp jų visas sankcijas, susijusias su Rusijos agresijos karu prieš Ukrainą; skatina Juodkalniją stiprinti ribojamųjų priemonių vykdymo užtikrinimą ir vengti jų apėjimo;</w:t>
      </w:r>
    </w:p>
    <w:p>
      <w:pPr>
        <w:pStyle w:val="NormalHanging12a"/>
      </w:pPr>
      <w:r>
        <w:t>5.</w:t>
      </w:r>
      <w:r>
        <w:tab/>
      </w:r>
      <w:r>
        <w:t>sveikina Juodkalniją už jos humanitarinę ir materialinę paramą Ukrainai; primena, kad Juodkalnija priima daug Ukrainos pabėgėlių;</w:t>
      </w:r>
    </w:p>
    <w:p>
      <w:pPr>
        <w:pStyle w:val="NormalHanging12a"/>
      </w:pPr>
      <w:r>
        <w:t>6.</w:t>
      </w:r>
      <w:r>
        <w:tab/>
      </w:r>
      <w:r>
        <w:t>tebėra labai susirūpinęs dėl piktavališko užsienio šalių kišimosi, destabilizavimo pastangų, hibridinių grėsmių ir dezinformacijos kampanijų, kurias vykdo trečiųjų šalių subjektai, ir primygtinai ragina Juodkalniją bendradarbiaujant su ES ir NATO patvirtinti atsakomąsias priemones; primygtinai ragina ES ir Juodkalnijos valdžios institucijas stiprinti Juodkalnijos piliečiams skirtą strateginę komunikaciją apie plėtros proceso ir narystės ES naudą;</w:t>
      </w:r>
    </w:p>
    <w:p>
      <w:pPr>
        <w:pStyle w:val="NormalHanging12a"/>
      </w:pPr>
      <w:r>
        <w:t>7.</w:t>
      </w:r>
      <w:r>
        <w:tab/>
      </w:r>
      <w:r>
        <w:t>palankiai vertina atnaujintą Juodkalnijos parlamento dalyvavimą Stabilizacijos ir asociacijos parlamentiniame komitete;</w:t>
      </w:r>
    </w:p>
    <w:p>
      <w:pPr>
        <w:pStyle w:val="Normal12a24b"/>
      </w:pPr>
      <w:r>
        <w:rPr>
          <w:rStyle w:val="BoldItalic"/>
        </w:rPr>
        <w:t>Demokratija ir teisinė valstybė</w:t>
      </w:r>
    </w:p>
    <w:p>
      <w:pPr>
        <w:pStyle w:val="NormalHanging12a"/>
      </w:pPr>
      <w:r>
        <w:t>8.</w:t>
      </w:r>
      <w:r>
        <w:tab/>
      </w:r>
      <w:r>
        <w:t>pripažįsta, kad Juodkalnijos parlamentas atlieka esminį vaidmenį stojimo procese; susirūpinęs atkreipia dėmesį į politinius boikotus ir blokadas, taip pat į vėl kylančią įtampą ir etninę poliarizaciją; ragina vesti konstruktyvų dialogą ir siekti konsensuso visose politinėse partijose, pirmenybę teikiant teisėkūros kokybei; primygtinai ragina priimant sprendimus rengti įtraukias ir skaidrias viešas konsultacijas ir reguliariai bendradarbiauti su pilietine visuomene;</w:t>
      </w:r>
    </w:p>
    <w:p>
      <w:pPr>
        <w:pStyle w:val="NormalHanging12a"/>
      </w:pPr>
      <w:r>
        <w:t>9.</w:t>
      </w:r>
      <w:r>
        <w:tab/>
      </w:r>
      <w:r>
        <w:t>ragina Juodkalniją visiškai suderinti savo rinkimų teisės aktus su ES standartais ir įgyvendinti Europos saugumo ir bendradarbiavimo organizacijos Demokratinių institucijų ir žmogaus teisių biuro rekomendacijas</w:t>
      </w:r>
      <w:r>
        <w:rPr>
          <w:rStyle w:val="FootnoteReference"/>
        </w:rPr>
        <w:footnoteReference w:id="6"/>
      </w:r>
      <w:r>
        <w:t>; primygtinai ragina Juodkalniją didinti politinių partijų išlaidų skaidrumą ir priežiūrą ir, remiantis ES standartais, užkirsti kelią piktnaudžiavimui valstybės ištekliais;</w:t>
      </w:r>
    </w:p>
    <w:p>
      <w:pPr>
        <w:pStyle w:val="NormalHanging12a"/>
      </w:pPr>
      <w:r>
        <w:t>10.</w:t>
      </w:r>
      <w:r>
        <w:tab/>
      </w:r>
      <w:r>
        <w:t>ragina Juodkalnijos valdžios institucijas visoje šalyje nustatyti vieną vietos savivaldos rinkimų dieną, kad būtų padidintas valdymo veiksmingumas, sumažinta politinė įtampa ir sustiprintas savivaldybių ir valstybės institucijų stabilumas ir veiksmingumas;</w:t>
      </w:r>
    </w:p>
    <w:p>
      <w:pPr>
        <w:pStyle w:val="NormalHanging12a"/>
      </w:pPr>
      <w:r>
        <w:t>11.</w:t>
      </w:r>
      <w:r>
        <w:tab/>
      </w:r>
      <w:r>
        <w:t>pabrėžia profesionalios, nuopelnais grindžiamos ir skaidrios valstybės tarnybos svarbą; ragina Juodkalniją iš dalies pakeisti ir įgyvendinti atitinkamus teisės aktus;</w:t>
      </w:r>
    </w:p>
    <w:p>
      <w:pPr>
        <w:pStyle w:val="NormalHanging12a"/>
      </w:pPr>
      <w:r>
        <w:t>12.</w:t>
      </w:r>
      <w:r>
        <w:tab/>
      </w:r>
      <w:r>
        <w:t>palankiai vertina tai, kad Juodkalnija įtraukta į Komisijos 2024 m. teisinės valstybės principo taikymo ataskaitą;</w:t>
      </w:r>
    </w:p>
    <w:p>
      <w:pPr>
        <w:pStyle w:val="NormalHanging12a"/>
      </w:pPr>
      <w:r>
        <w:t>13.</w:t>
      </w:r>
      <w:r>
        <w:tab/>
      </w:r>
      <w:r>
        <w:t>palankiai vertina pažangą, pasiektą įgyvendinant pagrindines teismų reformas, priimant naują strateginę programą ir užbaigiant ilgai trunkančius teisėjų paskyrimus;</w:t>
      </w:r>
    </w:p>
    <w:p>
      <w:pPr>
        <w:pStyle w:val="NormalHanging12a"/>
      </w:pPr>
      <w:r>
        <w:t>14.</w:t>
      </w:r>
      <w:r>
        <w:tab/>
      </w:r>
      <w:r>
        <w:t>primygtinai ragina Juodkalniją toliau derinti savo teisės aktus, įskaitant Konstituciją, su ES teisės aktais ir standartais dėl teisminių institucijų nepriklausomumo, atskaitomybės, nešališkumo, sąžiningumo ir profesionalumo, įgyvendinti likusias tarptautines rekomendacijas ir pagal Europos standartus nustatyti teisėjų ir prokurorų išėjimo į pensiją kriterijus;</w:t>
      </w:r>
    </w:p>
    <w:p>
      <w:pPr>
        <w:pStyle w:val="NormalHanging12a"/>
      </w:pPr>
      <w:r>
        <w:t>15.</w:t>
      </w:r>
      <w:r>
        <w:tab/>
      </w:r>
      <w:r>
        <w:t xml:space="preserve">atkreipia dėmesį į veiksmus, kurių buvo imtasi kovojant su korupcija, įskaitant naujus įstatymus ir kitus teisės aktus dėl informatorių apsaugos; ragina Juodkalniją toliau derinti teisės aktus su ES </w:t>
      </w:r>
      <w:r>
        <w:rPr>
          <w:rStyle w:val="Italic"/>
        </w:rPr>
        <w:t>acquis</w:t>
      </w:r>
      <w:r>
        <w:t xml:space="preserve"> ir ES standartais ir imtis veiksmų dėl Komisijos, Venecijos komisijos ir Kovos su korupcija valstybių grupės (GRECO) rekomendacijų;</w:t>
      </w:r>
    </w:p>
    <w:p>
      <w:pPr>
        <w:pStyle w:val="NormalHanging12a"/>
      </w:pPr>
      <w:r>
        <w:t>16.</w:t>
      </w:r>
      <w:r>
        <w:tab/>
      </w:r>
      <w:r>
        <w:t>atkreipia dėmesį į Korupcijos prevencijos agentūros atliekamą darbą ir ragina jai skirti pakankamą finansavimą; ragina sukurti tvirtesnę korupcijos prevencijos sistemą;</w:t>
      </w:r>
    </w:p>
    <w:p>
      <w:pPr>
        <w:pStyle w:val="NormalHanging12a"/>
      </w:pPr>
      <w:r>
        <w:t>17.</w:t>
      </w:r>
      <w:r>
        <w:tab/>
      </w:r>
      <w:r>
        <w:t>primygtinai ragina Juodkalniją suderinti savo teisės aktus dėl ginklų su ES teise ir tarptautiniais standartais; yra sukrėstas tragiškų masinių šaudynių Cetinėje ir reiškia užuojautą aukų šeimoms;</w:t>
      </w:r>
    </w:p>
    <w:p>
      <w:pPr>
        <w:pStyle w:val="NormalHanging12a"/>
      </w:pPr>
      <w:r>
        <w:t>18.</w:t>
      </w:r>
      <w:r>
        <w:tab/>
      </w:r>
      <w:r>
        <w:t>ragina Juodkalniją visiškai suderinti savo vizų politiką su ES vizų politika, ypač dėl saugumo riziką keliančių šalių;</w:t>
      </w:r>
    </w:p>
    <w:p>
      <w:pPr>
        <w:pStyle w:val="Normal12a24b"/>
      </w:pPr>
      <w:r>
        <w:rPr>
          <w:rStyle w:val="BoldItalic"/>
        </w:rPr>
        <w:t>Pagrindinės laisvės ir žmogaus teisės</w:t>
      </w:r>
    </w:p>
    <w:p>
      <w:pPr>
        <w:pStyle w:val="NormalHanging12a"/>
      </w:pPr>
      <w:r>
        <w:t>19.</w:t>
      </w:r>
      <w:r>
        <w:tab/>
      </w:r>
      <w:r>
        <w:t xml:space="preserve">apgailestauja dėl to, kad pažeidžiamiausios visuomenės grupės vis dar patiria diskriminaciją; ragina Juodkalniją priimti naują kovos su diskriminacija įstatymą siekiant pagerinti pažeidžiamų grupių galimybes naudotis savo teisėmis; pabrėžia, kad tautinių mažumų teisių paisymas yra neatsiejama ES </w:t>
      </w:r>
      <w:r>
        <w:rPr>
          <w:rStyle w:val="Italic"/>
        </w:rPr>
        <w:t xml:space="preserve">acquis </w:t>
      </w:r>
      <w:r>
        <w:t>dalis;</w:t>
      </w:r>
    </w:p>
    <w:p>
      <w:pPr>
        <w:pStyle w:val="NormalHanging12a"/>
      </w:pPr>
      <w:r>
        <w:t>20.</w:t>
      </w:r>
      <w:r>
        <w:tab/>
      </w:r>
      <w:r>
        <w:t>smerkia visas neapykantą kurstančias kalbas ir neapykantos nusikaltimus; palankiai vertina rasizmo ir neapykantą kurstančių kalbų kriminalizavimą;</w:t>
      </w:r>
    </w:p>
    <w:p>
      <w:pPr>
        <w:pStyle w:val="NormalHanging12a"/>
      </w:pPr>
      <w:r>
        <w:t>21.</w:t>
      </w:r>
      <w:r>
        <w:tab/>
      </w:r>
      <w:r>
        <w:t>ragina Juodkalnijos valdžios institucijas spręsti vyrų ir moterų darbo užmokesčio skirtumo problemą, gerinti moterų dalyvavimą priimant sprendimus ir kovoti su lyčių stereotipais; yra labai susirūpinęs dėl didelio smurto dėl lyties atvejų skaičiaus;</w:t>
      </w:r>
    </w:p>
    <w:p>
      <w:pPr>
        <w:pStyle w:val="NormalHanging12a"/>
      </w:pPr>
      <w:r>
        <w:t>22.</w:t>
      </w:r>
      <w:r>
        <w:tab/>
      </w:r>
      <w:r>
        <w:t>palankiai vertina naujus Juodkalnijos žiniasklaidos įstatymus ir jos žiniasklaidos politikos strategiją; primygtinai ragina vykdyti visiško žurnalistų, įskaitant visuomenės veikėjus, spaudimo ar jų persekiojimo netoleravimo politiką; pabrėžia, kad reikia imtis veiksmingų tolesnių veiksmų dėl ankstesnių atvejų;</w:t>
      </w:r>
    </w:p>
    <w:p>
      <w:pPr>
        <w:pStyle w:val="NormalHanging12a"/>
      </w:pPr>
      <w:r>
        <w:t>23.</w:t>
      </w:r>
      <w:r>
        <w:tab/>
      </w:r>
      <w:r>
        <w:t>apgailestauja dėl vyraujančio aukšto žiniasklaidos poliarizacijos lygio ir jos pažeidžiamumo turint mintyje politinę ir užsienio įtaką; ragina Juodkalnijos valdžios institucijas užtikrinti visuomeninio transliuotojo redakcinį, institucinį ir finansinį nepriklausomumą; ragina visus žiniasklaidos subjektus laikytis teisinių reikalavimų dėl viešojo finansavimo skaidrumo;</w:t>
      </w:r>
    </w:p>
    <w:p>
      <w:pPr>
        <w:pStyle w:val="NormalHanging12a"/>
      </w:pPr>
      <w:r>
        <w:t>24.</w:t>
      </w:r>
      <w:r>
        <w:tab/>
      </w:r>
      <w:r>
        <w:t>palankiai vertina paskelbtus 2023 m. gyventojų surašymo rezultatus; ragina suinteresuotuosius subjektus jais naudotis nediskriminuojant;</w:t>
      </w:r>
    </w:p>
    <w:p>
      <w:pPr>
        <w:pStyle w:val="NormalHanging12a"/>
      </w:pPr>
      <w:r>
        <w:t>25.</w:t>
      </w:r>
      <w:r>
        <w:tab/>
      </w:r>
      <w:r>
        <w:t>ragina Vyriausybės ir NVO bendradarbiavimo tarybą atnaujinti savo darbą;</w:t>
      </w:r>
    </w:p>
    <w:p>
      <w:pPr>
        <w:pStyle w:val="Normal12a24b"/>
      </w:pPr>
      <w:r>
        <w:rPr>
          <w:rStyle w:val="BoldItalic"/>
        </w:rPr>
        <w:t xml:space="preserve">Susitaikymas ir geri kaimyniniai santykiai </w:t>
      </w:r>
    </w:p>
    <w:p>
      <w:pPr>
        <w:pStyle w:val="NormalHanging12a"/>
      </w:pPr>
      <w:r>
        <w:t>26.</w:t>
      </w:r>
      <w:r>
        <w:tab/>
      </w:r>
      <w:r>
        <w:t>primena, kad geri kaimyniniai santykiai ir regioninis bendradarbiavimas yra esminiai plėtros proceso elementai. palankiai vertina aktyvų Juodkalnijos dalyvavimą regioninio bendradarbiavimo iniciatyvose;</w:t>
      </w:r>
    </w:p>
    <w:p>
      <w:pPr>
        <w:pStyle w:val="NormalHanging12a"/>
      </w:pPr>
      <w:r>
        <w:t>27.</w:t>
      </w:r>
      <w:r>
        <w:tab/>
      </w:r>
      <w:r>
        <w:t>apgailestauja dėl to, kad 31 skyrius negalėjo būti užbaigtas 2024 m. gruodžio mėn.; ragina visas susijusias šalis rasti neišspręstų dvišalių klausimų sprendimus ir teikti pirmenybę būsimiems Vakarų Balkanų piliečių interesams; primena, kad turėtų būti vengiama neišspręstus dvišalius ir regioninius ginčus naudoti šalių kandidačių stojimo procesams blokuoti;</w:t>
      </w:r>
    </w:p>
    <w:p>
      <w:pPr>
        <w:pStyle w:val="NormalHanging12a"/>
      </w:pPr>
      <w:r>
        <w:t>28.</w:t>
      </w:r>
      <w:r>
        <w:tab/>
      </w:r>
      <w:r>
        <w:t>skatina Juodkalniją laikytis aktyvaus požiūrio tiriant karo nusikaltimų bylas ir užtikrinti nukentėjusiesiems teisę kreiptis į teismą ir gauti žalos atlyginimą;</w:t>
      </w:r>
    </w:p>
    <w:p>
      <w:pPr>
        <w:pStyle w:val="Normal12a24b"/>
      </w:pPr>
      <w:r>
        <w:rPr>
          <w:rStyle w:val="BoldItalic"/>
        </w:rPr>
        <w:t>Socialinės ir ekonominės reformos</w:t>
      </w:r>
    </w:p>
    <w:p>
      <w:pPr>
        <w:pStyle w:val="NormalHanging12a"/>
      </w:pPr>
      <w:r>
        <w:t>29.</w:t>
      </w:r>
      <w:r>
        <w:tab/>
      </w:r>
      <w:r>
        <w:t>palankiai vertina Juodkalnijos įtraukimą į SEPA mokėjimo schemas, sumažinant piliečiams ir įmonėms tenkančias išlaidas;</w:t>
      </w:r>
    </w:p>
    <w:p>
      <w:pPr>
        <w:pStyle w:val="NormalHanging12a"/>
      </w:pPr>
      <w:r>
        <w:t>30.</w:t>
      </w:r>
      <w:r>
        <w:tab/>
      </w:r>
      <w:r>
        <w:t>palankiai vertina Vakarų Balkanų ekonomikos augimo planą ir Vakarų Balkanų reformų ir ekonomikos augimo priemonę; palankiai vertina tai, kad Juodkalnija patvirtino reformų darbotvarkę, ir ragina ją visiškai įgyvendinti; pabrėžia įtraukių konsultacijų su suinteresuotaisiais subjektais svarbą rengimo, įgyvendinimo, stebėsenos ir vertinimo etapais;</w:t>
      </w:r>
    </w:p>
    <w:p>
      <w:pPr>
        <w:pStyle w:val="NormalHanging12a"/>
      </w:pPr>
      <w:r>
        <w:t>31.</w:t>
      </w:r>
      <w:r>
        <w:tab/>
      </w:r>
      <w:r>
        <w:t>ragina Juodkalniją kuo geriau pasinaudoti visomis ES lėšomis ir toliau derinti savo teisės aktus su ES sukčiavimo prevencijos srityje; primena, kad esama ES finansavimo sąlygų;</w:t>
      </w:r>
    </w:p>
    <w:p>
      <w:pPr>
        <w:pStyle w:val="NormalHanging12a"/>
      </w:pPr>
      <w:r>
        <w:t>32.</w:t>
      </w:r>
      <w:r>
        <w:tab/>
      </w:r>
      <w:r>
        <w:t xml:space="preserve">teigiamai vertina Juodkalnijos ekonomikos augimą; ragina imtis daugiau veiksmų siekiant sumažinti biudžeto deficitą ir valstybės skolą ir toliau naikinti su ES </w:t>
      </w:r>
      <w:r>
        <w:rPr>
          <w:rStyle w:val="Italic"/>
        </w:rPr>
        <w:t>acquis</w:t>
      </w:r>
      <w:r>
        <w:t xml:space="preserve"> nesuderintas netiesioginių mokesčių lengvatas;</w:t>
      </w:r>
    </w:p>
    <w:p>
      <w:pPr>
        <w:pStyle w:val="NormalHanging12a"/>
      </w:pPr>
      <w:r>
        <w:t>33.</w:t>
      </w:r>
      <w:r>
        <w:tab/>
      </w:r>
      <w:r>
        <w:t>ragina Juodkalnijos valdžios institucijas skatinti skaitmeninę transformaciją ir toliau vykdyti įrodymais grindžiamą darbo rinkos politiką;</w:t>
      </w:r>
    </w:p>
    <w:p>
      <w:pPr>
        <w:pStyle w:val="NormalHanging12a"/>
      </w:pPr>
      <w:r>
        <w:t>34.</w:t>
      </w:r>
      <w:r>
        <w:tab/>
      </w:r>
      <w:r>
        <w:t>ragina užtikrinti didesnį viešųjų pirkimų skaidrumą, visų pirma procedūras, vykdomas sudarant tarpvyriausybinius susitarimus, ir visiškai laikytis ES taisyklių ir principų;</w:t>
      </w:r>
    </w:p>
    <w:p>
      <w:pPr>
        <w:pStyle w:val="Normal12a24b"/>
      </w:pPr>
      <w:r>
        <w:rPr>
          <w:rStyle w:val="BoldItalic"/>
        </w:rPr>
        <w:t>Energetika, aplinka ir susisiekimas</w:t>
      </w:r>
    </w:p>
    <w:p>
      <w:pPr>
        <w:pStyle w:val="NormalHanging12a"/>
      </w:pPr>
      <w:r>
        <w:t>35.</w:t>
      </w:r>
      <w:r>
        <w:tab/>
      </w:r>
      <w:r>
        <w:t>primygtinai ragina Juodkalniją siekti pažangos žaliosios pertvarkos srityje, gerinti savo institucinę ir reguliavimo sistemą ir didinti energetinį atsparumą priimant ir įgyvendinant nacionalinį energetikos ir klimato srities veiksmų planą, priimant energijos vartojimo efektyvumo teisės aktus ir toliau integruojantis į ES energijos rinkas;</w:t>
      </w:r>
    </w:p>
    <w:p>
      <w:pPr>
        <w:pStyle w:val="NormalHanging12a"/>
      </w:pPr>
      <w:r>
        <w:t>36.</w:t>
      </w:r>
      <w:r>
        <w:tab/>
      </w:r>
      <w:r>
        <w:t>ragina patvirtinti sektorines atliekų tvarkymo, oro ir vandens kokybės, gamtos apsaugos ir klimato kaitos strategijas, užtikrinant strateginį investicijų planavimą;</w:t>
      </w:r>
    </w:p>
    <w:p>
      <w:pPr>
        <w:pStyle w:val="NormalCenter12a"/>
      </w:pPr>
      <w:r>
        <w:t>°</w:t>
      </w:r>
    </w:p>
    <w:p>
      <w:pPr>
        <w:pStyle w:val="NormalCenter12a"/>
      </w:pPr>
      <w:r>
        <w:t>°</w:t>
      </w:r>
      <w:r>
        <w:tab/>
      </w:r>
      <w:r>
        <w:t>°</w:t>
      </w:r>
    </w:p>
    <w:p>
      <w:pPr>
        <w:pStyle w:val="NormalHanging12a"/>
      </w:pPr>
      <w:r>
        <w:t>37.</w:t>
      </w:r>
      <w:r>
        <w:tab/>
      </w:r>
      <w:r>
        <w:t>paveda Pirmininkei perduoti šią rezoliuciją Tarybai, Komisijai, Komisijos Pirmininkės pavaduotojai ir Sąjungos vyriausiajai įgaliotinei užsienio reikalams ir saugumo politikai, valstybių narių vyriausybėms ir parlamentams bei Juodkalnijos prezidentui, vyriausybei ir parlamentui.</w:t>
      </w:r>
    </w:p>
    <w:p>
      <w:pPr>
        <w:pStyle w:val="NormalHanging12a"/>
        <w:sectPr>
          <w:footerReference w:type="even" r:id="rId16"/>
          <w:footerReference w:type="default" r:id="rId17"/>
          <w:footerReference w:type="first" r:id="rId18"/>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AIŠKINAMOJI DALIS</w:t>
      </w:r>
      <w:bookmarkEnd w:id="1"/>
    </w:p>
    <w:p>
      <w:pPr>
        <w:pStyle w:val="Normal12a"/>
      </w:pPr>
      <w:r>
        <w:t>Juodkalnija yra tauta, turinti turtingą, nors kartais ir audringą, istoriją. Nei mano vaidmuo, nei mūsų bendra pareiga nėra gyventi praeityje, tačiau dabartinė šios šalies politinė ir socialinė realybė tebėra smarkiai paveikta praeities. Nors nebūtina iš naujo peržvelgti praeities įvykių, turime nuolat turėti juos mintyje. Per susitikimus su įvairiais politiniais veikėjais – nuo pilietinės visuomenės atstovų ir merų iki Respublikos prezidento – sukaupiau vertingų įžvalgų, kurios ir išplėtė mano supratimą, ir sustiprino kai kurias mano ankstesnes pastabas.</w:t>
      </w:r>
    </w:p>
    <w:p>
      <w:pPr>
        <w:pStyle w:val="Normal12a"/>
      </w:pPr>
      <w:r>
        <w:t>Juodkalnijos politinis scenarijus yra puikiai žinomas: tris dešimtmečius valdo viena partija, atliekanti esminį vaidmenį užtikrinant šalies nepriklausomybę ir jos įstojimą į NATO. Vis dėlto dėl šio ilgalaikio valdymo taip pat liko daug neišspręstų problemų: daugelio iš jų nepavyko išspręsti arba kai kuriais atvejais toks valdymas aktyviai prisidėjo prie jų sukūrimo. Dabartinė valdančioji koalicija yra nevienalytė, todėl reikalingas didelis veiksmų koordinavimas, taigi ir įvairių kompromisų priėmimas. Taigi būtų netikslu teigti, kad Juodkalnija neturi veikiančios demokratijos. Be to, šios šalies žiniasklaidos pliuralizmas yra gerokai didesnis nei kitose regiono vietose.</w:t>
      </w:r>
    </w:p>
    <w:p>
      <w:pPr>
        <w:pStyle w:val="Normal12a"/>
      </w:pPr>
      <w:r>
        <w:t>2024 m. valdančioji koalicija, konstruktyviai bendradarbiaudama su parlamento opozicija, pasiekė didelę pažangą priimdama teisės aktus, kurie yra labai svarbūs siekiant užbaigti pagrindinius derybų skyrius. Juodkalnija sėkmingai užbaigė tris iš keturių numatytų skyrių. Tai laimėjimas, kurio nereikėtų nuvertinti. Likęs skyrius laikinai sustabdytas dėl Kroatijos prieštaravimų, tačiau jis tvirtai tebelieka darbotvarkėje.</w:t>
      </w:r>
    </w:p>
    <w:p>
      <w:pPr>
        <w:pStyle w:val="Normal12a"/>
      </w:pPr>
      <w:r>
        <w:t xml:space="preserve">Pirmiau minėjau istorijos svarbą – ji yra ypač reikšminga kalbant apie šį neišspręstą skyrių, nes tai giliai įsišakniję abiejų kaimyninių šalių istoriniame kontekste. Nors manau, kad ši laikina aklavietė yra apgailėtina kliūtis, esu įsitikinęs, kad galiausiai ji bus išspręsta vadovaujantis Europos vertybėmis, kurios yra pats Europos Sąjungos pagrindas ir jos </w:t>
      </w:r>
      <w:r>
        <w:rPr>
          <w:rStyle w:val="Italic"/>
        </w:rPr>
        <w:t>raison d’être</w:t>
      </w:r>
      <w:r>
        <w:t>.</w:t>
      </w:r>
    </w:p>
    <w:p>
      <w:pPr>
        <w:pStyle w:val="Normal12a"/>
      </w:pPr>
      <w:r>
        <w:t>Valdančioji koalicija dar kartą patvirtino savo įsipareigojimą priimti būtinus teisės aktų pakeitimus siekdama, kad Juodkalnijos teisės aktai būtų labiau suderinti su Europos Sąjungos aktais ir taip būtų sudarytos palankesnės sąlygos užbaigti derybų procesą. Viešosios nuomonės tyrimai nuolat rodo, kad Juodkalnijos piliečiai tvirtai remia narystę ES. Šis plataus masto pritarimas yra papildomas postūmis valdžios institucijoms toliau įgyvendinti šiam procesui reikalingas reformas ir teisėkūros priemones.</w:t>
      </w:r>
    </w:p>
    <w:p>
      <w:pPr>
        <w:pStyle w:val="Normal12a"/>
      </w:pPr>
      <w:r>
        <w:t>Kad valstybė veiktų veiksmingai, turi būti veiksminga vietos savivalda. Vis dėlto šiuo metu galiojantys rinkimų teisės aktai, pagal kuriuos vietos savivaldos rinkimus leidžiama rengti skirtingomis dienomis, o ne vieną rinkimų dieną visoje šalyje, trukdo pasiekti šį veiksmingumą. Dėl šio nenuoseklumo kyla politinė įtampa, kuri, atsižvelgiant į šalies dydį ir gyventojų skaičių, turi platesnio masto padarinius nacionaliniu lygmeniu. Be to, tai kenkia ir vietos savivaldos, ir valstybės valdymo veiklos veiksmingumui. Siekiant ištaisyti šiuos nenuoseklumus ir išspręsti kitus neišspręstus su rinkimų procesu susijusius klausimus, reikėtų padaryti rinkimų teisės aktų pakeitimus.</w:t>
      </w:r>
    </w:p>
    <w:p>
      <w:pPr>
        <w:pStyle w:val="Normal12a"/>
      </w:pPr>
      <w:r>
        <w:t>Labai svarbu spręsti teisminių institucijų, kurios turi būti steigiamos griežtai kaip nepriklausoma valdžia, klausimą, ypač atsižvelgiant į tai, kad vienas iš pagrindinių Juodkalnijos iššūkių yra kova su nusikalstamumu ir korupcija. Vis dėlto būtų neteisinga teigti, kad šis klausimas būdingas tik Juodkalnijai, nes nė viena šalis nėra apsaugota nuo tokių iššūkių. Tačiau šalių požiūris į šiuos klausimus ir jų sprendimas skiriasi. Diskusijose su valdžios institucijomis pastebėjau, jog jos puikiai suvokia šiuos iššūkius, o tai yra teigiamas ir vilčių teikiantis ženklas.</w:t>
      </w:r>
    </w:p>
    <w:p>
      <w:pPr>
        <w:pStyle w:val="Normal12a"/>
      </w:pPr>
      <w:r>
        <w:t>Apskritai manau, kad politinės valios toliau eiti europiniu keliu netrūksta. Vis dėlto būtina užtikrinti, kad kasdieniai politinio gyvenimo svyravimai, kylantys, mano nuomone, dėl to, kad yra daug politinių partijų, kurių kiekviena siekia užsitikrinti savo poziciją, netrukdytų priimti esminių teisės aktų, reikalingų derybų procesui užbaigti. Teisės aktai turi būti kuo veiksmingesni ir neturėtų būti pasiduodama pagundi atlikti tik vadinamuosius kosmetinius pakeitimus.</w:t>
      </w:r>
    </w:p>
    <w:p>
      <w:pPr>
        <w:pStyle w:val="Normal12a"/>
      </w:pPr>
      <w:r>
        <w:t>Visų pirma Juodkalnija turėtų pasinaudoti savo turtinga ir didžia istorija, pripažindama, kad ji padarė didelę pažangą. Ji, kaip nepriklausoma ir suvereni valstybė, turėtų žengti pirmyn be nereikalingo mažos valstybės komplekso. Šalis turi visas galimybes įstoti į ES dabartiniu ES institucijų įgaliojimų laikotarpiu.</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PRIEDAS. SUBJEKTAI ARBA ASMENYS, IŠ KURIŲ PRANEŠĖJAS GAVO INFORMACIJOS</w:t>
      </w:r>
      <w:bookmarkEnd w:id="2"/>
    </w:p>
    <w:p>
      <w:pPr>
        <w:pStyle w:val="Normal12a"/>
      </w:pPr>
      <w:r>
        <w:rPr>
          <w:rStyle w:val="Bold"/>
        </w:rPr>
        <w:t>SUBJEKTAI ARBA ASMENYS, IŠ KURIŲ PRANEŠĖJAS GAVO INFORMACIJOS</w:t>
      </w:r>
    </w:p>
    <w:p>
      <w:pPr>
        <w:pStyle w:val="Normal12a"/>
      </w:pPr>
      <w:r>
        <w:t>Pranešėjas, prisiimdamas visą atsakomybę, pareiškia, kad negavo informacijos iš jokio subjekto ar asmens, kuris turi būti nurodytas šiame priede pagal Darbo tvarkos taisyklių I priedo 8 straipsnį.</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769.896</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11</w:t>
    </w:r>
    <w:r>
      <w:fldChar w:fldCharType="end"/>
    </w:r>
    <w:r>
      <w:tab/>
    </w:r>
    <w:r>
      <w:rPr>
        <w:rStyle w:val="HideTWBExt"/>
      </w:rPr>
      <w:t>&lt;</w:t>
    </w:r>
    <w:r>
      <w:rPr>
        <w:rStyle w:val="HideTWBExt"/>
      </w:rPr>
      <w:t>PathFdR</w:t>
    </w:r>
    <w:r>
      <w:rPr>
        <w:rStyle w:val="HideTWBExt"/>
      </w:rPr>
      <w:t>&gt;</w:t>
    </w:r>
    <w:r>
      <w:t>PR\1315165LT.docx</w:t>
    </w:r>
    <w:r>
      <w:rPr>
        <w:rStyle w:val="HideTWBExt"/>
      </w:rPr>
      <w:t>&lt;/</w:t>
    </w:r>
    <w:r>
      <w:rPr>
        <w:rStyle w:val="HideTWBExt"/>
      </w:rPr>
      <w:t>PathFdR</w:t>
    </w:r>
    <w:r>
      <w:rPr>
        <w:rStyle w:val="HideTWBExt"/>
      </w:rPr>
      <w:t>&gt;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PR\1315165LT.docx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11</w:t>
    </w:r>
    <w:r>
      <w:fldChar w:fldCharType="end"/>
    </w:r>
    <w:r>
      <w:tab/>
    </w:r>
    <w:r>
      <w:t>PE</w:t>
    </w:r>
    <w:r>
      <w:rPr>
        <w:rStyle w:val="HideTWBExt"/>
      </w:rPr>
      <w:t>&lt;</w:t>
    </w:r>
    <w:r>
      <w:rPr>
        <w:rStyle w:val="HideTWBExt"/>
      </w:rPr>
      <w:t>NoPE</w:t>
    </w:r>
    <w:r>
      <w:rPr>
        <w:rStyle w:val="HideTWBExt"/>
      </w:rPr>
      <w:t>&gt;</w:t>
    </w:r>
    <w:r>
      <w:t>769.896</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PR\1315165LT.docx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769.896</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LT</w:t>
    </w:r>
    <w:r>
      <w:tab/>
    </w:r>
    <w:r>
      <w:rPr>
        <w:rStyle w:val="EPFooter2Motto"/>
      </w:rPr>
      <w:t>Suvienijusi įvairovę</w:t>
    </w:r>
    <w:r>
      <w:tab/>
    </w:r>
    <w:r>
      <w:t>LT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OL L 108, 2010 4 29, p. 3, ELI: http://data.europa.eu/eli/agree_internation/2010/224/oj.</w:t>
      </w:r>
    </w:p>
  </w:footnote>
  <w:footnote w:id="3">
    <w:p>
      <w:pPr>
        <w:pStyle w:val="FootnoteText"/>
      </w:pPr>
      <w:r>
        <w:rPr>
          <w:rStyle w:val="FootnoteReference"/>
        </w:rPr>
        <w:footnoteRef/>
      </w:r>
      <w:r>
        <w:t xml:space="preserve"> </w:t>
      </w:r>
      <w:r>
        <w:t>OL L 330, 2021 9 20, p. 1, ELI: http://data.europa.eu/eli/reg/2021/1529/oj.</w:t>
      </w:r>
    </w:p>
  </w:footnote>
  <w:footnote w:id="4">
    <w:p>
      <w:pPr>
        <w:pStyle w:val="FootnoteText"/>
      </w:pPr>
      <w:r>
        <w:rPr>
          <w:rStyle w:val="FootnoteReference"/>
        </w:rPr>
        <w:footnoteRef/>
      </w:r>
      <w:r>
        <w:t xml:space="preserve"> </w:t>
      </w:r>
      <w:r>
        <w:t>OL L, 2024/1449, 2024 5 24, ELI: http://data.europa.eu/eli/reg/2024/1449/oj.</w:t>
      </w:r>
    </w:p>
  </w:footnote>
  <w:footnote w:id="5">
    <w:p>
      <w:pPr>
        <w:pStyle w:val="FootnoteText"/>
      </w:pPr>
      <w:r>
        <w:rPr>
          <w:rStyle w:val="FootnoteReference"/>
        </w:rPr>
        <w:footnoteRef/>
      </w:r>
      <w:r>
        <w:t xml:space="preserve"> </w:t>
      </w:r>
      <w:r>
        <w:t>OL C 167, 2023 5 11, p. 105.</w:t>
      </w:r>
    </w:p>
  </w:footnote>
  <w:footnote w:id="6">
    <w:p>
      <w:pPr>
        <w:pStyle w:val="FootnoteText"/>
      </w:pPr>
      <w:r>
        <w:rPr>
          <w:rStyle w:val="FootnoteReference"/>
        </w:rPr>
        <w:footnoteRef/>
      </w:r>
      <w:r>
        <w:t xml:space="preserve"> </w:t>
      </w:r>
      <w:hyperlink r:id="rId1" w:history="1">
        <w:r>
          <w:rPr>
            <w:color w:val="0000FF"/>
            <w:u w:val="single" w:color="0000FF"/>
          </w:rPr>
          <w:t>https://www.osce.org/odihr/elections/montenegro/542637.</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LT/ALL/?uri=CELEX:52023DC0691" TargetMode="External" /><Relationship Id="rId11" Type="http://schemas.openxmlformats.org/officeDocument/2006/relationships/hyperlink" Target="https://eur-lex.europa.eu/legal-content/LT/ALL/?uri=CELEX:52024DC0146" TargetMode="External" /><Relationship Id="rId12" Type="http://schemas.openxmlformats.org/officeDocument/2006/relationships/hyperlink" Target="https://eur-lex.europa.eu/legal-content/EN/ALL/?uri=CELEX:52024DC0800" TargetMode="External" /><Relationship Id="rId13" Type="http://schemas.openxmlformats.org/officeDocument/2006/relationships/hyperlink" Target="https://eur-lex.europa.eu/legal-content/EN/ALL/?uri=CELEX:52024SC0829" TargetMode="External" /><Relationship Id="rId14" Type="http://schemas.openxmlformats.org/officeDocument/2006/relationships/hyperlink" Target="https://eur-lex.europa.eu/legal-content/LT/ALL/?uri=CELEX:52024DC0690" TargetMode="External" /><Relationship Id="rId15" Type="http://schemas.openxmlformats.org/officeDocument/2006/relationships/hyperlink" Target="https://eur-lex.europa.eu/legal-content/EN/ALL/?uri=CELEX:52024SC0694" TargetMode="Externa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LT/ALL/?uri=CELEX:52010DC0670" TargetMode="External" /><Relationship Id="rId7" Type="http://schemas.openxmlformats.org/officeDocument/2006/relationships/hyperlink" Target="https://eur-lex.europa.eu/legal-content/LT/ALL/?uri=CELEX:52020DC0641" TargetMode="External" /><Relationship Id="rId8" Type="http://schemas.openxmlformats.org/officeDocument/2006/relationships/hyperlink" Target="https://eur-lex.europa.eu/legal-content/LT/ALL/?uri=CELEX:52023DC0690" TargetMode="External" /><Relationship Id="rId9" Type="http://schemas.openxmlformats.org/officeDocument/2006/relationships/hyperlink" Target="https://eur-lex.europa.eu/legal-content/EN/ALL/?uri=CELEX:52023SC0694"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osce.org/odihr/elections/montenegro/54263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1315165</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20250304-160407-097011-817438</vt:lpwstr>
  </property>
  <property fmtid="{D5CDD505-2E9C-101B-9397-08002B2CF9AE}" pid="7" name="FooterPath">
    <vt:lpwstr>PR\1315165LT.doc</vt:lpwstr>
  </property>
  <property fmtid="{D5CDD505-2E9C-101B-9397-08002B2CF9AE}" pid="8" name="PE Number">
    <vt:lpwstr>769.896</vt:lpwstr>
  </property>
  <property fmtid="{D5CDD505-2E9C-101B-9397-08002B2CF9AE}" pid="9" name="UID">
    <vt:lpwstr>eu.europa.europarl-DIN1-2025-0000027351_01.04-lt-01.00_text-xml</vt:lpwstr>
  </property>
</Properties>
</file>