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1.0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Evropský parlament</w:t>
            </w:r>
          </w:p>
          <w:p>
            <w:pPr>
              <w:pStyle w:val="EPTerm"/>
            </w:pPr>
            <w:r>
              <w:t>2024-2029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AFET</w:t>
      </w:r>
      <w:r>
        <w:rPr>
          <w:rStyle w:val="HideTWBInt"/>
        </w:rPr>
        <w:t>}</w:t>
      </w:r>
      <w:r>
        <w:t>Výbor pro zahraniční věci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2025/2026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08/05/2025</w:t>
      </w:r>
      <w:r>
        <w:rPr>
          <w:rStyle w:val="HideTWBInt"/>
        </w:rPr>
        <w:t>}</w:t>
      </w:r>
      <w:r>
        <w:t>08.05.2025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NÁVRH ZPRÁVY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o zprávách Komise o Ukrajině za roky 2023 a 2024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(2025/2026(INI))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AFET</w:t>
      </w:r>
      <w:r>
        <w:rPr>
          <w:rStyle w:val="HideTWBInt"/>
        </w:rPr>
        <w:t>}</w:t>
      </w:r>
      <w:r>
        <w:t>Výbor pro zahraniční věci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Zpravodaj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Michael Gahler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OBSAH</w:t>
      </w:r>
    </w:p>
    <w:p>
      <w:pPr>
        <w:pStyle w:val="TOCPage"/>
      </w:pPr>
      <w:r>
        <w:t>Strana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NÁVRH USNESENÍ EVROPSKÉHO PARLAMENTU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VYSVĚTLUJÍCÍ PROHLÁŠENÍ</w:t>
      </w:r>
      <w:r>
        <w:tab/>
      </w:r>
      <w:r>
        <w:fldChar w:fldCharType="begin"/>
      </w:r>
      <w:r>
        <w:instrText xml:space="preserve"> PAGEREF _Toc256000004 \h </w:instrText>
      </w:r>
      <w:r>
        <w:fldChar w:fldCharType="separate"/>
      </w:r>
      <w:r>
        <w:t>7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PŘÍLOHA: SUBJEKTY NEBO OSOBY, OD NICHŽ ZPRAVODAJ OBDRŽEL PODNĚTY</w:t>
      </w:r>
      <w:r>
        <w:tab/>
      </w:r>
      <w:r>
        <w:fldChar w:fldCharType="begin"/>
      </w:r>
      <w:r>
        <w:instrText xml:space="preserve"> PAGEREF _Toc256000005 \h </w:instrText>
      </w:r>
      <w:r>
        <w:fldChar w:fldCharType="separate"/>
      </w:r>
      <w:r>
        <w:t>8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PageHeading"/>
      </w:pPr>
      <w:r>
        <w:br w:type="page"/>
      </w:r>
      <w:bookmarkStart w:id="0" w:name="_Toc256000003"/>
      <w:r>
        <w:t>NÁVRH USNESENÍ EVROPSKÉHO PARLAMENTU</w:t>
      </w:r>
      <w:bookmarkEnd w:id="0"/>
    </w:p>
    <w:p>
      <w:pPr>
        <w:pStyle w:val="NormalBold"/>
      </w:pPr>
      <w:r>
        <w:t>o zprávách Komise o Ukrajině za roky 2023 a 2024</w:t>
      </w:r>
    </w:p>
    <w:p>
      <w:pPr>
        <w:pStyle w:val="NormalBold"/>
      </w:pPr>
      <w:r>
        <w:t>(2025/2026(INI))</w:t>
      </w:r>
    </w:p>
    <w:p>
      <w:pPr>
        <w:pStyle w:val="EPComma"/>
      </w:pPr>
      <w:r>
        <w:rPr>
          <w:rStyle w:val="Italic"/>
        </w:rPr>
        <w:t>Evropský parlament</w:t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svá předchozí usnesení o Ukrajině,</w:t>
      </w:r>
    </w:p>
    <w:p>
      <w:pPr>
        <w:pStyle w:val="NormalHanging12a"/>
      </w:pPr>
      <w:r>
        <w:t>–</w:t>
      </w:r>
      <w:r>
        <w:tab/>
      </w:r>
      <w:r>
        <w:t>s ohledem na pracovní dokument útvarů Komise nazvaný „Zpráva o Ukrajině 2024“ (SWD(2024)0699), který je přiložen ke sdělení Komise o politice rozšíření EU z roku 2024 (</w:t>
      </w:r>
      <w:hyperlink r:id="rId6" w:history="1">
        <w:r>
          <w:rPr>
            <w:rStyle w:val="Hyperlink"/>
          </w:rPr>
          <w:t>COM(2024)0690</w:t>
        </w:r>
      </w:hyperlink>
      <w:r>
        <w:rPr>
          <w:rStyle w:val="DefaultParagraphFont"/>
          <w:b w:val="0"/>
          <w:i w:val="0"/>
          <w:u w:val="none"/>
        </w:rPr>
        <w:t>),</w:t>
      </w:r>
    </w:p>
    <w:p>
      <w:pPr>
        <w:pStyle w:val="NormalHanging12a"/>
      </w:pPr>
      <w:r>
        <w:t>–</w:t>
      </w:r>
      <w:r>
        <w:tab/>
      </w:r>
      <w:r>
        <w:t>s ohledem na článek 55 jednacího řádu,</w:t>
      </w:r>
    </w:p>
    <w:p>
      <w:pPr>
        <w:pStyle w:val="NormalHanging12a"/>
      </w:pPr>
      <w:r>
        <w:t>–</w:t>
      </w:r>
      <w:r>
        <w:tab/>
      </w:r>
      <w:r>
        <w:t>s ohledem na zprávu Výboru pro zahraniční věci (A10-0000/2025),</w:t>
      </w:r>
    </w:p>
    <w:p>
      <w:pPr>
        <w:pStyle w:val="NormalHanging12a"/>
      </w:pPr>
      <w:r>
        <w:t>A.</w:t>
      </w:r>
      <w:r>
        <w:tab/>
      </w:r>
      <w:r>
        <w:t>vzhledem k tomu, že Parlament co nejdůrazněji odsuzuje ruskou agresi vůči Ukrajině a podporuje právo Ukrajiny na svrchovanost, nezávislost a územní celistvost v rámci jejích mezinárodně uznávaných hranic;</w:t>
      </w:r>
    </w:p>
    <w:p>
      <w:pPr>
        <w:pStyle w:val="NormalHanging12a"/>
      </w:pPr>
      <w:r>
        <w:t>B.</w:t>
      </w:r>
      <w:r>
        <w:tab/>
      </w:r>
      <w:r>
        <w:t>vzhledem k tomu, že Ukrajina navzdory probíhající ruské útočné válce prokázala pozoruhodnou odolnost a odhodlání pokračovat na své evropské cestě;</w:t>
      </w:r>
    </w:p>
    <w:p>
      <w:pPr>
        <w:pStyle w:val="NormalHanging12a"/>
      </w:pPr>
      <w:r>
        <w:t>C.</w:t>
      </w:r>
      <w:r>
        <w:tab/>
      </w:r>
      <w:r>
        <w:t>vzhledem k tomu, že legislativní reformy, které Ukrajina zahájila, odrážejí její odhodlání dosáhnout souladu s acquis EU;</w:t>
      </w:r>
    </w:p>
    <w:p>
      <w:pPr>
        <w:pStyle w:val="NormalHanging12a"/>
      </w:pPr>
      <w:r>
        <w:t>D.</w:t>
      </w:r>
      <w:r>
        <w:tab/>
      </w:r>
      <w:r>
        <w:t>vzhledem k tomu, že v oblastech, jako je nezávislost soudnictví a systémová korupce přetrvávají výzvy, které je třeba řešit prostřednictvím větší odpovědnosti vlády a mezinárodního dohledu;</w:t>
      </w:r>
    </w:p>
    <w:p>
      <w:pPr>
        <w:pStyle w:val="NormalHanging12a"/>
      </w:pPr>
      <w:r>
        <w:t>E.</w:t>
      </w:r>
      <w:r>
        <w:tab/>
      </w:r>
      <w:r>
        <w:t>vzhledem k tomu, že Ukrajina dosáhla pokroku v oblasti regionální spolupráce a socioekonomických reforem, jejichž cílem je sladit její politiku se standardy EU;</w:t>
      </w:r>
    </w:p>
    <w:p>
      <w:pPr>
        <w:pStyle w:val="NormalHanging12a"/>
      </w:pPr>
      <w:r>
        <w:t>F.</w:t>
      </w:r>
      <w:r>
        <w:tab/>
      </w:r>
      <w:r>
        <w:t>vzhledem k tomu, že ukrajinské demokratické instituce prokázaly po dobu stanného práva schopnost se přizpůsobit, přestože přetrvávají obavy ohledně transparentnosti a rovnováhy moci v daném období;</w:t>
      </w:r>
    </w:p>
    <w:p>
      <w:pPr>
        <w:pStyle w:val="NormalHanging12a"/>
      </w:pPr>
      <w:r>
        <w:t>G.</w:t>
      </w:r>
      <w:r>
        <w:tab/>
      </w:r>
      <w:r>
        <w:t>vzhledem k tomu, že bylo dosaženo pokroku při reformě veřejné správy, stále je však nutné dále rozšiřovat kapacity a zlepšit řízení lidských zdrojů;</w:t>
      </w:r>
    </w:p>
    <w:p>
      <w:pPr>
        <w:pStyle w:val="NormalHanging12a"/>
      </w:pPr>
      <w:r>
        <w:t>H.</w:t>
      </w:r>
      <w:r>
        <w:tab/>
      </w:r>
      <w:r>
        <w:t>vzhledem k tomu, že v rámci soudnictví došlo k opětovnému převzetí klíčových funkcí, mj. k prověřování soudců a realizaci protikorupčních opatření, ačkoli je třeba zpřísnit normy týkající se bezúhonnosti a transparentnosti;</w:t>
      </w:r>
    </w:p>
    <w:p>
      <w:pPr>
        <w:pStyle w:val="NormalHanging12a"/>
      </w:pPr>
      <w:r>
        <w:t>I.</w:t>
      </w:r>
      <w:r>
        <w:tab/>
      </w:r>
      <w:r>
        <w:t>vzhledem k tomu, že Ukrajina prokázala odhodlání k plnění zelené agendy prostřednictvím právních předpisů o obnovitelných zdrojích energie a sladěním s cíli Zelené dohody pro Evropu;</w:t>
      </w:r>
    </w:p>
    <w:p>
      <w:pPr>
        <w:pStyle w:val="NormalHanging12a"/>
      </w:pPr>
      <w:r>
        <w:t>J.</w:t>
      </w:r>
      <w:r>
        <w:tab/>
      </w:r>
      <w:r>
        <w:t>vzhledem k tomu, že občanská společnost je i nadále pilířem odolnosti a demokracie v Ukrajině, ačkoli případy nátlaku na aktivisty vzbuzují obavy a vyžadují vládní opatření;</w:t>
      </w:r>
    </w:p>
    <w:p>
      <w:pPr>
        <w:pStyle w:val="NormalHanging12a"/>
      </w:pPr>
      <w:r>
        <w:t>K.</w:t>
      </w:r>
      <w:r>
        <w:tab/>
      </w:r>
      <w:r>
        <w:t>vzhledem k tomu, že se Ukrajina setkává v oblasti svobody projevu a nezávislosti sdělovacích prostředků s problémy, zejména po dobu platnosti stanného práva; vzhledem k tomu, že k obnovení jejich plurality a ochraně novinářů jsou zapotřebí reformy;</w:t>
      </w:r>
    </w:p>
    <w:p>
      <w:pPr>
        <w:pStyle w:val="NormalHanging12a"/>
      </w:pPr>
      <w:r>
        <w:t>L.</w:t>
      </w:r>
      <w:r>
        <w:tab/>
      </w:r>
      <w:r>
        <w:t>vzhledem k tomu, že proces integrace Ukrajiny do EU se těší široké podpoře veřejnosti a institucionálnímu konsenzu, což ukazuje, že navzdory současným obtížím je společnost odhodlána dosáhnout členství v EU;</w:t>
      </w:r>
    </w:p>
    <w:p>
      <w:pPr>
        <w:pStyle w:val="NormalHanging12a"/>
      </w:pPr>
      <w:r>
        <w:t>M.</w:t>
      </w:r>
      <w:r>
        <w:tab/>
      </w:r>
      <w:r>
        <w:t>vzhledem k tomu, že členství v EU je i nadále mimořádně důležitou hnací silou demokratického rozvoje Ukrajiny a při zajišťování budoucí bezpečnosti, stability a nezávislosti země bude představovat klíčový faktor;</w:t>
      </w:r>
    </w:p>
    <w:p>
      <w:pPr>
        <w:pStyle w:val="Normal12a24b"/>
      </w:pPr>
      <w:r>
        <w:rPr>
          <w:rStyle w:val="Italic"/>
        </w:rPr>
        <w:t>O aktuálním stavu ruské útočné války a sankcích</w:t>
      </w:r>
    </w:p>
    <w:p>
      <w:pPr>
        <w:pStyle w:val="NormalHanging12a"/>
      </w:pPr>
      <w:r>
        <w:t>1.</w:t>
      </w:r>
      <w:r>
        <w:tab/>
      </w:r>
      <w:r>
        <w:t>znovu potvrzuje svou neochvějnou solidaritu s lidem Ukrajiny a podporu její nezávislosti, svrchovanosti a územní celistvosti v rámci jejích mezinárodně uznávaných hranic; důrazně poukazuje na přirozené právo Ukrajiny na sebeobranu v souladu s článkem 51 Charty OSN;</w:t>
      </w:r>
    </w:p>
    <w:p>
      <w:pPr>
        <w:pStyle w:val="NormalHanging12a"/>
      </w:pPr>
      <w:r>
        <w:t>2.</w:t>
      </w:r>
      <w:r>
        <w:tab/>
      </w:r>
      <w:r>
        <w:t>poukazuje na to, že aby bylo respektováno právo Ukrajiny na sebeobranu, musí EU a její členské státy výrazně zvýšit pomoc, kterou jí poskytují; trvá na tom, že v zájmu zabránění další agrese ze strany Ruska musí EU a její členské státy spolu se svými partnery a spojenci přispět ke spolehlivým bezpečnostním zárukám pro Ukrajinu;</w:t>
      </w:r>
    </w:p>
    <w:p>
      <w:pPr>
        <w:pStyle w:val="Normal12a24b"/>
      </w:pPr>
      <w:r>
        <w:rPr>
          <w:rStyle w:val="BoldItalic"/>
        </w:rPr>
        <w:t>Odhodlání přistoupit k EU</w:t>
      </w:r>
    </w:p>
    <w:p>
      <w:pPr>
        <w:pStyle w:val="NormalHanging12a"/>
      </w:pPr>
      <w:r>
        <w:t>3.</w:t>
      </w:r>
      <w:r>
        <w:tab/>
      </w:r>
      <w:r>
        <w:t>velmi oceňuje neochvějné odhodlání Ukrajiny plnit požadavky na členství v EU, včetně dodržování acquis EU;</w:t>
      </w:r>
    </w:p>
    <w:p>
      <w:pPr>
        <w:pStyle w:val="NormalHanging12a"/>
      </w:pPr>
      <w:r>
        <w:t>4.</w:t>
      </w:r>
      <w:r>
        <w:tab/>
      </w:r>
      <w:r>
        <w:t>bere na vědomí dohodu mezi USA a Ukrajinou o kritických nerostných surovinách; vítá skutečnost, že obsahuje výslovné formulace, jejichž cílem je zabezpečit proces přistoupení Ukrajiny k EU a související povinnosti a zajistit slučitelnost s povinnostmi Ukrajiny vůči mezinárodním finančním institucím či jiným oficiálním věřitelům; žádá Komisi, aby sledovala důslednou realizaci příslušných opatření;</w:t>
      </w:r>
    </w:p>
    <w:p>
      <w:pPr>
        <w:pStyle w:val="Normal12a24b"/>
      </w:pPr>
      <w:r>
        <w:rPr>
          <w:rStyle w:val="Italic"/>
        </w:rPr>
        <w:t>Demokracie, právní stát a boj proti korupci</w:t>
      </w:r>
    </w:p>
    <w:p>
      <w:pPr>
        <w:pStyle w:val="NormalHanging12a"/>
      </w:pPr>
      <w:r>
        <w:t>5.</w:t>
      </w:r>
      <w:r>
        <w:tab/>
      </w:r>
      <w:r>
        <w:t>bere na vědomí mimořádnou snahu Ukrajiny o posílení demokratických institucí během války; zároveň jí doporučuje, aby zajistila větší transparentnost legislativních procesů a vyčlenila více zdrojů na reformu soudnictví;</w:t>
      </w:r>
    </w:p>
    <w:p>
      <w:pPr>
        <w:pStyle w:val="NormalHanging12a"/>
      </w:pPr>
      <w:r>
        <w:t>6.</w:t>
      </w:r>
      <w:r>
        <w:tab/>
      </w:r>
      <w:r>
        <w:t>vyzývá Ukrajinu, aby se zabývala otázkami, které brání rozvoji soudnictví; zdůrazňuje, že je třeba zajistit větší nezávislost soudnictví a zintenzivnit boj proti korupci;</w:t>
      </w:r>
    </w:p>
    <w:p>
      <w:pPr>
        <w:pStyle w:val="NormalHanging12a"/>
      </w:pPr>
      <w:r>
        <w:t>7.</w:t>
      </w:r>
      <w:r>
        <w:tab/>
      </w:r>
      <w:r>
        <w:t>vítá jmenování nového vedoucího Národního úřadu pro prevenci korupce a nezávislých auditorů, kteří mají posoudit účinnost Národního protikorupčního úřadu Ukrajiny při vyšetřování korupce; vítá vstup novelizovaného trestního zákoníku a trestního řádu v platnost; oceňuje přijetí akčního plánu zaměřeného na realizaci strategie vymáhání majetku z trestné činnosti na období 2024–2025 a souvisejících opatření;</w:t>
      </w:r>
    </w:p>
    <w:p>
      <w:pPr>
        <w:pStyle w:val="NormalHanging12a"/>
      </w:pPr>
      <w:r>
        <w:t>8.</w:t>
      </w:r>
      <w:r>
        <w:tab/>
      </w:r>
      <w:r>
        <w:t>vybízí Ukrajinu, aby zajistila nezávislost a účinnost protikorupčních institucí, včetně specializovaného protikorupčního státního zastupitelství (SAPO), a to zajištěním transparentních postupů jmenování jejich členů a ochranou těchto orgánů před politickým vlivem; oceňuje, že Ukrajina navýšila počet zaměstnanců úřadu SAPO;</w:t>
      </w:r>
    </w:p>
    <w:p>
      <w:pPr>
        <w:pStyle w:val="NormalHanging12a"/>
      </w:pPr>
      <w:r>
        <w:t>9.</w:t>
      </w:r>
      <w:r>
        <w:tab/>
      </w:r>
      <w:r>
        <w:t xml:space="preserve">bere na vědomí zjištění uvedená v dodatku ke druhé zprávě o plnění závazků, který přijala Skupina států proti korupci </w:t>
      </w:r>
      <w:r>
        <w:t>Rady Evropy</w:t>
      </w:r>
      <w:r>
        <w:t xml:space="preserve"> dne 22. listopadu 2024, podle něhož Ukrajina uspokojivě provedla nebo uspokojivě vyřešila 18 z 31 doporučení obsažených v této zprávě; vybízí Ukrajinu, aby realizovala veškerá zbývající doporučení;</w:t>
      </w:r>
    </w:p>
    <w:p>
      <w:pPr>
        <w:pStyle w:val="Normal12a24b"/>
      </w:pPr>
      <w:r>
        <w:rPr>
          <w:rStyle w:val="Italic"/>
        </w:rPr>
        <w:t>Základní svobody a lidská práva</w:t>
      </w:r>
    </w:p>
    <w:p>
      <w:pPr>
        <w:pStyle w:val="NormalHanging12a"/>
      </w:pPr>
      <w:r>
        <w:t>10.</w:t>
      </w:r>
      <w:r>
        <w:tab/>
      </w:r>
      <w:r>
        <w:t>oceňuje závazek Ukrajiny prosazovat základní práva navzdory probíhající ruské útočné válce; vítá nedávné přijetí akčního plánu na ochranu práv národnostních menšin do roku 2027, jehož cílem je harmonizovat ukrajinské právní předpisy s evropskými normami;</w:t>
      </w:r>
    </w:p>
    <w:p>
      <w:pPr>
        <w:pStyle w:val="Normal12a24b"/>
      </w:pPr>
      <w:r>
        <w:rPr>
          <w:rStyle w:val="Italic"/>
        </w:rPr>
        <w:t>Regionální spolupráce a dobré sousedské vztahy</w:t>
      </w:r>
    </w:p>
    <w:p>
      <w:pPr>
        <w:pStyle w:val="NormalHanging12a"/>
      </w:pPr>
      <w:r>
        <w:t>11.</w:t>
      </w:r>
      <w:r>
        <w:tab/>
      </w:r>
      <w:r>
        <w:t>vítá aktivní účast Ukrajiny na regionálních iniciativách, jako je její vedení na Fóru občanské společnosti Východního partnerství a koordinace přeshraničních obchodních projektů s Polskem;</w:t>
      </w:r>
    </w:p>
    <w:p>
      <w:pPr>
        <w:pStyle w:val="NormalHanging12a"/>
      </w:pPr>
      <w:r>
        <w:t>12.</w:t>
      </w:r>
      <w:r>
        <w:tab/>
      </w:r>
      <w:r>
        <w:t>vítá a podporuje veškeré pokusy Ukrajiny a členských států EU řešit nevyřešené aspekty historických dvoustranných a regionálních vztahů, jako je masakr ve Volyni, v duchu skutečného a upřímného usmíření a při respektování hodnot EU, jako je lidská důstojnost, historická pravda a dobré sousedské vztahy; je přesvědčen, že proces usmíření založený na trpělivosti a dobré vůli všech dotyčných stran dokáže zahojit rány z minulosti; vítá v této souvislosti probíhající rozhovory mezi polskými a ukrajinskými orgány, které vedly v dubnu 2025 k pokračování v exhumaci hrobů polských občanů na ukrajinském území; doufá, že tento proces bude pokračovat s jasným cílem zajistit obětem důstojný pohřeb a náležitou vzpomínku;</w:t>
      </w:r>
    </w:p>
    <w:p>
      <w:pPr>
        <w:pStyle w:val="Normal12a24b"/>
      </w:pPr>
      <w:r>
        <w:rPr>
          <w:rStyle w:val="Italic"/>
        </w:rPr>
        <w:t>Hospodářské a sociální reformy</w:t>
      </w:r>
    </w:p>
    <w:p>
      <w:pPr>
        <w:pStyle w:val="NormalHanging12a"/>
      </w:pPr>
      <w:r>
        <w:t>13.</w:t>
      </w:r>
      <w:r>
        <w:tab/>
      </w:r>
      <w:r>
        <w:t>vítá provádění prioritního akčního plánu na období 2023–2024 ze strany Ukrajiny a přijetí právních předpisů nezbytných k reformě Úřadu pro hospodářskou bezpečnost Ukrajiny;</w:t>
      </w:r>
    </w:p>
    <w:p>
      <w:pPr>
        <w:pStyle w:val="NormalHanging12a"/>
      </w:pPr>
      <w:r>
        <w:t>14.</w:t>
      </w:r>
      <w:r>
        <w:tab/>
      </w:r>
      <w:r>
        <w:t>připomíná, že v roce 2023 byl přijat zákon o místní veřejné službě, a doporučuje ukrajinské vládě, aby přijala systémový přístup k nadcházející reformě veřejné správy a stanovila jasnou vizi a jasně strukturovanou prováděcí strategii;</w:t>
      </w:r>
    </w:p>
    <w:p>
      <w:pPr>
        <w:pStyle w:val="NormalHanging12a"/>
      </w:pPr>
      <w:r>
        <w:t>15.</w:t>
      </w:r>
      <w:r>
        <w:tab/>
      </w:r>
      <w:r>
        <w:t>vybízí Ukrajinu, aby pokročila ve schvalování návrhu zákona č. 4298 s cílem sladit reformu místní státní správy s normami EU a vytvořit v souladu se zásadou proporcionality a s Evropskou chartou místní samosprávy vyvážený právní rámec pro dohled, který by neporušoval pravomoci, výsady a samosprávné funkce místních orgánů; připomíná svůj požadavek na zavedení právní subjektivity místních a regionálních orgánů veřejné správy;</w:t>
      </w:r>
    </w:p>
    <w:p>
      <w:pPr>
        <w:pStyle w:val="NormalHanging12a"/>
      </w:pPr>
      <w:r>
        <w:t>16.</w:t>
      </w:r>
      <w:r>
        <w:tab/>
      </w:r>
      <w:r>
        <w:t>vyzývá Ukrajinu, aby pokračovala v provádění Plánu pro Ukrajinu podle nařízení (EU) 2024/792</w:t>
      </w:r>
      <w:r>
        <w:rPr>
          <w:rStyle w:val="FootnoteReference"/>
        </w:rPr>
        <w:footnoteReference w:id="2"/>
      </w:r>
      <w:r>
        <w:t>;</w:t>
      </w:r>
    </w:p>
    <w:p>
      <w:pPr>
        <w:pStyle w:val="Normal12a24b"/>
      </w:pPr>
      <w:r>
        <w:rPr>
          <w:rStyle w:val="Italic"/>
        </w:rPr>
        <w:t>Energetika, životní prostředí, udržitelný rozvoj a konektivita</w:t>
      </w:r>
    </w:p>
    <w:p>
      <w:pPr>
        <w:pStyle w:val="NormalHanging12a"/>
      </w:pPr>
      <w:r>
        <w:t>17.</w:t>
      </w:r>
      <w:r>
        <w:tab/>
      </w:r>
      <w:r>
        <w:t>vítá výrazný pokrok, jehož bylo dosaženo v rámci reformy odvětví energetiky, a to, že se Ukrajina řídí cíli Zelené dohody pro Evropu;</w:t>
      </w:r>
    </w:p>
    <w:p>
      <w:pPr>
        <w:pStyle w:val="NormalHanging12a"/>
      </w:pPr>
      <w:r>
        <w:t>18.</w:t>
      </w:r>
      <w:r>
        <w:tab/>
      </w:r>
      <w:r>
        <w:t>oceňuje Ukrajinu za přijetí jejího vnitrostátního plánu v oblasti energetiky a klimatu;</w:t>
      </w:r>
    </w:p>
    <w:p>
      <w:pPr>
        <w:pStyle w:val="NormalHanging12a"/>
      </w:pPr>
      <w:r>
        <w:t>19.</w:t>
      </w:r>
      <w:r>
        <w:tab/>
      </w:r>
      <w:r>
        <w:t>doporučuje, aby Komise urychleně otevřela vyjednávací klastry s Ukrajinou s cílem dosáhnout co nejrychlejšího pokroku na cestě k jejímu členství v EU za předpokladu, že bude pokračovat v zavádění acquis EU a dokončí reformy, které si předsevzala;</w:t>
      </w:r>
    </w:p>
    <w:p>
      <w:pPr>
        <w:pStyle w:val="NormalHanging12a"/>
      </w:pPr>
      <w:r>
        <w:t>20.</w:t>
      </w:r>
      <w:r>
        <w:tab/>
      </w:r>
      <w:r>
        <w:t>pověřuje svou předsedkyni, aby předala toto usnesení Radě a Komisi.</w:t>
      </w:r>
    </w:p>
    <w:p>
      <w:pPr>
        <w:pStyle w:val="NormalHanging12a"/>
        <w:sectPr>
          <w:footerReference w:type="even" r:id="rId7"/>
          <w:footerReference w:type="default" r:id="rId8"/>
          <w:footerReference w:type="first" r:id="rId9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</w:p>
    <w:p>
      <w:pPr>
        <w:pStyle w:val="PageHeading"/>
      </w:pPr>
      <w:bookmarkStart w:id="1" w:name="_Toc256000004"/>
      <w:r>
        <w:t>VYSVĚTLUJÍCÍ PROHLÁŠENÍ</w:t>
      </w:r>
      <w:bookmarkEnd w:id="1"/>
    </w:p>
    <w:p>
      <w:pPr>
        <w:pStyle w:val="Normal12a"/>
      </w:pPr>
      <w:r>
        <w:t>Jako zpravodaj této důležité iniciativy jsem rád, že mohu předložit zprávu, která odráží trvalý a pevný strategický závazek Evropské unie vůči Ukrajině. Tato zpráva je první zprávou od začátku rozsáhlé ruské invaze na Ukrajinu a od té doby, co byl této zemi udělen status kandidátské země a co s ní byla zahájena přístupová jednání.</w:t>
      </w:r>
    </w:p>
    <w:p>
      <w:pPr>
        <w:pStyle w:val="Normal12a"/>
      </w:pPr>
      <w:r>
        <w:t>Ukrajina je jedinou oblastí činnosti EU v rámci vnějších vztahů, která má pro Unii mimořádný význam. Probíhající válka v Ukrajině už měla a i nadále má na EU značný vliv. Výsledek války má pro EU existenciální význam. Proto EU a její členské státy poskytují Ukrajině důslednou politickou, diplomatickou, finanční a vojenskou pomoc. Vzhledem k současnému obratu v přístupu Trumpovy vlády je odpovědnost EU ještě větší.</w:t>
      </w:r>
    </w:p>
    <w:p>
      <w:pPr>
        <w:pStyle w:val="Normal12a"/>
      </w:pPr>
      <w:r>
        <w:t>Návrh zprávy jsem vypracoval v kontextu výše uvedené geopolitické a bezpečnostní situace. V textu se věnuji přípravě Ukrajiny na plnění požadavků spojených s členstvím v EU, mj. s dodržováním acquis EU. Dále analyzuji složité domácí reformy, které probíhají v prostředí probíhající války. Upozorňuji zejména na problematiku demokracie, právního státu a boje proti korupci. Doporučuji, aby Ukrajina navázala na výsledky reforem v odvětví energetiky, životního prostředí, udržitelného rozvoje a konektivity. Poukazuji navíc na význam regionální spolupráce a dobrých sousedských vztahů.</w:t>
      </w:r>
    </w:p>
    <w:p>
      <w:pPr>
        <w:pStyle w:val="Normal12a"/>
      </w:pPr>
      <w:r>
        <w:t>Návrh zprávy se ve fázi pozměňovacích návrhů zdokonalí a doplní o další aspekty, zároveň se do něj začlení případné výsledky nejnovějšího vývoje mezinárodních jednání a úsilí o interní reformy.</w:t>
      </w:r>
    </w:p>
    <w:p>
      <w:pPr>
        <w:pStyle w:val="Normal12a"/>
      </w:pPr>
      <w:r>
        <w:t>Závěrem znovu připomínám, že Evropská komise otevírá vyjednávací klastry, aby zajistila co nejrychlejší dosažení pokroku na cestě Ukrajiny k členství v EU. Úspěšné dokončení tohoto procesu bude výsledkem pevného vedení, jednoznačného odhodlání a jasné vize a také geostrategickou investicí do sjednocené a silné Evropy v mezinárodním prostředí, které je stále méně stabilní.</w:t>
      </w:r>
    </w:p>
    <w:p>
      <w:pPr>
        <w:pStyle w:val="Normal12a"/>
        <w:sectPr>
          <w:footnotePr>
            <w:numRestart w:val="eachSect"/>
          </w:footnotePr>
          <w:type w:val="nextPage"/>
          <w:pgSz w:w="11906" w:h="16838"/>
          <w:pgMar w:top="1134" w:right="1417" w:bottom="1417" w:left="1417" w:header="1134" w:footer="567" w:gutter="0"/>
          <w:cols w:num="1" w:space="708"/>
          <w:titlePg w:val="0"/>
          <w:docGrid w:linePitch="360"/>
        </w:sectPr>
      </w:pPr>
    </w:p>
    <w:p>
      <w:pPr>
        <w:pStyle w:val="PageHeading"/>
      </w:pPr>
      <w:bookmarkStart w:id="2" w:name="_Toc256000005"/>
      <w:r>
        <w:t>PŘÍLOHA: SUBJEKTY NEBO OSOBY, OD NICHŽ ZPRAVODAJ OBDRŽEL PODNĚTY</w:t>
      </w:r>
      <w:bookmarkEnd w:id="2"/>
    </w:p>
    <w:p>
      <w:pPr>
        <w:pStyle w:val="Normal12a"/>
      </w:pPr>
      <w:r>
        <w:rPr>
          <w:rStyle w:val="HideTWBExt"/>
        </w:rPr>
        <w:t>&lt;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  <w:r>
        <w:t>Zpravodaj v souladu s článkem 8 přílohy I jednacího řádu prohlašuje, že při vypracovávání zprávy až do okamžiku jejího přijetí ve výboru obdržel podněty od těchto subjektů nebo osob:</w:t>
      </w:r>
      <w:r>
        <w:rPr>
          <w:rStyle w:val="HideTWBExt"/>
        </w:rPr>
        <w:t>&lt;/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</w:p>
    <w:tbl>
      <w:tblPr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0"/>
      </w:tblGrid>
      <w:tr>
        <w:tblPrEx>
          <w:jc w:val="center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pPr>
              <w:pStyle w:val="NormalCenter"/>
            </w:pPr>
            <w:r>
              <w:rPr>
                <w:rStyle w:val="Bold"/>
              </w:rPr>
              <w:t>Subjekt či osoba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–</w:t>
            </w:r>
          </w:p>
        </w:tc>
      </w:tr>
    </w:tbl>
    <w:p/>
    <w:p>
      <w:pPr>
        <w:pStyle w:val="Normal12a"/>
      </w:pPr>
      <w:r>
        <w:t>Výše uvedený seznam je sestaven na výhradní odpovědnost zpravodaje.</w:t>
      </w:r>
    </w:p>
    <w:p>
      <w:pPr>
        <w:pStyle w:val="Normal12a"/>
      </w:pPr>
      <w:r>
        <w:t>Pokud jsou na seznamu uvedena jména, funkce, případně jména i funkce fyzických osob, zpravodaj prohlašuje, že příslušné fyzické osoby byly seznámeny s prohlášením Evropského parlamentu o ochraně osobních údajů č. 484 (</w:t>
      </w:r>
      <w:hyperlink r:id="rId10" w:history="1">
        <w:r>
          <w:rPr>
            <w:rStyle w:val="Hyperlink"/>
          </w:rPr>
          <w:t>https://www.europarl.europa.eu/data-protect/index.do</w:t>
        </w:r>
      </w:hyperlink>
      <w:r>
        <w:rPr>
          <w:rStyle w:val="DefaultParagraphFont"/>
          <w:b w:val="0"/>
          <w:i w:val="0"/>
          <w:u w:val="none"/>
        </w:rPr>
        <w:t>), v němž jsou stanoveny podmínky platné pro zpracování jejich osobních údajů a práva související s jejich zpracováním.</w:t>
      </w:r>
    </w:p>
    <w:p>
      <w:pPr>
        <w:pStyle w:val="Normal12a"/>
      </w:pPr>
    </w:p>
    <w:sectPr>
      <w:footnotePr>
        <w:numRestart w:val="eachSect"/>
      </w:footnotePr>
      <w:type w:val="nextPage"/>
      <w:pgSz w:w="11906" w:h="16838"/>
      <w:pgMar w:top="1134" w:right="1417" w:bottom="1417" w:left="1417" w:header="1134" w:footer="567" w:gutter="0"/>
      <w:cols w:num="1"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769.901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8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PR\1315204CS.docx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PR\1315204CS.docx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8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769.901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PR\1315204CS.docx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769.901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Nařízení Evropského parlamentu a Rady (EU) 2024/792 ze dne 29. února 2024 o zřízení Nástroje pro Ukrajinu, Úř. věst. L, 2024/792, 29.2.2024, ELI: http://data.europa.eu/eli/reg/2024/792/oj.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  <w:style w:type="paragraph" w:customStyle="1" w:styleId="NormalTab">
    <w:name w:val="NormalTab"/>
    <w:basedOn w:val="Normal"/>
    <w:rsid w:val="00CC6F1E"/>
    <w:pPr>
      <w:tabs>
        <w:tab w:val="center" w:pos="284"/>
        <w:tab w:val="left" w:pos="425"/>
      </w:tabs>
    </w:pPr>
    <w:rPr>
      <w:snapToGrid/>
      <w:lang w:eastAsia="en-GB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europarl.europa.eu/data-protect/index.do" TargetMode="Externa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hyperlink" Target="https://eur-lex.europa.eu/legal-content/EN/ALL/?uri=CELEX:52024DC0690" TargetMode="Externa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8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1315204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20250522-185905-007022-010801</vt:lpwstr>
  </property>
  <property fmtid="{D5CDD505-2E9C-101B-9397-08002B2CF9AE}" pid="7" name="FooterPath">
    <vt:lpwstr>PR\1315204CS.doc</vt:lpwstr>
  </property>
  <property fmtid="{D5CDD505-2E9C-101B-9397-08002B2CF9AE}" pid="8" name="PE Number">
    <vt:lpwstr>769.901</vt:lpwstr>
  </property>
  <property fmtid="{D5CDD505-2E9C-101B-9397-08002B2CF9AE}" pid="9" name="UID">
    <vt:lpwstr>eu.europa.europarl-DIN1-2025-0000022061_01.06-cs-01.00_text-xml</vt:lpwstr>
  </property>
</Properties>
</file>