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Europa-Parlamentet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Udenrigsudvalget</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2025/2026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08/05/2025</w:t>
      </w:r>
      <w:r>
        <w:rPr>
          <w:rStyle w:val="HideTWBInt"/>
        </w:rPr>
        <w:t>}</w:t>
      </w:r>
      <w:r>
        <w:t>08.05.2025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UDKAST TIL BETÆNKNING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om Kommissionens rapporter om Ukraine for 2023 og 2024</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(2025/2026(INI))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Udenrigsudvalget</w:t>
      </w:r>
      <w:r>
        <w:rPr>
          <w:rStyle w:val="HideTWBExt"/>
        </w:rPr>
        <w:t>&lt;/</w:t>
      </w:r>
      <w:r>
        <w:rPr>
          <w:rStyle w:val="HideTWBExt"/>
        </w:rPr>
        <w:t>Commission</w:t>
      </w:r>
      <w:r>
        <w:rPr>
          <w:rStyle w:val="HideTWBExt"/>
        </w:rPr>
        <w:t>&gt;</w:t>
      </w:r>
    </w:p>
    <w:p>
      <w:pPr>
        <w:pStyle w:val="CoverNormal24a"/>
      </w:pPr>
      <w:r>
        <w:t>Ordfører</w:t>
      </w:r>
      <w:r>
        <w:t xml:space="preserve">: </w:t>
      </w:r>
      <w:r>
        <w:rPr>
          <w:rStyle w:val="HideTWBExt"/>
        </w:rPr>
        <w:t>&lt;</w:t>
      </w:r>
      <w:r>
        <w:rPr>
          <w:rStyle w:val="HideTWBExt"/>
        </w:rPr>
        <w:t>Depute</w:t>
      </w:r>
      <w:r>
        <w:rPr>
          <w:rStyle w:val="HideTWBExt"/>
        </w:rPr>
        <w:t>&gt;</w:t>
      </w:r>
      <w:r>
        <w:t>Michael Gahler</w:t>
      </w:r>
      <w:r>
        <w:rPr>
          <w:rStyle w:val="HideTWBExt"/>
        </w:rPr>
        <w:t>&lt;/</w:t>
      </w:r>
      <w:r>
        <w:rPr>
          <w:rStyle w:val="HideTWBExt"/>
        </w:rPr>
        <w:t>Depute</w:t>
      </w:r>
      <w:r>
        <w:rPr>
          <w:rStyle w:val="HideTWBExt"/>
        </w:rPr>
        <w:t>&gt;</w:t>
      </w:r>
    </w:p>
    <w:p>
      <w:r>
        <w:br w:type="page"/>
      </w:r>
      <w:r>
        <w:t>PR_INI</w:t>
      </w:r>
    </w:p>
    <w:p>
      <w:pPr>
        <w:pStyle w:val="TOCHeading"/>
      </w:pPr>
      <w:r>
        <w:t>INDHOLD</w:t>
      </w:r>
    </w:p>
    <w:p>
      <w:pPr>
        <w:pStyle w:val="TOCPage"/>
      </w:pPr>
      <w:r>
        <w:t>Side</w:t>
      </w:r>
    </w:p>
    <w:p>
      <w:pPr>
        <w:pStyle w:val="TOC1"/>
        <w:tabs>
          <w:tab w:val="right" w:leader="dot" w:pos="9062"/>
        </w:tabs>
        <w:rPr>
          <w:rFonts w:ascii="Calibri" w:hAnsi="Calibri"/>
          <w:noProof/>
          <w:sz w:val="22"/>
        </w:rPr>
      </w:pPr>
      <w:r>
        <w:fldChar w:fldCharType="begin"/>
      </w:r>
      <w:r>
        <w:instrText>TOC \t "PageHeading"</w:instrText>
      </w:r>
      <w:r>
        <w:fldChar w:fldCharType="separate"/>
      </w:r>
      <w:r>
        <w:t>FORSLAG TIL EUROPA-PARLAMENTETS BESLUTNING</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BEGRUNDELSE</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BILAG: ENHEDER ELLER PERSONER, SOM ORDFØREREN HAR MODTAGET INPUT FRA</w:t>
      </w:r>
      <w:r>
        <w:tab/>
      </w:r>
      <w:r>
        <w:fldChar w:fldCharType="begin"/>
      </w:r>
      <w:r>
        <w:instrText xml:space="preserve"> PAGEREF _Toc256000005 \h </w:instrText>
      </w:r>
      <w:r>
        <w:fldChar w:fldCharType="separate"/>
      </w:r>
      <w:r>
        <w:t>8</w:t>
      </w:r>
      <w:r>
        <w:fldChar w:fldCharType="end"/>
      </w:r>
    </w:p>
    <w:p>
      <w:pPr>
        <w:pStyle w:val="Normal12b"/>
      </w:pPr>
      <w:r>
        <w:fldChar w:fldCharType="end"/>
      </w:r>
    </w:p>
    <w:p>
      <w:pPr>
        <w:pStyle w:val="CoverNormalLeft"/>
      </w:pPr>
    </w:p>
    <w:p>
      <w:pPr>
        <w:pStyle w:val="PageHeading"/>
      </w:pPr>
      <w:r>
        <w:br w:type="page"/>
      </w:r>
      <w:bookmarkStart w:id="0" w:name="_Toc256000003"/>
      <w:r>
        <w:t>FORSLAG TIL EUROPA-PARLAMENTETS BESLUTNING</w:t>
      </w:r>
      <w:bookmarkEnd w:id="0"/>
    </w:p>
    <w:p>
      <w:pPr>
        <w:pStyle w:val="NormalBold"/>
      </w:pPr>
      <w:r>
        <w:t>om Kommissionens rapporter om Ukraine for 2023 og 2024</w:t>
      </w:r>
    </w:p>
    <w:p>
      <w:pPr>
        <w:pStyle w:val="NormalBold"/>
      </w:pPr>
      <w:r>
        <w:t>(2025/2026(INI))</w:t>
      </w:r>
    </w:p>
    <w:p>
      <w:pPr>
        <w:pStyle w:val="EPComma"/>
      </w:pPr>
      <w:r>
        <w:rPr>
          <w:rStyle w:val="Italic"/>
        </w:rPr>
        <w:t>Europa-Parlamentet</w:t>
      </w:r>
      <w:r>
        <w:t>,</w:t>
      </w:r>
    </w:p>
    <w:p>
      <w:pPr>
        <w:pStyle w:val="NormalHanging12a"/>
      </w:pPr>
      <w:r>
        <w:t>–</w:t>
      </w:r>
      <w:r>
        <w:tab/>
      </w:r>
      <w:r>
        <w:t>der henviser til sine tidligere beslutninger om Ukraine,</w:t>
      </w:r>
    </w:p>
    <w:p>
      <w:pPr>
        <w:pStyle w:val="NormalHanging12a"/>
      </w:pPr>
      <w:r>
        <w:t>–</w:t>
      </w:r>
      <w:r>
        <w:tab/>
      </w:r>
      <w:r>
        <w:t>der henviser til arbejdsdokumentet fra Kommissionens tjenestegrene med rapport om Ukraine 2024 (SWD(2024)0699), der ledsager Kommissionens meddelelse fra 2024 om EU's udvidelsespolitik (</w:t>
      </w:r>
      <w:hyperlink r:id="rId6" w:history="1">
        <w:r>
          <w:rPr>
            <w:rStyle w:val="Hyperlink"/>
          </w:rPr>
          <w:t>COM (2024) 0690</w:t>
        </w:r>
      </w:hyperlink>
      <w:r>
        <w:rPr>
          <w:rStyle w:val="DefaultParagraphFont"/>
          <w:b w:val="0"/>
          <w:i w:val="0"/>
          <w:u w:val="none"/>
        </w:rPr>
        <w:t>),</w:t>
      </w:r>
    </w:p>
    <w:p>
      <w:pPr>
        <w:pStyle w:val="NormalHanging12a"/>
      </w:pPr>
      <w:r>
        <w:t>–</w:t>
      </w:r>
      <w:r>
        <w:tab/>
      </w:r>
      <w:r>
        <w:t>der henviser til forretningsordenens artikel 55,</w:t>
      </w:r>
    </w:p>
    <w:p>
      <w:pPr>
        <w:pStyle w:val="NormalHanging12a"/>
      </w:pPr>
      <w:r>
        <w:t>–</w:t>
      </w:r>
      <w:r>
        <w:tab/>
      </w:r>
      <w:r>
        <w:t>der henviser til betænkning fra Udenrigsudvalget (A10-0000/2025),</w:t>
      </w:r>
    </w:p>
    <w:p>
      <w:pPr>
        <w:pStyle w:val="NormalHanging12a"/>
      </w:pPr>
      <w:r>
        <w:t>A.</w:t>
      </w:r>
      <w:r>
        <w:tab/>
      </w:r>
      <w:r>
        <w:t>der henviser til, at Parlamentet på det kraftigste fordømmer det russiske angreb på Ukraine og støtter Ukraines ret til suverænitet, uafhængighed og territorial integritet inden for dets internationalt anerkendte grænser;</w:t>
      </w:r>
    </w:p>
    <w:p>
      <w:pPr>
        <w:pStyle w:val="NormalHanging12a"/>
      </w:pPr>
      <w:r>
        <w:t>B.</w:t>
      </w:r>
      <w:r>
        <w:tab/>
      </w:r>
      <w:r>
        <w:t>der henviser til, at Ukraine har udvist bemærkelsesværdig modstandsdygtighed og engagement i at holde fast i vejen mod EU på trods af den igangværende russiske angrebskrig;</w:t>
      </w:r>
    </w:p>
    <w:p>
      <w:pPr>
        <w:pStyle w:val="NormalHanging12a"/>
      </w:pPr>
      <w:r>
        <w:t>C.</w:t>
      </w:r>
      <w:r>
        <w:tab/>
      </w:r>
      <w:r>
        <w:t>der henviser til, at de lovgivningsmæssige reformer, som Ukraine har indledt, afspejler landets engagement i tilpasningen til gældende EU-ret;</w:t>
      </w:r>
    </w:p>
    <w:p>
      <w:pPr>
        <w:pStyle w:val="NormalHanging12a"/>
      </w:pPr>
      <w:r>
        <w:t>D.</w:t>
      </w:r>
      <w:r>
        <w:tab/>
      </w:r>
      <w:r>
        <w:t>der henviser til, at der fortsat er udfordringer på områder såsom retsvæsenets uafhængighed og systemisk korruption, som skal tackles gennem større statslig ansvarlighed og internationalt tilsyn;</w:t>
      </w:r>
    </w:p>
    <w:p>
      <w:pPr>
        <w:pStyle w:val="NormalHanging12a"/>
      </w:pPr>
      <w:r>
        <w:t>E.</w:t>
      </w:r>
      <w:r>
        <w:tab/>
      </w:r>
      <w:r>
        <w:t>der henviser til, at Ukraine har gjort fremskridt inden for regionalt samarbejde og for så vidt angår socioøkonomiske reformer til at tilpasse landets politikker til EU's standarder;</w:t>
      </w:r>
    </w:p>
    <w:p>
      <w:pPr>
        <w:pStyle w:val="NormalHanging12a"/>
      </w:pPr>
      <w:r>
        <w:t>F.</w:t>
      </w:r>
      <w:r>
        <w:tab/>
      </w:r>
      <w:r>
        <w:t>der henviser til, at Ukraines demokratiske institutioner har udvist tilpasningsevne under landets militære undtagelsestilstand, selv om der fortsat er betænkeligheder med hensyn til gennemsigtighed og magtbalance i denne periode;</w:t>
      </w:r>
    </w:p>
    <w:p>
      <w:pPr>
        <w:pStyle w:val="NormalHanging12a"/>
      </w:pPr>
      <w:r>
        <w:t>G.</w:t>
      </w:r>
      <w:r>
        <w:tab/>
      </w:r>
      <w:r>
        <w:t>der henviser til, at der er gjort fremskridt med reformen af den offentlige forvaltning, men at der stadig er behov for yderligere kapacitetsopbygning og forbedringer af forvaltningen af menneskelige ressourcer;</w:t>
      </w:r>
    </w:p>
    <w:p>
      <w:pPr>
        <w:pStyle w:val="NormalHanging12a"/>
      </w:pPr>
      <w:r>
        <w:t>H.</w:t>
      </w:r>
      <w:r>
        <w:tab/>
      </w:r>
      <w:r>
        <w:t>der henviser til, at retsvæsenet har genoptaget nøglefunktioner, herunder screening af dommere og gennemførelse af foranstaltninger til bekæmpelse af korruption, omend integritets- og gennemsigtighedsstandarderne skal styrkes;</w:t>
      </w:r>
    </w:p>
    <w:p>
      <w:pPr>
        <w:pStyle w:val="NormalHanging12a"/>
      </w:pPr>
      <w:r>
        <w:t>I.</w:t>
      </w:r>
      <w:r>
        <w:tab/>
      </w:r>
      <w:r>
        <w:t>der henviser til, at Ukraine har udvist engagement i den grønne dagsorden gennem lovgivning om vedvarende energi og ved at tilpasse sig målene i den europæiske grønne pagt;</w:t>
      </w:r>
    </w:p>
    <w:p>
      <w:pPr>
        <w:pStyle w:val="NormalHanging12a"/>
      </w:pPr>
      <w:r>
        <w:t>J.</w:t>
      </w:r>
      <w:r>
        <w:tab/>
      </w:r>
      <w:r>
        <w:t>der henviser til, at civilsamfundet fortsat er en søjle af modstandsdygtighed og demokrati i Ukraine, selv om tilfælde af pres mod aktivister giver anledning til bekymring og kræver handling fra regeringens side;</w:t>
      </w:r>
    </w:p>
    <w:p>
      <w:pPr>
        <w:pStyle w:val="NormalHanging12a"/>
      </w:pPr>
      <w:r>
        <w:t>K.</w:t>
      </w:r>
      <w:r>
        <w:tab/>
      </w:r>
      <w:r>
        <w:t>der henviser til, at ytringsfriheden og mediernes uafhængighed er under pres, navnlig i en tid med undtagelsestilstand; der henviser til, at der er behov for reformer for at genoprette pluralismen og beskytte journalister;</w:t>
      </w:r>
    </w:p>
    <w:p>
      <w:pPr>
        <w:pStyle w:val="NormalHanging12a"/>
      </w:pPr>
      <w:r>
        <w:t>L.</w:t>
      </w:r>
      <w:r>
        <w:tab/>
      </w:r>
      <w:r>
        <w:t>der henviser til, at Ukraines EU-integrationsproces støttes bredt af offentlig og institutionel konsensus, hvilket afspejler et stærkt samfundsmæssigt engagement i et EU-medlemskab på trods af de nuværende vanskeligheder;</w:t>
      </w:r>
    </w:p>
    <w:p>
      <w:pPr>
        <w:pStyle w:val="NormalHanging12a"/>
      </w:pPr>
      <w:r>
        <w:t>M.</w:t>
      </w:r>
      <w:r>
        <w:tab/>
      </w:r>
      <w:r>
        <w:t>der henviser til, at et EU-medlemskab fortsat er en afgørende drivkraft for Ukraines demokratiske udvikling og vil udgøre en afgørende faktor med hensyn til at sikre landets fremtidige sikkerhed, stabilitet og uafhængighed;</w:t>
      </w:r>
    </w:p>
    <w:p>
      <w:pPr>
        <w:pStyle w:val="Normal12a24b"/>
      </w:pPr>
      <w:r>
        <w:rPr>
          <w:rStyle w:val="BoldItalic"/>
        </w:rPr>
        <w:t>Om status for Ruslands angrebskrig og sanktioner</w:t>
      </w:r>
    </w:p>
    <w:p>
      <w:pPr>
        <w:pStyle w:val="NormalHanging12a"/>
      </w:pPr>
      <w:r>
        <w:t>1.</w:t>
      </w:r>
      <w:r>
        <w:tab/>
      </w:r>
      <w:r>
        <w:t>bekræfter på ny sin urokkelige solidaritet med det ukrainske folk og sin støtte til Ukraines uafhængighed, suverænitet og territoriale integritet inden for dets internationalt anerkendte grænser; understreger kraftigt Ukraines naturlige ret til at forsvare sig selv i overensstemmelse med artikel 51 i FN-pagten;</w:t>
      </w:r>
    </w:p>
    <w:p>
      <w:pPr>
        <w:pStyle w:val="NormalHanging12a"/>
      </w:pPr>
      <w:r>
        <w:t>2.</w:t>
      </w:r>
      <w:r>
        <w:tab/>
      </w:r>
      <w:r>
        <w:t>understreger, at EU og dets medlemsstater i væsentlig grad må øge den bistand, de yder til at værne om Ukraines ret til selvforsvar; betoner, at EU og dets medlemsstater sammen med sine partnere og allierede skal bidrage til solide sikkerhedsgarantier for Ukraine for at afskrække Rusland fra yderligere angreb;</w:t>
      </w:r>
    </w:p>
    <w:p>
      <w:pPr>
        <w:pStyle w:val="Normal12a24b"/>
      </w:pPr>
      <w:r>
        <w:rPr>
          <w:rStyle w:val="BoldItalic"/>
        </w:rPr>
        <w:t>Engagement i EU-medlemskab</w:t>
      </w:r>
    </w:p>
    <w:p>
      <w:pPr>
        <w:pStyle w:val="NormalHanging12a"/>
      </w:pPr>
      <w:r>
        <w:t>3.</w:t>
      </w:r>
      <w:r>
        <w:tab/>
      </w:r>
      <w:r>
        <w:t>glæder sig meget over Ukraines urokkelige bestræbelser på at opfylde kravene til EU-medlemskab, herunder overholdelse af gældende EU-ret;</w:t>
      </w:r>
    </w:p>
    <w:p>
      <w:pPr>
        <w:pStyle w:val="NormalHanging12a"/>
      </w:pPr>
      <w:r>
        <w:t>4.</w:t>
      </w:r>
      <w:r>
        <w:tab/>
      </w:r>
      <w:r>
        <w:t>noterer sig aftalen mellem USA og Ukraine om kritiske mineraler; glæder sig over, at den indeholder udtrykkelige formuleringer, der er udformet til at beskytte Ukraines EU-tiltrædelsesproces og dermed forbundne forpligtelser samt at sikre forenelighed med Ukraines forpligtelser over for internationale finansielle institutioner eller andre officielle kreditorer; opfordrer Kommissionen til at føre kontrol med, at disse garantier gennemføres strengt;</w:t>
      </w:r>
    </w:p>
    <w:p>
      <w:pPr>
        <w:pStyle w:val="Normal12a24b"/>
      </w:pPr>
      <w:r>
        <w:rPr>
          <w:rStyle w:val="BoldItalic"/>
        </w:rPr>
        <w:t>Demokrati, retsstatsprincippet og kampen mod korruption</w:t>
      </w:r>
    </w:p>
    <w:p>
      <w:pPr>
        <w:pStyle w:val="NormalHanging12a"/>
      </w:pPr>
      <w:r>
        <w:t>5.</w:t>
      </w:r>
      <w:r>
        <w:tab/>
      </w:r>
      <w:r>
        <w:t>anerkender Ukraines ekstraordinære indsats for at styrke de demokratiske institutioner i en tid med krig; opfordrer samtidig Ukraine til at øge gennemsigtigheden i lovgivningsprocesserne og afsætte flere ressourcer til reform af retsvæsenet;</w:t>
      </w:r>
    </w:p>
    <w:p>
      <w:pPr>
        <w:pStyle w:val="NormalHanging12a"/>
      </w:pPr>
      <w:r>
        <w:t>6.</w:t>
      </w:r>
      <w:r>
        <w:tab/>
      </w:r>
      <w:r>
        <w:t>opfordrer Ukraine til at gøre noget ved de problemer, der hindrer udviklingen af retsvæsenet; understreger, at der er behov for forbedringer af retsvæsenets uafhængighed og bekæmpelsen af korruption;</w:t>
      </w:r>
    </w:p>
    <w:p>
      <w:pPr>
        <w:pStyle w:val="NormalHanging12a"/>
      </w:pPr>
      <w:r>
        <w:t>7.</w:t>
      </w:r>
      <w:r>
        <w:tab/>
      </w:r>
      <w:r>
        <w:t>glæder sig over udnævnelsen af en ny leder af det nationale agentur for forebyggelse af korruption og af uafhængige revisorer til at vurdere effektiviteten af Ukraines nationale kontor for korruptionsbekæmpelse i forbindelse med efterforskning af korruption; glæder sig over ikrafttrædelsen af den ændrede straffelov og strafferetsplejeloven; roser vedtagelsen af handlingsplanen for gennemførelsen af strategien for inddrivelse af aktiver for 2024-2025 og dertil knyttede foranstaltninger;</w:t>
      </w:r>
    </w:p>
    <w:p>
      <w:pPr>
        <w:pStyle w:val="NormalHanging12a"/>
      </w:pPr>
      <w:r>
        <w:t>8.</w:t>
      </w:r>
      <w:r>
        <w:tab/>
      </w:r>
      <w:r>
        <w:t>opfordrer Ukraine til at sikre uafhængighed og effektivitet for korruptionsbekæmpende institutioner, herunder den særlige anklagemyndighed for korruptionsbekæmpelse (SAPO), ved at sikre gennemsigtige udnævnelsesprocesser og beskytte sådanne organer mod politisk indflydelse; roser Ukraine for at have øget medarbejderstaben i SAPO;</w:t>
      </w:r>
    </w:p>
    <w:p>
      <w:pPr>
        <w:pStyle w:val="NormalHanging12a"/>
      </w:pPr>
      <w:r>
        <w:t>9.</w:t>
      </w:r>
      <w:r>
        <w:tab/>
      </w:r>
      <w:r>
        <w:t xml:space="preserve">anerkender konklusionerne i addendummet til den anden overholdelsesrapport, der blev vedtaget af </w:t>
      </w:r>
      <w:r>
        <w:t>Europarådet</w:t>
      </w:r>
      <w:r>
        <w:t>s Sammenslutning af Stater mod Korruption den 22. november 2024, ifølge hvilke Ukraine har gennemført eller behandlet 18 ud af 31 henstillinger fra rapporten på tilfredsstillende vis; opfordrer Ukraine til fuldt ud at gennemføre de resterende henstillinger;</w:t>
      </w:r>
    </w:p>
    <w:p>
      <w:pPr>
        <w:pStyle w:val="Normal12a24b"/>
      </w:pPr>
      <w:r>
        <w:rPr>
          <w:rStyle w:val="BoldItalic"/>
        </w:rPr>
        <w:t>Grundlæggende friheds- og menneskerettigheder</w:t>
      </w:r>
    </w:p>
    <w:p>
      <w:pPr>
        <w:pStyle w:val="NormalHanging12a"/>
      </w:pPr>
      <w:r>
        <w:t>10.</w:t>
      </w:r>
      <w:r>
        <w:tab/>
      </w:r>
      <w:r>
        <w:t>roser Ukraine for dets tilsagn om at opretholde de grundlæggende rettigheder på trods af den igangværende russiske angrebskrig; glæder sig over den nylige vedtagelse af handlingsplanen for beskyttelse af nationale mindretals rettigheder frem til 2027, som har til formål at harmonisere ukrainsk lovgivning med europæiske standarder;</w:t>
      </w:r>
    </w:p>
    <w:p>
      <w:pPr>
        <w:pStyle w:val="Normal12a24b"/>
      </w:pPr>
      <w:r>
        <w:rPr>
          <w:rStyle w:val="BoldItalic"/>
        </w:rPr>
        <w:t>Regionalt samarbejde og gode naboskabsforbindelser</w:t>
      </w:r>
    </w:p>
    <w:p>
      <w:pPr>
        <w:pStyle w:val="NormalHanging12a"/>
      </w:pPr>
      <w:r>
        <w:t>11.</w:t>
      </w:r>
      <w:r>
        <w:tab/>
      </w:r>
      <w:r>
        <w:t>glæder sig over Ukraines aktive deltagelse i regionale initiativer såsom landets lederskab i Østpartnerskabets civilsamfundsforum og koordineringen af grænseoverskridende handelsprojekter med Polen;</w:t>
      </w:r>
    </w:p>
    <w:p>
      <w:pPr>
        <w:pStyle w:val="NormalHanging12a"/>
      </w:pPr>
      <w:r>
        <w:t>12.</w:t>
      </w:r>
      <w:r>
        <w:tab/>
      </w:r>
      <w:r>
        <w:t>glæder sig over og tilskynder til ethvert forsøg fra Ukraines og EU-medlemsstaternes side på at tackle uløste aspekter af historiske bilaterale og regionale forbindelser, f.eks. Volhynien-massakren, i en ånd af ægte og oprigtig forsoning og med respekt for EU's værdier om menneskelig værdighed, historisk sandhed og gode naboskabsforbindelser; tror på, at en tålmodig forsoningsproces med alle berørte parters gode vilje vil hele fortidens sår; glæder sig i den forbindelse over de igangværende drøftelser mellem de polske og ukrainske myndigheder, som har ført til en genoptagelse af udgravningen af polske borgeres grave på ukrainsk territorium i april 2025; håber, at processen fortsættes med det klare mål at give ofrene en værdig begravelse og et værdigt eftermæle;</w:t>
      </w:r>
    </w:p>
    <w:p>
      <w:pPr>
        <w:pStyle w:val="Normal12a24b"/>
      </w:pPr>
      <w:r>
        <w:rPr>
          <w:rStyle w:val="BoldItalic"/>
        </w:rPr>
        <w:t>Socioøkonomiske reformer</w:t>
      </w:r>
    </w:p>
    <w:p>
      <w:pPr>
        <w:pStyle w:val="NormalHanging12a"/>
      </w:pPr>
      <w:r>
        <w:t>13.</w:t>
      </w:r>
      <w:r>
        <w:tab/>
      </w:r>
      <w:r>
        <w:t>glæder sig over Ukraines gennemførelse af den prioriterede handlingsplan for 2023-2024 og vedtagelsen af den lovgivning, der er nødvendig for at reformere Ukraines kontor for økonomisk sikkerhed;</w:t>
      </w:r>
    </w:p>
    <w:p>
      <w:pPr>
        <w:pStyle w:val="NormalHanging12a"/>
      </w:pPr>
      <w:r>
        <w:t>14.</w:t>
      </w:r>
      <w:r>
        <w:tab/>
      </w:r>
      <w:r>
        <w:t>minder om vedtagelsen af loven om lokal offentlig forvaltning i 2023 og opfordrer den ukrainske regering til at anlægge en systemisk tilgang til kommende reformer af den offentlige forvaltning ved at fastlægge en klar vision og en struktureret gennemførelsesstrategi;</w:t>
      </w:r>
    </w:p>
    <w:p>
      <w:pPr>
        <w:pStyle w:val="NormalHanging12a"/>
      </w:pPr>
      <w:r>
        <w:t>15.</w:t>
      </w:r>
      <w:r>
        <w:tab/>
      </w:r>
      <w:r>
        <w:t>opfordrer Ukraine til at gøre fremskridt med hensyn til godkendelsen af lovforslag nr. 4298 med henblik på at tilpasse reformer af den lokale statslige forvaltning til EU's standarder ved at etablere en afbalanceret retlig ramme for tilsyn i overensstemmelse med proportionalitetsprincippet og den europæiske konvention om lokalt selvstyre, som ikke krænker de lokale myndigheders kompetencer, beføjelser og selvstyrende funktioner; minder om sit krav om, at lokale og regionale offentlige myndigheder får status som juridisk person;</w:t>
      </w:r>
    </w:p>
    <w:p>
      <w:pPr>
        <w:pStyle w:val="NormalHanging12a"/>
      </w:pPr>
      <w:r>
        <w:t>16.</w:t>
      </w:r>
      <w:r>
        <w:tab/>
      </w:r>
      <w:r>
        <w:t>opfordrer Ukraine til at fortsætte med at gøre fremskridt med gennemførelsen af planen for Ukraine i henhold til forordning (EU) 2024/792</w:t>
      </w:r>
      <w:r>
        <w:rPr>
          <w:rStyle w:val="FootnoteReference"/>
        </w:rPr>
        <w:footnoteReference w:id="2"/>
      </w:r>
      <w:r>
        <w:t>;</w:t>
      </w:r>
    </w:p>
    <w:p>
      <w:pPr>
        <w:pStyle w:val="Normal12a24b"/>
      </w:pPr>
      <w:r>
        <w:rPr>
          <w:rStyle w:val="BoldItalic"/>
        </w:rPr>
        <w:t>Energi, miljø, bæredygtig udvikling og konnektivitet</w:t>
      </w:r>
    </w:p>
    <w:p>
      <w:pPr>
        <w:pStyle w:val="NormalHanging12a"/>
      </w:pPr>
      <w:r>
        <w:t>17.</w:t>
      </w:r>
      <w:r>
        <w:tab/>
      </w:r>
      <w:r>
        <w:t>glæder sig over de betydelige fremskridt, der er gjort med hensyn til reformer af energisektoren og Ukraines tilpasning til målene i den europæiske grønne pagt;</w:t>
      </w:r>
    </w:p>
    <w:p>
      <w:pPr>
        <w:pStyle w:val="NormalHanging12a"/>
      </w:pPr>
      <w:r>
        <w:t>18.</w:t>
      </w:r>
      <w:r>
        <w:tab/>
      </w:r>
      <w:r>
        <w:t>roser Ukraine for at have vedtaget sin nationale energi- og klimaplan;</w:t>
      </w:r>
    </w:p>
    <w:p>
      <w:pPr>
        <w:pStyle w:val="NormalHanging12a"/>
      </w:pPr>
      <w:r>
        <w:t>19.</w:t>
      </w:r>
      <w:r>
        <w:tab/>
      </w:r>
      <w:r>
        <w:t>anbefaler, at Kommissionen hurtigt åbner klynger af forhandlingskapitler med Ukraine for at fremme landets ansøgning om EU-medlemskab i det hurtigst mulige tempo med forbehold for landets fortsatte gennemførelse af gældende EU-ret og fuldførelsen af de reformer, det har sat i gang;</w:t>
      </w:r>
    </w:p>
    <w:p>
      <w:pPr>
        <w:pStyle w:val="NormalHanging12a"/>
      </w:pPr>
      <w:r>
        <w:t>20.</w:t>
      </w:r>
      <w:r>
        <w:tab/>
      </w:r>
      <w:r>
        <w:t>pålægger sin formand at fremsende denne beslutning til Rådet og Kommissionen.</w:t>
      </w:r>
    </w:p>
    <w:p>
      <w:pPr>
        <w:pStyle w:val="NormalHanging12a"/>
        <w:sectPr>
          <w:footerReference w:type="even" r:id="rId7"/>
          <w:footerReference w:type="default" r:id="rId8"/>
          <w:footerReference w:type="first" r:id="rId9"/>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BEGRUNDELSE</w:t>
      </w:r>
      <w:bookmarkEnd w:id="1"/>
    </w:p>
    <w:p>
      <w:pPr>
        <w:pStyle w:val="Normal12a"/>
      </w:pPr>
      <w:r>
        <w:t>Som ordfører for dette vigtige initiativ glæder det mig at kunne fremlægge en betænkning, der afspejler Den Europæiske Unions permanente og urokkelige strategiske engagement i Ukraine. Denne betænkning er den første siden starten på den omfattende russiske invasion af Ukraine og tildelingen af kandidatstatus til Ukraine og indledningen af tiltrædelsesforhandlingerne.</w:t>
      </w:r>
    </w:p>
    <w:p>
      <w:pPr>
        <w:pStyle w:val="Normal12a"/>
      </w:pPr>
      <w:r>
        <w:t>Ukraine er det vigtigste enkeltområde for den del af EU's aktiviteter, der vedrører området eksterne forbindelser. Den igangværende krig i Ukraine har allerede haft stor indflydelse på EU og har det fortsat. Krigens resultat er eksistentielt vigtigt for EU. Derfor har EU og dets medlemsstater ydet konsekvent politisk, diplomatisk, finansiel og militær bistand til Ukraine. I betragtning af Trump-administrationens igangværende U-vending er EU's ansvar nu endnu større.</w:t>
      </w:r>
    </w:p>
    <w:p>
      <w:pPr>
        <w:pStyle w:val="Normal12a"/>
      </w:pPr>
      <w:r>
        <w:t>Jeg har udarbejdet udkastet til betænkning på baggrund af ovennævnte geopolitiske og sikkerhedsmæssige kontekst. I teksten kommer jeg ind på Ukraines forberedelse på at opfylde kravene til EU-medlemskab, herunder overholdelse af gældende EU-ret. Jeg analyserer endvidere de komplekse nationale reformer, der gennemføres i en situation med en igangværende krig. Jeg fremhæver især spørgsmålet om demokrati, retsstatsprincippet og bekæmpelse af korruption. Der tilskyndes til at bygge videre på resultaterne af reformer inden for sektorerne for energi, miljø, bæredygtig udvikling og konnektivitet. Endvidere understreger jeg vigtigheden af regionalt samarbejde og gode naboskabsforbindelser;</w:t>
      </w:r>
    </w:p>
    <w:p>
      <w:pPr>
        <w:pStyle w:val="Normal12a"/>
      </w:pPr>
      <w:r>
        <w:t>I ændringsforslagsfasen vil yderligere aspekter forbedre og supplere udkastet til betænkning og inkorporere den seneste udvikling i eventuelle internationale forhandlinger og interne reformbestræbelser.</w:t>
      </w:r>
    </w:p>
    <w:p>
      <w:pPr>
        <w:pStyle w:val="Normal12a"/>
      </w:pPr>
      <w:r>
        <w:t>Afslutningsvis gentager jeg den stærke opfordring til Kommissionen om at indlede klynger af forhandlingskapitler for at fremme Ukraines ansøgning om medlemskab i det hurtigste mulige tempo. En vellykket afslutning af denne proces svarer til at udvise lederskab, beslutsomhed og vision og er en geostrategisk investering i et forenet og stærkt Europa i et stadig mere ustabilt internationalt miljø.</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BILAG: ENHEDER ELLER PERSONER,</w:t>
        <w:br/>
        <w:t>SOM ORDFØREREN HAR MODTAGET INPUT FRA</w:t>
      </w:r>
      <w:bookmarkEnd w:id="2"/>
    </w:p>
    <w:p>
      <w:pPr>
        <w:pStyle w:val="Normal12a"/>
      </w:pPr>
      <w:r>
        <w:rPr>
          <w:rStyle w:val="HideTWBExt"/>
        </w:rPr>
        <w:t>&lt;</w:t>
      </w:r>
      <w:r>
        <w:rPr>
          <w:rStyle w:val="HideTWBExt"/>
        </w:rPr>
        <w:t>FootprintIntro</w:t>
      </w:r>
      <w:r>
        <w:rPr>
          <w:rStyle w:val="HideTWBExt"/>
        </w:rPr>
        <w:t>&gt;</w:t>
      </w:r>
      <w:r>
        <w:t>I henhold til artikel 8 i bilag I til forretningsordenen erklærer ordføreren at have modtaget input fra følgende enheder eller personer som led i udarbejdelsen af udkastet til betænkning:</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Enhed og/eller person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Ingen</w:t>
            </w:r>
          </w:p>
        </w:tc>
      </w:tr>
    </w:tbl>
    <w:p/>
    <w:p>
      <w:pPr>
        <w:pStyle w:val="Normal12a"/>
      </w:pPr>
      <w:r>
        <w:t>Ordføreren har udarbejdet ovenstående liste på eget ansvar.</w:t>
      </w:r>
    </w:p>
    <w:p>
      <w:pPr>
        <w:pStyle w:val="Normal12a"/>
      </w:pPr>
      <w:r>
        <w:t>Når fysiske personer er identificeret på listen ved deres navn, deres funktion eller begge, erklærer ordføreren at have forelagt de pågældende fysiske personer Europa-Parlamentets databeskyttelsesmeddelelse nr. 484 (</w:t>
      </w:r>
      <w:hyperlink r:id="rId10" w:history="1">
        <w:r>
          <w:rPr>
            <w:rStyle w:val="Hyperlink"/>
          </w:rPr>
          <w:t>https://www.europarl.europa.eu/data-protect/index.do</w:t>
        </w:r>
      </w:hyperlink>
      <w:r>
        <w:rPr>
          <w:rStyle w:val="DefaultParagraphFont"/>
          <w:b w:val="0"/>
          <w:i w:val="0"/>
          <w:u w:val="none"/>
        </w:rPr>
        <w:t>), hvori de gældende betingelser for behandling af deres personoplysninger og rettighederne forbundet med denne behandling er fastlagt.</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769.901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8</w:t>
    </w:r>
    <w:r>
      <w:fldChar w:fldCharType="end"/>
    </w:r>
    <w:r>
      <w:tab/>
    </w:r>
    <w:r>
      <w:rPr>
        <w:rStyle w:val="HideTWBExt"/>
      </w:rPr>
      <w:t>&lt;</w:t>
    </w:r>
    <w:r>
      <w:rPr>
        <w:rStyle w:val="HideTWBExt"/>
      </w:rPr>
      <w:t>PathFdR</w:t>
    </w:r>
    <w:r>
      <w:rPr>
        <w:rStyle w:val="HideTWBExt"/>
      </w:rPr>
      <w:t>&gt;</w:t>
    </w:r>
    <w:r>
      <w:t>PR\1315204DA.docx</w:t>
    </w:r>
    <w:r>
      <w:rPr>
        <w:rStyle w:val="HideTWBExt"/>
      </w:rPr>
      <w:t>&lt;/</w:t>
    </w:r>
    <w:r>
      <w:rPr>
        <w:rStyle w:val="HideTWBExt"/>
      </w:rPr>
      <w:t>PathFdR</w:t>
    </w:r>
    <w:r>
      <w:rPr>
        <w:rStyle w:val="HideTWBExt"/>
      </w:rPr>
      <w:t>&gt;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PR\1315204DA.docx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8</w:t>
    </w:r>
    <w:r>
      <w:fldChar w:fldCharType="end"/>
    </w:r>
    <w:r>
      <w:tab/>
    </w:r>
    <w:r>
      <w:t>PE</w:t>
    </w:r>
    <w:r>
      <w:rPr>
        <w:rStyle w:val="HideTWBExt"/>
      </w:rPr>
      <w:t>&lt;</w:t>
    </w:r>
    <w:r>
      <w:rPr>
        <w:rStyle w:val="HideTWBExt"/>
      </w:rPr>
      <w:t>NoPE</w:t>
    </w:r>
    <w:r>
      <w:rPr>
        <w:rStyle w:val="HideTWBExt"/>
      </w:rPr>
      <w:t>&gt;</w:t>
    </w:r>
    <w:r>
      <w:t>769.901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PR\1315204DA.docx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769.901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Europa-Parlamentets og Rådets forordning (EU) 2024/792 af 29. februar 2024 om oprettelse af Ukrainefaciliteten (EUT L 2024/792 af 29.2.2024), ELI: https://eur-lex.europa.eu/eli/reg/2024/792/oj?eliuri=eli%3Areg%3A2024%3A792%3Aoj&amp;locale=da.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uroparl.europa.eu/data-protect/index.do"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DA/ALL/?uri=CELEX:52024DC0690"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1315204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20250522-135103-006776-643734</vt:lpwstr>
  </property>
  <property fmtid="{D5CDD505-2E9C-101B-9397-08002B2CF9AE}" pid="7" name="FooterPath">
    <vt:lpwstr>PR\1315204DA.doc</vt:lpwstr>
  </property>
  <property fmtid="{D5CDD505-2E9C-101B-9397-08002B2CF9AE}" pid="8" name="PE Number">
    <vt:lpwstr>769.901</vt:lpwstr>
  </property>
  <property fmtid="{D5CDD505-2E9C-101B-9397-08002B2CF9AE}" pid="9" name="UID">
    <vt:lpwstr>eu.europa.europarl-DIN1-2025-0000022061_01.06-da-01.00_text-xml</vt:lpwstr>
  </property>
</Properties>
</file>