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Parlamento europeo</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AFET</w:t>
      </w:r>
      <w:r>
        <w:rPr>
          <w:rStyle w:val="HideTWBInt"/>
        </w:rPr>
        <w:t>}</w:t>
      </w:r>
      <w:r>
        <w:t>Commissione per gli affari esteri</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2025/2026</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08/05/2025</w:t>
      </w:r>
      <w:r>
        <w:rPr>
          <w:rStyle w:val="HideTWBInt"/>
        </w:rPr>
        <w:t>}</w:t>
      </w:r>
      <w:r>
        <w:t>8.5.2025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PROGETTO DI RELAZIONE</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sulle relazioni 2023 e 2024 della Commissione sull'Ucraina</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(2025/2026(INI))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AFET</w:t>
      </w:r>
      <w:r>
        <w:rPr>
          <w:rStyle w:val="HideTWBInt"/>
        </w:rPr>
        <w:t>}</w:t>
      </w:r>
      <w:r>
        <w:t>Commissione per gli affari esteri</w:t>
      </w:r>
      <w:r>
        <w:rPr>
          <w:rStyle w:val="HideTWBExt"/>
        </w:rPr>
        <w:t>&lt;/</w:t>
      </w:r>
      <w:r>
        <w:rPr>
          <w:rStyle w:val="HideTWBExt"/>
        </w:rPr>
        <w:t>Commission</w:t>
      </w:r>
      <w:r>
        <w:rPr>
          <w:rStyle w:val="HideTWBExt"/>
        </w:rPr>
        <w:t>&gt;</w:t>
      </w:r>
    </w:p>
    <w:p>
      <w:pPr>
        <w:pStyle w:val="CoverNormal24a"/>
      </w:pPr>
      <w:r>
        <w:t>Relatore</w:t>
      </w:r>
      <w:r>
        <w:t xml:space="preserve">: </w:t>
      </w:r>
      <w:r>
        <w:rPr>
          <w:rStyle w:val="HideTWBExt"/>
        </w:rPr>
        <w:t>&lt;</w:t>
      </w:r>
      <w:r>
        <w:rPr>
          <w:rStyle w:val="HideTWBExt"/>
        </w:rPr>
        <w:t>Depute</w:t>
      </w:r>
      <w:r>
        <w:rPr>
          <w:rStyle w:val="HideTWBExt"/>
        </w:rPr>
        <w:t>&gt;</w:t>
      </w:r>
      <w:r>
        <w:t>Michael Gahler</w:t>
      </w:r>
      <w:r>
        <w:rPr>
          <w:rStyle w:val="HideTWBExt"/>
        </w:rPr>
        <w:t>&lt;/</w:t>
      </w:r>
      <w:r>
        <w:rPr>
          <w:rStyle w:val="HideTWBExt"/>
        </w:rPr>
        <w:t>Depute</w:t>
      </w:r>
      <w:r>
        <w:rPr>
          <w:rStyle w:val="HideTWBExt"/>
        </w:rPr>
        <w:t>&gt;</w:t>
      </w:r>
    </w:p>
    <w:p>
      <w:r>
        <w:br w:type="page"/>
      </w:r>
      <w:r>
        <w:t>PR_INI</w:t>
      </w:r>
    </w:p>
    <w:p>
      <w:pPr>
        <w:pStyle w:val="TOCHeading"/>
      </w:pPr>
      <w:r>
        <w:t>INDICE</w:t>
      </w:r>
    </w:p>
    <w:p>
      <w:pPr>
        <w:pStyle w:val="TOCPage"/>
      </w:pPr>
      <w:r>
        <w:t>Pagina</w:t>
      </w:r>
    </w:p>
    <w:p>
      <w:pPr>
        <w:pStyle w:val="TOC1"/>
        <w:tabs>
          <w:tab w:val="right" w:leader="dot" w:pos="9062"/>
        </w:tabs>
        <w:rPr>
          <w:rFonts w:ascii="Calibri" w:hAnsi="Calibri"/>
          <w:noProof/>
          <w:sz w:val="22"/>
        </w:rPr>
      </w:pPr>
      <w:r>
        <w:fldChar w:fldCharType="begin"/>
      </w:r>
      <w:r>
        <w:instrText>TOC \t "PageHeading"</w:instrText>
      </w:r>
      <w:r>
        <w:fldChar w:fldCharType="separate"/>
      </w:r>
      <w:r>
        <w:t>PROPOSTA DI RISOLUZIONE DEL PARLAMENTO EUROPEO</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MOTIVAZIONE</w:t>
      </w:r>
      <w:r>
        <w:tab/>
      </w:r>
      <w:r>
        <w:fldChar w:fldCharType="begin"/>
      </w:r>
      <w:r>
        <w:instrText xml:space="preserve"> PAGEREF _Toc256000004 \h </w:instrText>
      </w:r>
      <w:r>
        <w:fldChar w:fldCharType="separate"/>
      </w:r>
      <w:r>
        <w:t>7</w:t>
      </w:r>
      <w:r>
        <w:fldChar w:fldCharType="end"/>
      </w:r>
    </w:p>
    <w:p>
      <w:pPr>
        <w:pStyle w:val="TOC1"/>
        <w:tabs>
          <w:tab w:val="right" w:leader="dot" w:pos="9062"/>
        </w:tabs>
        <w:rPr>
          <w:rFonts w:ascii="Calibri" w:hAnsi="Calibri"/>
          <w:noProof/>
          <w:sz w:val="22"/>
        </w:rPr>
      </w:pPr>
      <w:r>
        <w:t>ALLEGATO: ENTITÀ O PERSONE DA CUI IL RELATORE HA RICEVUTO CONTRIBUTI</w:t>
      </w:r>
      <w:r>
        <w:tab/>
      </w:r>
      <w:r>
        <w:fldChar w:fldCharType="begin"/>
      </w:r>
      <w:r>
        <w:instrText xml:space="preserve"> PAGEREF _Toc256000005 \h </w:instrText>
      </w:r>
      <w:r>
        <w:fldChar w:fldCharType="separate"/>
      </w:r>
      <w:r>
        <w:t>8</w:t>
      </w:r>
      <w:r>
        <w:fldChar w:fldCharType="end"/>
      </w:r>
    </w:p>
    <w:p>
      <w:pPr>
        <w:pStyle w:val="Normal12b"/>
      </w:pPr>
      <w:r>
        <w:fldChar w:fldCharType="end"/>
      </w:r>
    </w:p>
    <w:p>
      <w:pPr>
        <w:pStyle w:val="CoverNormalLeft"/>
      </w:pPr>
    </w:p>
    <w:p>
      <w:pPr>
        <w:pStyle w:val="PageHeading"/>
      </w:pPr>
      <w:r>
        <w:br w:type="page"/>
      </w:r>
      <w:bookmarkStart w:id="0" w:name="_Toc256000003"/>
      <w:r>
        <w:t>PROPOSTA DI RISOLUZIONE DEL PARLAMENTO EUROPEO</w:t>
      </w:r>
      <w:bookmarkEnd w:id="0"/>
    </w:p>
    <w:p>
      <w:pPr>
        <w:pStyle w:val="NormalBold"/>
      </w:pPr>
      <w:r>
        <w:t>sulle relazioni 2023 e 2024 della Commissione sull'Ucraina</w:t>
      </w:r>
    </w:p>
    <w:p>
      <w:pPr>
        <w:pStyle w:val="NormalBold"/>
      </w:pPr>
      <w:r>
        <w:t>(2025/2026(INI))</w:t>
      </w:r>
    </w:p>
    <w:p>
      <w:pPr>
        <w:pStyle w:val="EPComma"/>
      </w:pPr>
      <w:r>
        <w:rPr>
          <w:rStyle w:val="Italic"/>
        </w:rPr>
        <w:t>Il Parlamento europeo</w:t>
      </w:r>
      <w:r>
        <w:t>,</w:t>
      </w:r>
    </w:p>
    <w:p>
      <w:pPr>
        <w:pStyle w:val="NormalHanging12a"/>
      </w:pPr>
      <w:r>
        <w:t>–</w:t>
      </w:r>
      <w:r>
        <w:tab/>
      </w:r>
      <w:r>
        <w:t>viste le sue precedenti risoluzioni sull'Ucraina,</w:t>
      </w:r>
    </w:p>
    <w:p>
      <w:pPr>
        <w:pStyle w:val="NormalHanging12a"/>
      </w:pPr>
      <w:r>
        <w:t>–</w:t>
      </w:r>
      <w:r>
        <w:tab/>
      </w:r>
      <w:r>
        <w:t>visto il documento di lavoro dei servizi della Commissione dal titolo "Ukraine 2024 Report" (Relazione 2024 sull'Ucraina) (SWD(2024)0699) che accompagna la comunicazione della Commissione dal titolo "Comunicazione 2024 sulla politica di allargamento dell'UE" (</w:t>
      </w:r>
      <w:hyperlink r:id="rId6" w:history="1">
        <w:r>
          <w:rPr>
            <w:rStyle w:val="Hyperlink"/>
          </w:rPr>
          <w:t>COM(2024)0690</w:t>
        </w:r>
      </w:hyperlink>
      <w:r>
        <w:rPr>
          <w:rStyle w:val="DefaultParagraphFont"/>
          <w:b w:val="0"/>
          <w:i w:val="0"/>
          <w:u w:val="none"/>
        </w:rPr>
        <w:t>),</w:t>
      </w:r>
    </w:p>
    <w:p>
      <w:pPr>
        <w:pStyle w:val="NormalHanging12a"/>
      </w:pPr>
      <w:r>
        <w:t>–</w:t>
      </w:r>
      <w:r>
        <w:tab/>
      </w:r>
      <w:r>
        <w:t>visto l'articolo 55 del suo regolamento,</w:t>
      </w:r>
    </w:p>
    <w:p>
      <w:pPr>
        <w:pStyle w:val="NormalHanging12a"/>
      </w:pPr>
      <w:r>
        <w:t>–</w:t>
      </w:r>
      <w:r>
        <w:tab/>
      </w:r>
      <w:r>
        <w:t>vista la relazione della commissione per gli affari esteri (A10-0000/2025),</w:t>
      </w:r>
    </w:p>
    <w:p>
      <w:pPr>
        <w:pStyle w:val="NormalHanging12a"/>
      </w:pPr>
      <w:r>
        <w:t>A.</w:t>
      </w:r>
      <w:r>
        <w:tab/>
      </w:r>
      <w:r>
        <w:t>considerando che il Parlamento condanna con la massima fermezza l'aggressione russa nei confronti dell'Ucraina e sostiene il diritto dell'Ucraina alla sovranità, all'indipendenza e all'integrità territoriale entro i suoi confini riconosciuti a livello internazionale;</w:t>
      </w:r>
    </w:p>
    <w:p>
      <w:pPr>
        <w:pStyle w:val="NormalHanging12a"/>
      </w:pPr>
      <w:r>
        <w:t>B.</w:t>
      </w:r>
      <w:r>
        <w:tab/>
      </w:r>
      <w:r>
        <w:t>considerando che l'Ucraina ha dimostrato una resilienza e un impegno notevoli nel suo percorso europeo nonostante la perdurante guerra di aggressione russa;</w:t>
      </w:r>
    </w:p>
    <w:p>
      <w:pPr>
        <w:pStyle w:val="NormalHanging12a"/>
      </w:pPr>
      <w:r>
        <w:t>B.</w:t>
      </w:r>
      <w:r>
        <w:tab/>
      </w:r>
      <w:r>
        <w:t>considerando che le riforme legislative avviate dall'Ucraina riflettono la sua volontà di allinearsi all'acquis dell'UE;</w:t>
      </w:r>
    </w:p>
    <w:p>
      <w:pPr>
        <w:pStyle w:val="NormalHanging12a"/>
      </w:pPr>
      <w:r>
        <w:t>D.</w:t>
      </w:r>
      <w:r>
        <w:tab/>
      </w:r>
      <w:r>
        <w:t>considerando che permangono sfide in settori quali l'indipendenza del potere giudiziario e la corruzione sistemica, che devono essere affrontate attraverso una maggiore responsabilità del governo e il controllo internazionale;</w:t>
      </w:r>
    </w:p>
    <w:p>
      <w:pPr>
        <w:pStyle w:val="NormalHanging12a"/>
      </w:pPr>
      <w:r>
        <w:t>E.</w:t>
      </w:r>
      <w:r>
        <w:tab/>
      </w:r>
      <w:r>
        <w:t>considerando che l'Ucraina ha compiuto progressi nel settore della cooperazione regionale e delle riforme socioeconomiche per allineare le sue politiche alle norme dell'UE;</w:t>
      </w:r>
    </w:p>
    <w:p>
      <w:pPr>
        <w:pStyle w:val="NormalHanging12a"/>
      </w:pPr>
      <w:r>
        <w:t>F.</w:t>
      </w:r>
      <w:r>
        <w:tab/>
      </w:r>
      <w:r>
        <w:t>considerando che le istituzioni democratiche dell'Ucraina hanno dimostrato la loro capacità di adattamento alla legge marziale, sebbene permangano preoccupazioni in merito alla trasparenza e all'equilibrio dei poteri durante tale periodo;</w:t>
      </w:r>
    </w:p>
    <w:p>
      <w:pPr>
        <w:pStyle w:val="NormalHanging12a"/>
      </w:pPr>
      <w:r>
        <w:t>G.</w:t>
      </w:r>
      <w:r>
        <w:tab/>
      </w:r>
      <w:r>
        <w:t>considerando che sono stati compiuti progressi nella riforma della pubblica amministrazione, ma che è necessario proseguire il rafforzamento delle capacità e il miglioramento della gestione delle risorse umane;</w:t>
      </w:r>
    </w:p>
    <w:p>
      <w:pPr>
        <w:pStyle w:val="NormalHanging12a"/>
      </w:pPr>
      <w:r>
        <w:t>H.</w:t>
      </w:r>
      <w:r>
        <w:tab/>
      </w:r>
      <w:r>
        <w:t>considerando che il potere giudiziario ha ripreso le sue funzioni principali, tra cui la valutazione dei giudici e l'attuazione di misure anticorruzione, sebbene occorra rafforzare le norme in materia di integrità e di trasparenza;</w:t>
      </w:r>
    </w:p>
    <w:p>
      <w:pPr>
        <w:pStyle w:val="NormalHanging12a"/>
      </w:pPr>
      <w:r>
        <w:t>I.</w:t>
      </w:r>
      <w:r>
        <w:tab/>
      </w:r>
      <w:r>
        <w:t>considerando che l'Ucraina ha dimostrato il proprio impegno a favore dell'agenda verde attraverso la legislazione sulle energie rinnovabili e l'allineamento agli obiettivi del Green Deal europeo;</w:t>
      </w:r>
    </w:p>
    <w:p>
      <w:pPr>
        <w:pStyle w:val="NormalHanging12a"/>
      </w:pPr>
      <w:r>
        <w:t>J.</w:t>
      </w:r>
      <w:r>
        <w:tab/>
      </w:r>
      <w:r>
        <w:t>considerando che la società civile rimane un pilastro della resilienza e della democrazia in Ucraina, sebbene le pressioni esercitate contro gli attivisti sollevino preoccupazioni e richiedano l'intervento del governo;</w:t>
      </w:r>
    </w:p>
    <w:p>
      <w:pPr>
        <w:pStyle w:val="NormalHanging12a"/>
      </w:pPr>
      <w:r>
        <w:t>K.</w:t>
      </w:r>
      <w:r>
        <w:tab/>
      </w:r>
      <w:r>
        <w:t>considerando che la libertà di espressione e l'indipendenza dei media sono confrontate a sfide, in particolare a norma della legge marziale; che sono necessarie riforme per ripristinare il pluralismo e proteggere i giornalisti;</w:t>
      </w:r>
    </w:p>
    <w:p>
      <w:pPr>
        <w:pStyle w:val="NormalHanging12a"/>
      </w:pPr>
      <w:r>
        <w:t>L.</w:t>
      </w:r>
      <w:r>
        <w:tab/>
      </w:r>
      <w:r>
        <w:t>considerando che il processo di integrazione dell'Ucraina nell'UE beneficia di un ampio sostegno da parte dell'opinione pubblica e delle istituzioni, che riflette un forte impegno della società a favore dell'adesione all'UE nonostante le attuali difficoltà;</w:t>
      </w:r>
    </w:p>
    <w:p>
      <w:pPr>
        <w:pStyle w:val="NormalHanging12a"/>
      </w:pPr>
      <w:r>
        <w:t>M.</w:t>
      </w:r>
      <w:r>
        <w:tab/>
      </w:r>
      <w:r>
        <w:t>considerando che l'adesione all'UE rimane un fattore di propulsione fondamentale per lo sviluppo democratico dell'Ucraina e che essa svolgerà un ruolo chiave per garantire la sicurezza, la stabilità e l'indipendenza del paese in futuro;</w:t>
      </w:r>
    </w:p>
    <w:p>
      <w:pPr>
        <w:pStyle w:val="Normal12a24b"/>
      </w:pPr>
      <w:r>
        <w:rPr>
          <w:rStyle w:val="Italic"/>
        </w:rPr>
        <w:t>Stato di avanzamento della guerra di aggressione russa e delle sanzioni</w:t>
      </w:r>
    </w:p>
    <w:p>
      <w:pPr>
        <w:pStyle w:val="NormalHanging12a"/>
      </w:pPr>
      <w:r>
        <w:t>1.</w:t>
      </w:r>
      <w:r>
        <w:tab/>
      </w:r>
      <w:r>
        <w:t>ribadisce la sua ferma solidarietà al popolo ucraino e il suo sostegno all'indipendenza, alla sovranità e all'integrità territoriale dell'Ucraina entro i suoi confini riconosciuti a livello internazionale; sottolinea con forza il diritto immanente dell'Ucraina all'autodifesa, in virtù dell'articolo 51 della Carta delle Nazioni Unite;</w:t>
      </w:r>
    </w:p>
    <w:p>
      <w:pPr>
        <w:pStyle w:val="NormalHanging12a"/>
      </w:pPr>
      <w:r>
        <w:t>2.</w:t>
      </w:r>
      <w:r>
        <w:tab/>
      </w:r>
      <w:r>
        <w:t>sottolinea che l'UE e i suoi Stati membri devono aumentare in modo significativo l'assistenza che forniscono per difendere il diritto dell'Ucraina all'autodifesa; sottolinea che l'UE e i suoi Stati membri, insieme ai loro partner e alleati, devono contribuire all'istituzione di solide garanzie di sicurezza a favore dell'Ucraina, al fine di scoraggiare ulteriori aggressioni russe;</w:t>
      </w:r>
    </w:p>
    <w:p>
      <w:pPr>
        <w:pStyle w:val="Normal12a24b"/>
      </w:pPr>
      <w:r>
        <w:rPr>
          <w:rStyle w:val="BoldItalic"/>
        </w:rPr>
        <w:t>Impegno a favore dell'adesione all'UE</w:t>
      </w:r>
    </w:p>
    <w:p>
      <w:pPr>
        <w:pStyle w:val="NormalHanging12a"/>
      </w:pPr>
      <w:r>
        <w:t>3.</w:t>
      </w:r>
      <w:r>
        <w:tab/>
      </w:r>
      <w:r>
        <w:t>accoglie con grande favore la ferma volontà dell'Ucraina di soddisfare i criteri di adesione all'UE, compreso il rispetto dell'acquis dell'UE;</w:t>
      </w:r>
    </w:p>
    <w:p>
      <w:pPr>
        <w:pStyle w:val="NormalHanging12a"/>
      </w:pPr>
      <w:r>
        <w:t>4.</w:t>
      </w:r>
      <w:r>
        <w:tab/>
      </w:r>
      <w:r>
        <w:t>prende atto dell'accordo USA-Ucraina sui minerali critici; si compiace che tale accordo includa disposizioni esplicite volte a salvaguardare il processo di adesione dell'Ucraina all'UE e i relativi obblighi, nonché a garantire la compatibilità degli obblighi dell'Ucraina nei confronti delle istituzioni finanziarie internazionali o di altri creditori ufficiali; invita la Commissione a monitorare l'attuazione rigorosa di tali salvaguardie;</w:t>
      </w:r>
    </w:p>
    <w:p>
      <w:pPr>
        <w:pStyle w:val="Normal12a24b"/>
      </w:pPr>
      <w:r>
        <w:rPr>
          <w:rStyle w:val="Italic"/>
        </w:rPr>
        <w:t>Democrazia, Stato di diritto e lotta alla corruzione</w:t>
      </w:r>
    </w:p>
    <w:p>
      <w:pPr>
        <w:pStyle w:val="NormalHanging12a"/>
      </w:pPr>
      <w:r>
        <w:t>5.</w:t>
      </w:r>
      <w:r>
        <w:tab/>
      </w:r>
      <w:r>
        <w:t>prende atto degli sforzi straordinari compiuti dall'Ucraina per rafforzare le istituzioni democratiche durante la guerra; incoraggia al contempo l'Ucraina a migliorare la trasparenza dei processi legislativi e a stanziare maggiori risorse per la riforma del sistema giudiziario;</w:t>
      </w:r>
    </w:p>
    <w:p>
      <w:pPr>
        <w:pStyle w:val="NormalHanging12a"/>
      </w:pPr>
      <w:r>
        <w:t>6.</w:t>
      </w:r>
      <w:r>
        <w:tab/>
      </w:r>
      <w:r>
        <w:t>invita l'Ucraina ad affrontare i problemi che ostacolano lo sviluppo del sistema giudiziario; sottolinea la necessità di migliorare l'indipendenza del potere giudiziario e la lotta alla corruzione;</w:t>
      </w:r>
    </w:p>
    <w:p>
      <w:pPr>
        <w:pStyle w:val="NormalHanging12a"/>
      </w:pPr>
      <w:r>
        <w:t>7.</w:t>
      </w:r>
      <w:r>
        <w:tab/>
      </w:r>
      <w:r>
        <w:t>accoglie con favore la nomina di un nuovo responsabile dell'Agenzia nazionale per la prevenzione della corruzione e di revisori indipendenti incaricati di valutare l'efficacia dell'Ufficio nazionale anticorruzione dell'Ucraina nelle indagini sulla corruzione; accoglie con favore l'entrata in vigore del codice penale modificato e del codice di procedura penale; si compiace dell'adozione del piano d'azione per l'attuazione della strategia di recupero dei beni per il periodo 2024-2025 e delle misure connesse;</w:t>
      </w:r>
    </w:p>
    <w:p>
      <w:pPr>
        <w:pStyle w:val="NormalHanging12a"/>
      </w:pPr>
      <w:r>
        <w:t>8.</w:t>
      </w:r>
      <w:r>
        <w:tab/>
      </w:r>
      <w:r>
        <w:t>incoraggia l'Ucraina a salvaguardare l'indipendenza e l'efficacia delle istituzioni anticorruzione, in particolare la Procura specializzata anticorruzione (SAPO), garantendo procedure di nomina trasparenti e proteggendo tali organismi dalle influenze politiche; elogia l'Ucraina per aver aumentato il personale della SAPO;</w:t>
      </w:r>
    </w:p>
    <w:p>
      <w:pPr>
        <w:pStyle w:val="NormalHanging12a"/>
      </w:pPr>
      <w:r>
        <w:t>9.</w:t>
      </w:r>
      <w:r>
        <w:tab/>
      </w:r>
      <w:r>
        <w:t xml:space="preserve">prende atto delle conclusioni dell'addendum alla seconda relazione di conformità, adottata dal gruppo di Stati del </w:t>
      </w:r>
      <w:r>
        <w:t>Consiglio d'Europa</w:t>
      </w:r>
      <w:r>
        <w:t xml:space="preserve"> contro la corruzione il 22 novembre 2024, secondo cui l'Ucraina ha attuato in modo soddisfacente o ha trattato in modo soddisfacente 18 delle 31 raccomandazioni contenute in tale relazione; incoraggia l'Ucraina ad attuare pienamente le raccomandazioni restanti;</w:t>
      </w:r>
    </w:p>
    <w:p>
      <w:pPr>
        <w:pStyle w:val="Normal12a24b"/>
      </w:pPr>
      <w:r>
        <w:rPr>
          <w:rStyle w:val="Italic"/>
        </w:rPr>
        <w:t>Libertà fondamentali e diritti umani</w:t>
      </w:r>
    </w:p>
    <w:p>
      <w:pPr>
        <w:pStyle w:val="NormalHanging12a"/>
      </w:pPr>
      <w:r>
        <w:t>10.</w:t>
      </w:r>
      <w:r>
        <w:tab/>
      </w:r>
      <w:r>
        <w:t>elogia l'impegno dell'Ucraina a rispettare i diritti fondamentali nonostante la perdurante guerra di aggressione russa; accoglie con favore la recente adozione del piano d'azione per la protezione dei diritti delle minoranze nazionali fino al 2027, che è inteso ad armonizzare la legislazione ucraina con le norme europee;</w:t>
      </w:r>
    </w:p>
    <w:p>
      <w:pPr>
        <w:pStyle w:val="Normal12a24b"/>
      </w:pPr>
      <w:r>
        <w:rPr>
          <w:rStyle w:val="Italic"/>
        </w:rPr>
        <w:t>Cooperazione regionale e relazioni di buon vicinato</w:t>
      </w:r>
    </w:p>
    <w:p>
      <w:pPr>
        <w:pStyle w:val="NormalHanging12a"/>
      </w:pPr>
      <w:r>
        <w:t>11.</w:t>
      </w:r>
      <w:r>
        <w:tab/>
      </w:r>
      <w:r>
        <w:t>accoglie con favore la partecipazione attiva dell'Ucraina alle iniziative regionali, come la il ruolo di primo piano che svolge nel Forum della società civile del partenariato orientale e il coordinamento dei progetti commerciali transfrontalieri con la Polonia;</w:t>
      </w:r>
    </w:p>
    <w:p>
      <w:pPr>
        <w:pStyle w:val="NormalHanging12a"/>
      </w:pPr>
      <w:r>
        <w:t>12.</w:t>
      </w:r>
      <w:r>
        <w:tab/>
      </w:r>
      <w:r>
        <w:t>accoglie con favore e incoraggia ogni tentativo da parte dell'Ucraina e degli Stati membri dell'UE di affrontare gli aspetti irrisolti delle relazioni storiche bilaterali e regionali, ad esempio il massacro di Volhynia, in uno spirito di riconciliazione autentica e leale e nel rispetto dei valori dell'UE di dignità umana, della verità storica e delle relazioni di buon vicinato; ritiene che, con la buona volontà di tutte le parti interessate, un paziente processo di riconciliazione potrà guarire le ferite del passato; accoglie con favore, in tale contesto, i colloqui in corso tra le autorità polacche e ucraine, che hanno portato alla ripresa dell'esumazione delle fosse di cittadini polacchi sul territorio ucraino nell'aprile 2025; auspica che tale processo prosegua con il chiaro obiettivo di dare alle vittime una degna sepoltura che rispetti la loro memoria;</w:t>
      </w:r>
    </w:p>
    <w:p>
      <w:pPr>
        <w:pStyle w:val="Normal12a24b"/>
      </w:pPr>
      <w:r>
        <w:rPr>
          <w:rStyle w:val="Italic"/>
        </w:rPr>
        <w:t>Riforme socioeconomiche</w:t>
      </w:r>
    </w:p>
    <w:p>
      <w:pPr>
        <w:pStyle w:val="NormalHanging12a"/>
      </w:pPr>
      <w:r>
        <w:t>13.</w:t>
      </w:r>
      <w:r>
        <w:tab/>
      </w:r>
      <w:r>
        <w:t>accoglie con favore l'attuazione da parte dell'Ucraina del piano d'azione prioritario per il periodo 2023-2024 e l'adozione della legislazione necessaria per riformare l'Ufficio per la sicurezza economica dell'Ucraina;</w:t>
      </w:r>
    </w:p>
    <w:p>
      <w:pPr>
        <w:pStyle w:val="NormalHanging12a"/>
      </w:pPr>
      <w:r>
        <w:t>14.</w:t>
      </w:r>
      <w:r>
        <w:tab/>
      </w:r>
      <w:r>
        <w:t>ricorda l'adozione della legge sul servizio pubblico locale nel 2023 e incoraggia il governo ucraino ad adottare un approccio sistemico per le prossime riforme della pubblica amministrazione, definendo una visione chiara e una strategia di attuazione strutturata;</w:t>
      </w:r>
    </w:p>
    <w:p>
      <w:pPr>
        <w:pStyle w:val="NormalHanging12a"/>
      </w:pPr>
      <w:r>
        <w:t>15.</w:t>
      </w:r>
      <w:r>
        <w:tab/>
      </w:r>
      <w:r>
        <w:t>incoraggia l'Ucraina a compiere progressi nell'approvazione del progetto di legge n. 4298, al fine di allineare le riforme dell'amministrazione pubblica locale alle norme dell'UE, istituendo un quadro giuridico di vigilanza equilibrato, in linea con il principio di proporzionalità e con la Carta europea dell'autonomia locale, che non violi le competenze, le prerogative e le funzioni di autogoverno degli enti locali; ricorda la sua richiesta di dotare di personalità giuridica gli enti pubblici locali e regionali;</w:t>
      </w:r>
    </w:p>
    <w:p>
      <w:pPr>
        <w:pStyle w:val="NormalHanging12a"/>
      </w:pPr>
      <w:r>
        <w:t>16.</w:t>
      </w:r>
      <w:r>
        <w:tab/>
      </w:r>
      <w:r>
        <w:t>invita l'Ucraina a continuare a compiere progressi nell'attuazione del piano per l'Ucraina, in conformità con il regolamento (UE) 2024/792</w:t>
      </w:r>
      <w:r>
        <w:rPr>
          <w:rStyle w:val="FootnoteReference"/>
        </w:rPr>
        <w:footnoteReference w:id="2"/>
      </w:r>
      <w:r>
        <w:t>;</w:t>
      </w:r>
    </w:p>
    <w:p>
      <w:pPr>
        <w:pStyle w:val="Normal12a24b"/>
      </w:pPr>
      <w:r>
        <w:rPr>
          <w:rStyle w:val="Italic"/>
        </w:rPr>
        <w:t>Energia, ambiente, sviluppo sostenibile e connettività</w:t>
      </w:r>
    </w:p>
    <w:p>
      <w:pPr>
        <w:pStyle w:val="NormalHanging12a"/>
      </w:pPr>
      <w:r>
        <w:t>17.</w:t>
      </w:r>
      <w:r>
        <w:tab/>
      </w:r>
      <w:r>
        <w:t>accoglie con favore i sostanziali progressi compiuti per quanto riguarda le riforme del settore energetico e l'allineamento dell'Ucraina agli obiettivi del Green Deal europeo;</w:t>
      </w:r>
    </w:p>
    <w:p>
      <w:pPr>
        <w:pStyle w:val="NormalHanging12a"/>
      </w:pPr>
      <w:r>
        <w:t>18.</w:t>
      </w:r>
      <w:r>
        <w:tab/>
      </w:r>
      <w:r>
        <w:t>elogia l'Ucraina per aver adottato il suo piano nazionale per l'energia e il clima;</w:t>
      </w:r>
    </w:p>
    <w:p>
      <w:pPr>
        <w:pStyle w:val="NormalHanging12a"/>
      </w:pPr>
      <w:r>
        <w:t>19.</w:t>
      </w:r>
      <w:r>
        <w:tab/>
      </w:r>
      <w:r>
        <w:t>raccomanda alla Commissione di aprire quanto prima gruppi di capitoli di negoziato con l'Ucraina, al fine di far avanzare il più rapidamente possibile il processo di adesione del paese all'UE, a condizione che l'Ucraina prosegua l'attuazione dell'acquis dell'UE e porti a termine le riforme avviate;</w:t>
      </w:r>
    </w:p>
    <w:p>
      <w:pPr>
        <w:pStyle w:val="NormalHanging12a"/>
      </w:pPr>
      <w:r>
        <w:t>20.</w:t>
      </w:r>
      <w:r>
        <w:tab/>
      </w:r>
      <w:r>
        <w:t>incarica la sua Presidente di trasmettere la presente risoluzione al Consiglio e alla Commissione.</w:t>
      </w:r>
    </w:p>
    <w:p>
      <w:pPr>
        <w:pStyle w:val="NormalHanging12a"/>
        <w:sectPr>
          <w:footerReference w:type="even" r:id="rId7"/>
          <w:footerReference w:type="default" r:id="rId8"/>
          <w:footerReference w:type="first" r:id="rId9"/>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MOTIVAZIONE</w:t>
      </w:r>
      <w:bookmarkEnd w:id="1"/>
    </w:p>
    <w:p>
      <w:pPr>
        <w:pStyle w:val="Normal12a"/>
      </w:pPr>
      <w:r>
        <w:t>In qualità di relatore per questa importante iniziativa, ho il piacere di presentare una relazione che rispecchia un impegno strategico fermo e permanente dell'Unione europea nei confronti dell'Ucraina. La presente relazione è la prima dall'inizio dell'invasione russa su vasta scala dell'Ucraina, dalla concessione all'Ucraina dello status di paese candidato e dall'avvio dei negoziati di adesione.</w:t>
      </w:r>
    </w:p>
    <w:p>
      <w:pPr>
        <w:pStyle w:val="Normal12a"/>
      </w:pPr>
      <w:r>
        <w:t>L'Ucraina è il principale destinatario dell'azione dell'UE nel settore delle relazioni esterne. La guerra in corso in Ucraina ha già avuto e continua ad avere una profonda influenza sull'UE, per la quale l'esito della guerra riveste un'importanza fondamentale. Per questo motivo, l'UE e i suoi Stati membri forniscono all'Ucraina un costante sostegno politico, diplomatico, finanziario e militare. In considerazione dell'attuale inversione di tendenza dell'approccio dell'amministrazione Trump, l'UE ha una responsabilità ancora maggiore.</w:t>
      </w:r>
    </w:p>
    <w:p>
      <w:pPr>
        <w:pStyle w:val="Normal12a"/>
      </w:pPr>
      <w:r>
        <w:t>Ho elaborato il progetto di relazione tenendo conto del contesto geopolitico e di sicurezza summenzionato. Il testo affronta i preparativi dell'Ucraina per soddisfare i criteri di adesione all'UE, compreso il rispetto dell'acquis dell'UE. Inoltre, ho analizzato le complesse riforme interne, che sono attuate nel contesto della guerra tuttora in corso. Sottolineo, in particolare, la questione della democrazia, dello Stato di diritto e della lotta alla corruzione. Il paese è incoraggiato a portare avanti le riforme nei settori dell'energia, dell'ambiente, dello sviluppo sostenibile e della connettività. Inoltre, sottolineo l'importanza della cooperazione regionale e delle relazioni di buon vicinato;</w:t>
      </w:r>
    </w:p>
    <w:p>
      <w:pPr>
        <w:pStyle w:val="Normal12a"/>
      </w:pPr>
      <w:r>
        <w:t>Nella fase di presentazione degli emendamenti, ulteriori aspetti permetteranno di migliorare e di integrare il progetto di relazione, includendo eventualmente gli ultimi sviluppi nei negoziati internazionali e le misure di riforma interna.</w:t>
      </w:r>
    </w:p>
    <w:p>
      <w:pPr>
        <w:pStyle w:val="Normal12a"/>
      </w:pPr>
      <w:r>
        <w:t>In conclusione, ribadisco la ferma posizione secondo cui la Commissione europea dovrebbe aprire gruppi di capitoli di negoziato con l'Ucraina, al fine di far avanzare il più rapidamente possibile il processo di adesione del paese all'UE. Per garantire l'esito positivo di questo processo, occorre dar prova di leadership, determinazione e visione e, in un contesto internazionale sempre più volatile, ciò rappresenta un investimento geostrategico in un'Europa unita e forte.</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ALLEGATO: ENTITÀ O PERSONE DA CUI IL RELATORE HA RICEVUTO CONTRIBUTI</w:t>
      </w:r>
      <w:bookmarkEnd w:id="2"/>
    </w:p>
    <w:p>
      <w:pPr>
        <w:pStyle w:val="Normal12a"/>
      </w:pPr>
      <w:r>
        <w:rPr>
          <w:rStyle w:val="HideTWBExt"/>
        </w:rPr>
        <w:t>&lt;</w:t>
      </w:r>
      <w:r>
        <w:rPr>
          <w:rStyle w:val="HideTWBExt"/>
        </w:rPr>
        <w:t>FootprintIntro</w:t>
      </w:r>
      <w:r>
        <w:rPr>
          <w:rStyle w:val="HideTWBExt"/>
        </w:rPr>
        <w:t>&gt;</w:t>
      </w:r>
      <w:r>
        <w:t>Conformemente all'allegato I, articolo 8, del regolamento, il relatore dichiara di aver ricevuto, nel corso dell'elaborazione del progetto di relazione, contributi dalle seguenti entità o persone:</w:t>
      </w:r>
      <w:r>
        <w:rPr>
          <w:rStyle w:val="HideTWBExt"/>
        </w:rPr>
        <w:t>&lt;/</w:t>
      </w:r>
      <w:r>
        <w:rPr>
          <w:rStyle w:val="HideTWBExt"/>
        </w:rPr>
        <w:t>FootprintIntro</w:t>
      </w:r>
      <w:r>
        <w:rPr>
          <w:rStyle w:val="HideTWBExt"/>
        </w:rPr>
        <w:t>&gt;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Entità e/o persona</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Nessuna</w:t>
            </w:r>
          </w:p>
        </w:tc>
      </w:tr>
    </w:tbl>
    <w:p/>
    <w:p>
      <w:pPr>
        <w:pStyle w:val="Normal12a"/>
      </w:pPr>
      <w:r>
        <w:t>L'elenco che precede è compilato sotto l'esclusiva responsabilità del relatore.</w:t>
      </w:r>
    </w:p>
    <w:p>
      <w:pPr>
        <w:pStyle w:val="Normal12a"/>
      </w:pPr>
      <w:r>
        <w:t>Quando delle persone fisiche sono identificate nell'elenco con il loro nome, la loro funzione o entrambi, il relatore dichiara di aver sottoposto alle persone fisiche interessate l'informativa del Parlamento europeo sulla protezione dei dati n. 484 (</w:t>
      </w:r>
      <w:hyperlink r:id="rId10" w:history="1">
        <w:r>
          <w:rPr>
            <w:rStyle w:val="Hyperlink"/>
          </w:rPr>
          <w:t>https://www.europarl.europa.eu/data-protect/index.do</w:t>
        </w:r>
      </w:hyperlink>
      <w:r>
        <w:rPr>
          <w:rStyle w:val="DefaultParagraphFont"/>
          <w:b w:val="0"/>
          <w:i w:val="0"/>
          <w:u w:val="none"/>
        </w:rPr>
        <w:t>), che definisce le condizioni applicabili al trattamento dei loro dati personali e i diritti connessi a tale trattamento.</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769.901</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8</w:t>
    </w:r>
    <w:r>
      <w:fldChar w:fldCharType="end"/>
    </w:r>
    <w:r>
      <w:t>/</w:t>
    </w:r>
    <w:r>
      <w:fldChar w:fldCharType="begin"/>
    </w:r>
    <w:r>
      <w:instrText>NUMPAGES</w:instrText>
    </w:r>
    <w:r>
      <w:fldChar w:fldCharType="separate"/>
    </w:r>
    <w:r>
      <w:t>8</w:t>
    </w:r>
    <w:r>
      <w:fldChar w:fldCharType="end"/>
    </w:r>
    <w:r>
      <w:tab/>
    </w:r>
    <w:r>
      <w:rPr>
        <w:rStyle w:val="HideTWBExt"/>
      </w:rPr>
      <w:t>&lt;</w:t>
    </w:r>
    <w:r>
      <w:rPr>
        <w:rStyle w:val="HideTWBExt"/>
      </w:rPr>
      <w:t>PathFdR</w:t>
    </w:r>
    <w:r>
      <w:rPr>
        <w:rStyle w:val="HideTWBExt"/>
      </w:rPr>
      <w:t>&gt;</w:t>
    </w:r>
    <w:r>
      <w:t>PR\1315204IT.docx</w:t>
    </w:r>
    <w:r>
      <w:rPr>
        <w:rStyle w:val="HideTWBExt"/>
      </w:rPr>
      <w:t>&lt;/</w:t>
    </w:r>
    <w:r>
      <w:rPr>
        <w:rStyle w:val="HideTWBExt"/>
      </w:rPr>
      <w:t>PathFdR</w:t>
    </w:r>
    <w:r>
      <w:rPr>
        <w:rStyle w:val="HideTWBExt"/>
      </w:rPr>
      <w:t>&gt;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PR\1315204IT.docx</w:t>
    </w:r>
    <w:r>
      <w:rPr>
        <w:rStyle w:val="HideTWBExt"/>
      </w:rPr>
      <w:t>&lt;/</w:t>
    </w:r>
    <w:r>
      <w:rPr>
        <w:rStyle w:val="HideTWBExt"/>
      </w:rPr>
      <w:t>PathFdR</w:t>
    </w:r>
    <w:r>
      <w:rPr>
        <w:rStyle w:val="HideTWBExt"/>
      </w:rPr>
      <w:t>&gt;</w:t>
    </w:r>
    <w:r>
      <w:tab/>
    </w:r>
    <w:r>
      <w:fldChar w:fldCharType="begin"/>
    </w:r>
    <w:r>
      <w:instrText>PAGE</w:instrText>
    </w:r>
    <w:r>
      <w:fldChar w:fldCharType="separate"/>
    </w:r>
    <w:r>
      <w:t>7</w:t>
    </w:r>
    <w:r>
      <w:fldChar w:fldCharType="end"/>
    </w:r>
    <w:r>
      <w:t>/</w:t>
    </w:r>
    <w:r>
      <w:fldChar w:fldCharType="begin"/>
    </w:r>
    <w:r>
      <w:instrText>NUMPAGES</w:instrText>
    </w:r>
    <w:r>
      <w:fldChar w:fldCharType="separate"/>
    </w:r>
    <w:r>
      <w:t>8</w:t>
    </w:r>
    <w:r>
      <w:fldChar w:fldCharType="end"/>
    </w:r>
    <w:r>
      <w:tab/>
    </w:r>
    <w:r>
      <w:t>PE</w:t>
    </w:r>
    <w:r>
      <w:rPr>
        <w:rStyle w:val="HideTWBExt"/>
      </w:rPr>
      <w:t>&lt;</w:t>
    </w:r>
    <w:r>
      <w:rPr>
        <w:rStyle w:val="HideTWBExt"/>
      </w:rPr>
      <w:t>NoPE</w:t>
    </w:r>
    <w:r>
      <w:rPr>
        <w:rStyle w:val="HideTWBExt"/>
      </w:rPr>
      <w:t>&gt;</w:t>
    </w:r>
    <w:r>
      <w:t>769.901</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PR\1315204IT.docx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769.901</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IT</w:t>
    </w:r>
    <w:r>
      <w:tab/>
    </w:r>
    <w:r>
      <w:rPr>
        <w:rStyle w:val="EPFooter2Motto"/>
      </w:rPr>
      <w:t>Unita nella diversità</w:t>
    </w:r>
    <w:r>
      <w:tab/>
    </w:r>
    <w:r>
      <w:t>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Regolamento (UE) 2024/792 del Parlamento europeo e del Consiglio, del 29 febbraio 2024, che istituisce lo strumento per l'Ucraina (GU L, 2024/792, 29.2.2024, ELI: http://data.europa.eu/eli/reg/2024/792/oj.</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uroparl.europa.eu/data-protect/index.do"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IT/ALL/?uri=CELEX:52024DC0690"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1315204</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20250522-112003-006555-565689</vt:lpwstr>
  </property>
  <property fmtid="{D5CDD505-2E9C-101B-9397-08002B2CF9AE}" pid="7" name="FooterPath">
    <vt:lpwstr>PR\1315204IT.doc</vt:lpwstr>
  </property>
  <property fmtid="{D5CDD505-2E9C-101B-9397-08002B2CF9AE}" pid="8" name="PE Number">
    <vt:lpwstr>769.901</vt:lpwstr>
  </property>
  <property fmtid="{D5CDD505-2E9C-101B-9397-08002B2CF9AE}" pid="9" name="UID">
    <vt:lpwstr>eu.europa.europarl-DIN1-2025-0000022061_01.06-it-01.00_text-xml</vt:lpwstr>
  </property>
</Properties>
</file>