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2025/2164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{10/09/2025}</w:t>
      </w:r>
      <w:r>
        <w:t>10.09.2025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 provádění společné zahraniční a bezpečnostní politiky – výroční zpráva za rok 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(2025/2164(INI))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&lt;Depute&gt;</w:t>
      </w:r>
      <w:r>
        <w:t>David McAllister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8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NÁVRH USNESENÍ EVROPSKÉHO PARLAMENTU</w:t>
      </w:r>
      <w:bookmarkEnd w:id="0"/>
    </w:p>
    <w:p>
      <w:pPr>
        <w:pStyle w:val="NormalBold"/>
      </w:pPr>
      <w:r>
        <w:t>o provádění společné zahraniční a bezpečnostní politiky – výroční zpráva za rok 2025</w:t>
      </w:r>
    </w:p>
    <w:p>
      <w:pPr>
        <w:pStyle w:val="NormalBold"/>
      </w:pPr>
    </w:p>
    <w:p>
      <w:pPr>
        <w:pStyle w:val="NormalBold12a"/>
      </w:pPr>
      <w:r>
        <w:t>(</w:t>
      </w:r>
      <w:r>
        <w:t>2025/2164(INI)</w:t>
      </w:r>
      <w:r>
        <w:t>)</w:t>
      </w:r>
    </w:p>
    <w:p>
      <w:pPr>
        <w:pStyle w:val="Normal12"/>
      </w:pPr>
      <w:r>
        <w:rPr>
          <w:i/>
        </w:rPr>
        <w:t>Evropský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s ohledem na Smlouvu o Evropské unii (SEU), a zejména na články 14, 16, 21, 24, 36 a 41 této smlouvy,</w:t>
      </w:r>
    </w:p>
    <w:p>
      <w:pPr>
        <w:pStyle w:val="NormalHanging"/>
      </w:pPr>
      <w:r>
        <w:t>–</w:t>
      </w:r>
      <w:r>
        <w:tab/>
      </w:r>
      <w:r>
        <w:t>s ohledem na zprávu vysoké představitelky Unie pro zahraniční věci a bezpečnostní politiku ze dne 25. června 2025 nazvanou „Zpráva o společné zahraniční a bezpečnostní politice – Naše priority v roce 2025“,</w:t>
      </w:r>
    </w:p>
    <w:p>
      <w:pPr>
        <w:pStyle w:val="NormalHanging"/>
      </w:pPr>
      <w:r>
        <w:t>–</w:t>
      </w:r>
      <w:r>
        <w:tab/>
      </w:r>
      <w:r>
        <w:t>s ohledem na článek 55 jednacího řádu,</w:t>
      </w:r>
    </w:p>
    <w:p>
      <w:pPr>
        <w:pStyle w:val="NormalHanging"/>
      </w:pPr>
      <w:r>
        <w:t>–</w:t>
      </w:r>
      <w:r>
        <w:tab/>
      </w:r>
      <w:r>
        <w:t>s ohledem na zprávu Výboru pro zahraniční věci (A10-0000/2025),</w:t>
      </w:r>
    </w:p>
    <w:p>
      <w:pPr>
        <w:pStyle w:val="NormalHanging"/>
      </w:pPr>
      <w:r>
        <w:t>A.</w:t>
      </w:r>
      <w:r>
        <w:tab/>
      </w:r>
      <w:r>
        <w:t>vzhledem k tomu, že mezi hlavní cíle společné zahraniční a bezpečnostní politiky EU (SZBP) patří zachování míru, posílení mezinárodní bezpečnosti, prosazování mezinárodní spolupráce a podpora demokracie, právního státu a dodržování lidských práv;</w:t>
      </w:r>
    </w:p>
    <w:p>
      <w:pPr>
        <w:pStyle w:val="NormalHanging"/>
      </w:pPr>
      <w:r>
        <w:t>B.</w:t>
      </w:r>
      <w:r>
        <w:tab/>
      </w:r>
      <w:r>
        <w:t>vzhledem k tomu, že některé historické a nově vznikající mocnosti přijímají různorodé přístupy od úzké spolupráce až po konfrontaci v jednotlivých odvětvích; vzhledem k tomu, že v současném geopolitickém klimatu nemá EU v některých případech jinou možnost než zvolit dohody na transakčním základě;</w:t>
      </w:r>
    </w:p>
    <w:p>
      <w:r>
        <w:t>.</w:t>
      </w:r>
    </w:p>
    <w:p>
      <w:pPr>
        <w:pStyle w:val="NormalHanging12a"/>
      </w:pPr>
      <w:r>
        <w:t>1.</w:t>
      </w:r>
      <w:r>
        <w:tab/>
      </w:r>
      <w:r>
        <w:t>sdílí obavy, které ve své zprávě vyjádřila místopředsedkyně Komise, vysoká představitelka Unie pro zahraniční věci a bezpečnostní politiku, a je znepokojen rychlým tempem geopolitických změn, které jsou vyvolány důrazným vojenským, politickým a ekonomickým tlakem autoritářských mocností; se znepokojením konstatuje, že mezinárodní systém je stále více multipolární a méně multilaterální, spolupráce a obchod jsou nahrazovány konkurencí a investice, informace a migrační toky se stále více stávají zbraněmi; upozorňuje, že tato roztříštěnost ohrožuje naše strategické zájmy, bezpečnost, prosperitu a jednotu a vyžaduje mobilizaci našich regionálních a globálních partnerství a spojenectví;</w:t>
      </w:r>
    </w:p>
    <w:p>
      <w:pPr>
        <w:pStyle w:val="NormalHanging12a"/>
      </w:pPr>
      <w:r>
        <w:t>2.</w:t>
      </w:r>
      <w:r>
        <w:tab/>
      </w:r>
      <w:r>
        <w:t>v této souvislosti vyzývá místopředsedkyni Komise, vysokou představitelku, aby vypracovala SZBP zaměřenou na budoucnost, která by sledovala cíle uvedené v následujících odstavcích;</w:t>
      </w:r>
    </w:p>
    <w:p>
      <w:r>
        <w:rPr>
          <w:b/>
          <w:i/>
        </w:rPr>
        <w:t xml:space="preserve">Utváření </w:t>
      </w:r>
      <w:r>
        <w:rPr>
          <w:b/>
          <w:i/>
        </w:rPr>
        <w:t>mezinárodního řádu založeného na pravidlech, který hájíme</w:t>
      </w:r>
    </w:p>
    <w:p>
      <w:pPr>
        <w:pStyle w:val="NormalHanging12a"/>
      </w:pPr>
      <w:r>
        <w:t>3.</w:t>
      </w:r>
      <w:r>
        <w:tab/>
      </w:r>
      <w:r>
        <w:t>připomíná, že mezinárodní řád založený na pravidlech chrání svrchovanost a celistvost států, umožňuje mírová řešení sporů a zajišťuje, že moc se řídí podle práva, nikoli síly; je znepokojen tím, že mezinárodní řád založený na pravidlech je pod nebývalým tlakem způsobeným vnitřním rozvratem a vnějšími útoky; varuje, že jeho likvidace povede k nestabilitě a konfliktům po celém světě, a tím oslabí naše vlastní bezpečnost a prosperita;</w:t>
      </w:r>
    </w:p>
    <w:p>
      <w:pPr>
        <w:pStyle w:val="NormalHanging12a"/>
      </w:pPr>
      <w:r>
        <w:t>4.</w:t>
      </w:r>
      <w:r>
        <w:tab/>
      </w:r>
      <w:r>
        <w:t>zdůrazňuje, že nezákonná a neoprávněná válečná agrese Ruska proti Ukrajině představuje bezprecedentní útok na evropský mírový řád od druhé světové války; připomíná, že ruská agrese nesmí uspět, aby bylo zřejmé, že síla nepřeváží nad právem, a ostatní se odradili od pokusů o přepisování hranic vojenskými prostředky; požaduje proto okamžité a bezpodmínečné příměří, stažení Ruska z Ukrajiny a návrat všech dětí, které Rusko nezákonně uneslo;</w:t>
      </w:r>
    </w:p>
    <w:p>
      <w:pPr>
        <w:pStyle w:val="NormalHanging12a"/>
      </w:pPr>
      <w:r>
        <w:t>5.</w:t>
      </w:r>
      <w:r>
        <w:tab/>
      </w:r>
      <w:r>
        <w:t>zdůrazňuje, že jakákoli mírová dohoda musí obsahovat spolehlivé bezpečnostní záruky pro Ukrajinu, musí být vyjednána jejím zvoleným vedením a musí mít podporu jejího lidu; varuje před podvratnými návrhy Ruska, jejichž cílem je prodloužit válku, a upozorňuje, že jakékoli urovnání vynucené Ruskem nebo odměňující jeho agresi by vážně ohrozilo evropskou bezpečnost;</w:t>
      </w:r>
    </w:p>
    <w:p>
      <w:pPr>
        <w:pStyle w:val="NormalHanging12a"/>
      </w:pPr>
      <w:r>
        <w:t>6.</w:t>
      </w:r>
      <w:r>
        <w:tab/>
      </w:r>
      <w:r>
        <w:t>naléhavě vyzývá Komisi, aby aktivně podporovala mezinárodní mechanismy spravedlnosti a zajistila odpovědnost za válečné zločiny a zločiny agrese; vyzývá Komisi, aby navrhla právní předpisy, které by umožnily využití imobilizovaných ruských zahraničních aktiv na obnovu Ukrajiny;</w:t>
      </w:r>
    </w:p>
    <w:p>
      <w:pPr>
        <w:pStyle w:val="NormalHanging12a"/>
      </w:pPr>
      <w:r>
        <w:t>7.</w:t>
      </w:r>
      <w:r>
        <w:tab/>
      </w:r>
      <w:r>
        <w:t>zdůrazňuje, že ruská agrese destabilizuje</w:t>
      </w:r>
      <w:r>
        <w:rPr>
          <w:b/>
        </w:rPr>
        <w:t xml:space="preserve"> </w:t>
      </w:r>
      <w:r>
        <w:t>východní sousedství EU a vyvolává efekty přelévání na západním Balkáně;</w:t>
      </w:r>
    </w:p>
    <w:p>
      <w:pPr>
        <w:pStyle w:val="NormalHanging12a"/>
      </w:pPr>
      <w:r>
        <w:t>8.</w:t>
      </w:r>
      <w:r>
        <w:tab/>
      </w:r>
      <w:r>
        <w:t>znovu opakuje, že EU a všechny její členské státy musí jít příkladem při prosazování svrchovanosti a mezinárodního práva; zdůrazňuje, že její důvěryhodnost a schopnost chránit své občany a životně důležité zájmy závisí na jejím závazku dodržovat základní zásady, jako je demokracie, právní stát a lidská důstojnost;</w:t>
      </w:r>
    </w:p>
    <w:p>
      <w:pPr>
        <w:pStyle w:val="NormalHanging12a"/>
      </w:pPr>
      <w:r>
        <w:t>9.</w:t>
      </w:r>
      <w:r>
        <w:tab/>
      </w:r>
      <w:r>
        <w:t>vyjadřuje hluboké znepokojení nad současným stavem humanitárních norem a nad nerespektováním ochrany civilistů podle mezinárodního práva v souvislosti s vleklými konflikty na Blízkém východě; znovu potvrzuje závazek EU podporovat existenci a bezpečnost Státu Izrael a zdůrazňuje jeho právo na obranu při plném respektování mezinárodního práva; naléhavě vyzývá k prosazování důvěryhodného politického procesu zaměřeného na dosažení dvoustátního řešení založeného na hranicích z roku 1967 a na Jeruzalému jako společném hlavním městě;</w:t>
      </w:r>
    </w:p>
    <w:p>
      <w:pPr>
        <w:pStyle w:val="NormalHanging12a"/>
      </w:pPr>
      <w:r>
        <w:t>10.</w:t>
      </w:r>
      <w:r>
        <w:tab/>
      </w:r>
      <w:r>
        <w:t>potvrzuje klíčovou úlohu mnohostranných organizací a regionálních fór jako nepostradatelných platforem pro řešení konfliktů a globální správu; varuje, že „mini-laterální“ formáty mohou vést k větší roztříštěnosti globálních norem a vyžadují, aby</w:t>
      </w:r>
      <w:r>
        <w:rPr>
          <w:b/>
        </w:rPr>
        <w:t xml:space="preserve"> </w:t>
      </w:r>
      <w:r>
        <w:t>EU v úzké spolupráci se svými podobně smýšlejícími partnery udržovala rovnováhu v širokém a inkluzivním pojetí multilateralismu; vyzývá Komisi a místopředsedkyni Komise, vysokou představitelku, aby se ujaly vedení v mnohostranných iniciativách, které se budou pevně opírat o globální pravidla a které zajistí bezpečnost a prosperitu Evropy;</w:t>
      </w:r>
    </w:p>
    <w:p>
      <w:pPr>
        <w:pStyle w:val="NormalHanging12a"/>
      </w:pPr>
      <w:r>
        <w:t>11.</w:t>
      </w:r>
      <w:r>
        <w:tab/>
      </w:r>
      <w:r>
        <w:t>vyzývá místopředsedkyni Komise, vysokou představitelku, aby v úzké spolupráci s členskými státy podporovala přesvědčivý a stabilní demokratický narativ, který by kontroval autokratickému tlaku; podporuje větší investice do strategické komunikace a boje proti zahraničnímu vměšování a manipulaci s informacemi;</w:t>
      </w:r>
    </w:p>
    <w:p>
      <w:pPr>
        <w:pStyle w:val="NormalHanging12a"/>
      </w:pPr>
      <w:r>
        <w:t>12.</w:t>
      </w:r>
      <w:r>
        <w:tab/>
      </w:r>
      <w:r>
        <w:t>podporuje každoroční strategické přezkumy hrozeb pro mezinárodní řád založený na pravidlech, které by koordinovala Evropská služba pro vnější činnost (ESVČ) a po nichž by následovala aktivní opatření, které by bránily dalšímu rozvratu mnohostranných norem;</w:t>
      </w:r>
    </w:p>
    <w:p>
      <w:r>
        <w:rPr>
          <w:b/>
          <w:i/>
        </w:rPr>
        <w:t>Podpora spolupráce na základě společných zájmů</w:t>
      </w:r>
    </w:p>
    <w:p>
      <w:pPr>
        <w:pStyle w:val="NormalHanging12a"/>
      </w:pPr>
      <w:r>
        <w:t>13.</w:t>
      </w:r>
      <w:r>
        <w:tab/>
      </w:r>
      <w:r>
        <w:t>znovu potvrzuje, že vnější činnost EU vyžaduje důvěryhodnou angažovanost založenou na hodnotách; trvá však na tom, že spoléhat se pouze na normativní pravomoc je nedostatečné; podporuje asertivnější prosazování strategických cílů EU a zároveň využití partnerství a aliancí založených na společných zájmech;</w:t>
      </w:r>
    </w:p>
    <w:p>
      <w:pPr>
        <w:pStyle w:val="NormalHanging12a"/>
      </w:pPr>
      <w:r>
        <w:t>14.</w:t>
      </w:r>
      <w:r>
        <w:tab/>
      </w:r>
      <w:r>
        <w:t>vybízí místopředsedkyni Komise, vysokou představitelku, aby usilovala o přizpůsobení politik očekáváním členských států a partnerských zemí a aby rychle plnila politické dohody, čímž by se EU stala spolehlivou strategickou oporou;</w:t>
      </w:r>
    </w:p>
    <w:p>
      <w:pPr>
        <w:pStyle w:val="NormalHanging12a"/>
      </w:pPr>
      <w:r>
        <w:t>15.</w:t>
      </w:r>
      <w:r>
        <w:tab/>
      </w:r>
      <w:r>
        <w:t>zdůrazňuje, že pevné transatlantické partnerství se Spojenými státy a Kanadou v rámci NATO zůstává nepostradatelné a tvoří jádro naší evropské bezpečnostní architektury; připomíná, že aby byla EU silným transatlantickým partnerem, musí být sama silnější a schopnější, zejména pokud jde o její vlastní obranu a bezpečnost; uznává, že Spojené státy nyní uplatňují spíše transakční přístup, pokud jde o multilateralismus a evropskou bezpečnost; v této</w:t>
      </w:r>
      <w:r>
        <w:rPr>
          <w:b/>
        </w:rPr>
        <w:t xml:space="preserve"> </w:t>
      </w:r>
      <w:r>
        <w:t>souvislosti zdůrazňuje, že je naléhavě nutné, aby EU a její členské státy usilovaly o strategickou autonomii a investovaly do důvěryhodných a dostatečných obranných schopností; vítá prohloubenou spolupráci s Kanadou a dalšími podobně smýšlejícími partnery na ochranu společných demokratických hodnot a globální stability;</w:t>
      </w:r>
    </w:p>
    <w:p>
      <w:pPr>
        <w:pStyle w:val="NormalHanging12a"/>
      </w:pPr>
      <w:r>
        <w:t>16.</w:t>
      </w:r>
      <w:r>
        <w:tab/>
      </w:r>
      <w:r>
        <w:t>oceňuje silné a konstruktivní partnerství se Spojeným královstvím; vítá společné prohlášení vrcholných představitelů Spojeného království a EU ze dne 19. května 2025, které následovalo po summitu GB-EU 2025 a v němž byl nastíněn strukturovaný dialog o zahraniční a bezpečnostní politice; vyzývá k jeho urychlenému provedení;</w:t>
      </w:r>
    </w:p>
    <w:p>
      <w:pPr>
        <w:pStyle w:val="NormalHanging12a"/>
      </w:pPr>
      <w:r>
        <w:t>17.</w:t>
      </w:r>
      <w:r>
        <w:tab/>
      </w:r>
      <w:r>
        <w:t>oceňuje úzké vztahy se západoevropskými zeměmi, které nejsou členy EU, a jejich úzkou spolupráci v oblasti vnější činnosti EU;</w:t>
      </w:r>
    </w:p>
    <w:p>
      <w:pPr>
        <w:pStyle w:val="NormalHanging12a"/>
      </w:pPr>
      <w:r>
        <w:t>18.</w:t>
      </w:r>
      <w:r>
        <w:tab/>
      </w:r>
      <w:r>
        <w:t>vyzdvihuje strategický význam západního Balkánu a podporuje důvěryhodnou politickou a bezpečnostní spolupráci na cestě k integraci do EU, která je založena na vlastních zásluhách těchto zemí; zdůrazňuje, že budoucnost západního Balkánu, Ukrajiny a Moldavska je v EU;</w:t>
      </w:r>
    </w:p>
    <w:p>
      <w:pPr>
        <w:pStyle w:val="NormalHanging12a"/>
      </w:pPr>
      <w:r>
        <w:t>19.</w:t>
      </w:r>
      <w:r>
        <w:tab/>
      </w:r>
      <w:r>
        <w:t>zdůrazňuje, že strategická úloha Turecka jako člena NATO a jeho spolupráce s EU mají zásadní význam pro evropskou stabilitu a bezpečnost; vyjadřuje silné znepokojení nad úpadkem demokracie v Turecku; vyzývá k okamžitému propuštění vůdce opozice Ekrema İmamoğlua;</w:t>
      </w:r>
    </w:p>
    <w:p>
      <w:pPr>
        <w:pStyle w:val="NormalHanging12a"/>
      </w:pPr>
      <w:r>
        <w:t>20.</w:t>
      </w:r>
      <w:r>
        <w:tab/>
      </w:r>
      <w:r>
        <w:t>vyzdvihuje strategický význam jižního Kavkazu; odsuzuje autoritářské tendence gruzínské vlády; vyzývá Gruzii, aby se vrátila ke směřování do EU; podporuje mírovou dohodu mezi Arménií a Ázerbájdžánem ze srpna 2025;</w:t>
      </w:r>
    </w:p>
    <w:p>
      <w:pPr>
        <w:pStyle w:val="NormalHanging12a"/>
      </w:pPr>
      <w:r>
        <w:t>21.</w:t>
      </w:r>
      <w:r>
        <w:tab/>
      </w:r>
      <w:r>
        <w:t>zdůrazňuje, že je naléhavě nutné posílit politickou a hospodářskou přítomnost EU ve Střední Asii;</w:t>
      </w:r>
    </w:p>
    <w:p>
      <w:pPr>
        <w:pStyle w:val="NormalHanging12a"/>
      </w:pPr>
      <w:r>
        <w:t>22.</w:t>
      </w:r>
      <w:r>
        <w:tab/>
      </w:r>
      <w:r>
        <w:t>zdůrazňuje, že je třeba posílit a prohloubit spolupráci EU se zeměmi Perského zálivu v oblasti migrace, digitální transformace, bezpečnosti a zelené transformace;</w:t>
      </w:r>
    </w:p>
    <w:p>
      <w:pPr>
        <w:pStyle w:val="NormalHanging12a"/>
      </w:pPr>
      <w:r>
        <w:t>23.</w:t>
      </w:r>
      <w:r>
        <w:tab/>
      </w:r>
      <w:r>
        <w:t>opakuje, že Evropa má zásadní zájem na tom, aby v indicko-tichomořském regionu panoval mírový, stabilní řád a založený na pravidlech; vybízí k navázání užších vazeb v rámci SZBP s podobně smýšlejícími partnery, zejména s Austrálií, Novým Zélandem, Jižní Koreou a Japonskem;</w:t>
      </w:r>
    </w:p>
    <w:p>
      <w:pPr>
        <w:pStyle w:val="NormalHanging12a"/>
      </w:pPr>
      <w:r>
        <w:t>24.</w:t>
      </w:r>
      <w:r>
        <w:tab/>
      </w:r>
      <w:r>
        <w:t>domnívá se, že zrychlující se militarizace Číny a její vojenské a politické partnerství s Ruskem a Severní Koreou představují klíčovou geopolitickou výzvu 21. století; zdůrazňuje, že EU musí přijmout vícerozměrnou strategii, která kombinuje zásadovou diplomacii zaměřenou na dodržování mezinárodního práva s hospodářskou angažovaností, jež chrání naše zájmy;</w:t>
      </w:r>
    </w:p>
    <w:p>
      <w:pPr>
        <w:pStyle w:val="NormalHanging12a"/>
      </w:pPr>
      <w:r>
        <w:t>25.</w:t>
      </w:r>
      <w:r>
        <w:tab/>
      </w:r>
      <w:r>
        <w:t>konstatuje, že geopolitické výzvy posílily společné zájmy EU a Indie; podporuje summit EU-Indie, který má zahájit novou strategickou agendu;</w:t>
      </w:r>
    </w:p>
    <w:p>
      <w:pPr>
        <w:pStyle w:val="NormalHanging12a"/>
      </w:pPr>
      <w:r>
        <w:t>26.</w:t>
      </w:r>
      <w:r>
        <w:tab/>
      </w:r>
      <w:r>
        <w:t>naléhavě vyzývá místopředsedkyni Komise, vysokou představitelku a členské státy, aby se zaměřily na rozvoj silnějších dvoustranných partnerství s podobně smýšlejícími africkými zeměmi založených na zásadě „více za více“ a zároveň podporujících univerzální hodnoty lidských práv a demokracie; vyjadřuje politování nad tím, že v řadě afrických zemí došlo k úpadku demokracie;</w:t>
      </w:r>
    </w:p>
    <w:p>
      <w:pPr>
        <w:pStyle w:val="NormalHanging12a"/>
      </w:pPr>
      <w:r>
        <w:t>27.</w:t>
      </w:r>
      <w:r>
        <w:tab/>
      </w:r>
      <w:r>
        <w:t>zdůrazňuje, že je třeba prohloubit angažovanost EU v podobně smýšlejících zemích Latinské Ameriky a Karibiku;</w:t>
      </w:r>
    </w:p>
    <w:p>
      <w:pPr>
        <w:pStyle w:val="NormalHanging12a"/>
      </w:pPr>
      <w:r>
        <w:t>28.</w:t>
      </w:r>
      <w:r>
        <w:tab/>
      </w:r>
      <w:r>
        <w:t>zdůrazňuje rostoucí geostrategický význam Arktidy a připomíná potřebu soudržné a aktuální arktické politiky EU;</w:t>
      </w:r>
    </w:p>
    <w:p>
      <w:pPr>
        <w:pStyle w:val="NormalHanging12a"/>
      </w:pPr>
      <w:r>
        <w:t>29.</w:t>
      </w:r>
      <w:r>
        <w:tab/>
      </w:r>
      <w:r>
        <w:t>vyzývá Komisi a ESVČ, aby zintenzivnily strukturovanou spolupráci s regionálními organizacemi – včetně Sdružení národů jihovýchodní Asie, Africké unie, Společenství latinskoamerických a karibských států a Rady pro spolupráci v Zálivu – s cílem vytvořit inkluzivní regionální bezpečnostní architekturu a koordinovat mnohostranné politické reakce;</w:t>
      </w:r>
    </w:p>
    <w:p>
      <w:r>
        <w:rPr>
          <w:b/>
          <w:i/>
        </w:rPr>
        <w:t>Stanovení pozic,</w:t>
      </w:r>
      <w:r>
        <w:rPr>
          <w:b/>
          <w:i/>
        </w:rPr>
        <w:t xml:space="preserve"> o nichž nelze vyjednávat, které považujeme za nedotknutelné</w:t>
      </w:r>
    </w:p>
    <w:p>
      <w:pPr>
        <w:pStyle w:val="NormalHanging12a"/>
      </w:pPr>
      <w:r>
        <w:t>30.</w:t>
      </w:r>
      <w:r>
        <w:tab/>
      </w:r>
      <w:r>
        <w:t>opakuje, že vnější činnost EU je neoddělitelně spjata s hodnotami a zásadami zakotvenými v článku 2, čl. 3 odst. 5 a článku 21 SEU;</w:t>
      </w:r>
    </w:p>
    <w:p>
      <w:pPr>
        <w:pStyle w:val="NormalHanging12a"/>
      </w:pPr>
      <w:r>
        <w:t>31.</w:t>
      </w:r>
      <w:r>
        <w:tab/>
      </w:r>
      <w:r>
        <w:t>připomíná, že důvěryhodnost EU závisí na její schopnosti jednat rozhodně při ochraně svých občanů a zabezpečení svých zájmů; zdůrazňuje, že by měla být důsledně komunikována hranice, která bude znamenat rozhodné kroky, a musí se s ní pojit jednoznačné reakce na hrubá porušení lidských práv; podporuje rozšíření režimu sankcí EU v oblasti lidských práv podle vzoru globálního režimu sankcí EU v oblasti lidských práv na systémové represe a korupci;</w:t>
      </w:r>
    </w:p>
    <w:p>
      <w:pPr>
        <w:pStyle w:val="NormalHanging12a"/>
      </w:pPr>
      <w:r>
        <w:t>32.</w:t>
      </w:r>
      <w:r>
        <w:tab/>
      </w:r>
      <w:r>
        <w:t>podporuje hlubší koordinaci s G7 a dalšími demokratickými partnery s cílem sladit reakce na porušování globálních norem;</w:t>
      </w:r>
    </w:p>
    <w:p>
      <w:pPr>
        <w:pStyle w:val="NormalHanging12a"/>
      </w:pPr>
      <w:r>
        <w:t>33.</w:t>
      </w:r>
      <w:r>
        <w:tab/>
      </w:r>
      <w:r>
        <w:t>naléhavě žádá, aby byla věnována větší pozornost pronásledování náboženských menšin, včetně křesťanů; vyzývá k zahrnutí ochrany náboženské svobody do vnější činnosti EU;</w:t>
      </w:r>
    </w:p>
    <w:p>
      <w:pPr>
        <w:pStyle w:val="NormalHanging12a"/>
      </w:pPr>
      <w:r>
        <w:t>34.</w:t>
      </w:r>
      <w:r>
        <w:tab/>
      </w:r>
      <w:r>
        <w:t xml:space="preserve">vyzývá ESVČ a Komisi, aby vypracovaly kritéria pro hodnocení dopadu sankcí EU a aby v tomto ohledu pravidelně informovaly </w:t>
      </w:r>
      <w:r>
        <w:t>Evropský parlament</w:t>
      </w:r>
      <w:r>
        <w:t>;</w:t>
      </w:r>
    </w:p>
    <w:p>
      <w:r>
        <w:rPr>
          <w:b/>
          <w:i/>
        </w:rPr>
        <w:t xml:space="preserve">Zvyšování dopadu vnější činnosti EU, </w:t>
      </w:r>
      <w:r>
        <w:rPr>
          <w:b/>
          <w:i/>
        </w:rPr>
        <w:t xml:space="preserve">kterou </w:t>
      </w:r>
      <w:r>
        <w:rPr>
          <w:b/>
          <w:i/>
        </w:rPr>
        <w:t>provádíme</w:t>
      </w:r>
    </w:p>
    <w:p>
      <w:pPr>
        <w:pStyle w:val="NormalHanging12a"/>
      </w:pPr>
      <w:r>
        <w:t>35.</w:t>
      </w:r>
      <w:r>
        <w:tab/>
      </w:r>
      <w:r>
        <w:t>vyjadřuje politování nad tím, že globální viditelnost a politický vliv EU často neodpovídají jejímu finančnímu a diplomatickému vlivu;</w:t>
      </w:r>
    </w:p>
    <w:p>
      <w:pPr>
        <w:pStyle w:val="NormalHanging12a"/>
      </w:pPr>
      <w:r>
        <w:t>36.</w:t>
      </w:r>
      <w:r>
        <w:tab/>
      </w:r>
      <w:r>
        <w:t>vyzývá místopředsedkyni Komise, vysokou představitelku, aby navrhla soudržnou strategickou komunikační strategii, která by zdůraznila přínosy vnější činnosti EU a podpořila cíle EU; vybízí ESVČ, aby posílila politickou přítomnost EU v našich partnerských zemích a naši vnější činnost veřejnosti v těchto zemích více zpřístupnila;</w:t>
      </w:r>
    </w:p>
    <w:p>
      <w:pPr>
        <w:pStyle w:val="NormalHanging12a"/>
      </w:pPr>
      <w:r>
        <w:t>37.</w:t>
      </w:r>
      <w:r>
        <w:tab/>
      </w:r>
      <w:r>
        <w:t>vyzývá k většímu sbližování diplomatických služeb EU a členských států s cílem zlepšit součinnost mezi komunikací pod vnitrostátní hlavičkou a pod hlavičkou EU v souladu s přístupem Tým Evropa;</w:t>
      </w:r>
    </w:p>
    <w:p>
      <w:pPr>
        <w:pStyle w:val="NormalHanging12a"/>
      </w:pPr>
      <w:r>
        <w:t>38.</w:t>
      </w:r>
      <w:r>
        <w:tab/>
      </w:r>
      <w:r>
        <w:t>zdůrazňuje, že hlavní překážku pro zvýšení viditelnosti a dopadu vnější činnosti EU představují rozpočtová omezení; vyzývá Komisi a ESVČ, aby provedly skutečné stanovení priorit s cílem určit, kde může vnější činnost EU přinést největší politický a strategický užitek;</w:t>
      </w:r>
    </w:p>
    <w:p>
      <w:pPr>
        <w:pStyle w:val="NormalHanging12a"/>
      </w:pPr>
      <w:r>
        <w:t>39.</w:t>
      </w:r>
      <w:r>
        <w:tab/>
      </w:r>
      <w:r>
        <w:t>zdůrazňuje strategický potenciál iniciativy Global Gateway pro zvýšení přítomnosti a viditelnosti EU ve světě; vítá skutečnost, že Komise přikládá důraz provádění svých projektů;</w:t>
      </w:r>
    </w:p>
    <w:p>
      <w:pPr>
        <w:pStyle w:val="NormalHanging12a"/>
      </w:pPr>
      <w:r>
        <w:t>40.</w:t>
      </w:r>
      <w:r>
        <w:tab/>
      </w:r>
      <w:r>
        <w:t xml:space="preserve">připomíná, že </w:t>
      </w:r>
      <w:r>
        <w:t>Evropský parlament</w:t>
      </w:r>
      <w:r>
        <w:t xml:space="preserve"> hraje významnou úlohu, pokud jde o doplňování viditelnosti a vlivu vnější činnosti EU, čímž podporuje úsilí diplomatických služeb EU a členských států;</w:t>
      </w:r>
    </w:p>
    <w:p>
      <w:pPr>
        <w:pStyle w:val="NormalHanging12a"/>
      </w:pPr>
      <w:r>
        <w:t>41.</w:t>
      </w:r>
      <w:r>
        <w:tab/>
      </w:r>
      <w:r>
        <w:t xml:space="preserve">připomíná, že rozpočtová funkce </w:t>
      </w:r>
      <w:r>
        <w:t>Evropského parlamentu</w:t>
      </w:r>
      <w:r>
        <w:t xml:space="preserve"> je neoddělitelně spjata s jeho funkcí demokratické kontroly a konzultační funkcí;</w:t>
      </w:r>
    </w:p>
    <w:p>
      <w:pPr>
        <w:pStyle w:val="NormalHanging12a"/>
      </w:pPr>
      <w:r>
        <w:t>42.</w:t>
      </w:r>
      <w:r>
        <w:tab/>
      </w:r>
      <w:r>
        <w:t>domnívá se, že je třeba posílit parlamentní dohled nad vnější činností EU, včetně pravidelného přístupu k důvěrným informacím a strukturovaných dialogů;</w:t>
      </w:r>
    </w:p>
    <w:p>
      <w:pPr>
        <w:pStyle w:val="NormalHanging12a"/>
      </w:pPr>
      <w:r>
        <w:t>43.</w:t>
      </w:r>
      <w:r>
        <w:tab/>
      </w:r>
      <w:r>
        <w:t>zdůrazňuje, že každá výše uvedená záležitost vyžaduje odpovídající reakci ze strany místopředsedkyně Komise, vysoké představitelky;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44.</w:t>
      </w:r>
      <w:r>
        <w:tab/>
      </w:r>
      <w:r>
        <w:t xml:space="preserve">pověřuje svou předsedkyni, aby předala toto usnesení </w:t>
      </w:r>
      <w:r>
        <w:t>Evropské radě</w:t>
      </w:r>
      <w:r>
        <w:t>, Radě, Komisi, místopředsedkyni Komise, vysoké představitelce Unie pro zahraniční věci a bezpečnostní politiku a vládám a parlamentům členských států.</w:t>
      </w:r>
    </w:p>
    <w:p>
      <w:pPr>
        <w:sectPr>
          <w:footerReference w:type="even" r:id="rId5"/>
          <w:footerReference w:type="default" r:id="rId6"/>
          <w:footerReference w:type="first" r:id="rId7"/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"/>
      </w:pPr>
      <w:bookmarkStart w:id="1" w:name="_Toc256000001"/>
      <w:r>
        <w:t>VYSVĚTLUJÍCÍ PROHLÁŠENÍ</w:t>
      </w:r>
      <w:bookmarkEnd w:id="1"/>
    </w:p>
    <w:p>
      <w:pPr>
        <w:pStyle w:val="Normal12"/>
      </w:pPr>
      <w:r>
        <w:t>Výbor pro zahraniční věci každoročně vypracovává návrh usnesení o provádění společné zahraniční a bezpečnostní politiky (SZBP) jako reakci na zprávu kterou Evropskému parlamentu předkládá vysoká představitelka Unie pro zahraniční věci a bezpečnostní politiku. Toto usnesení hodnotí pokrok a výzvy v oblasti SZBP a představuje ústřední část příspěvku Evropského parlamentu k utváření vnější činnosti EU. To je důležité zejména s ohledem na posílení kontrolních pravomocí, které Evropskému parlamentu přiznává Lisabonská smlouva.</w:t>
      </w:r>
    </w:p>
    <w:p>
      <w:pPr>
        <w:pStyle w:val="Normal12"/>
      </w:pPr>
      <w:r>
        <w:t>Tato zpráva rozšiřuje klíčové strategické priority, které určují budoucí směřování SZBP, a nabízí jasné vodítko pro výkonnou moc EU. Klade důraz na přístup zaměřený na budoucnost prostřednictvím několika základních zásad, které by podle přesvědčení Parlamentu měly být základem SZBP:</w:t>
      </w:r>
    </w:p>
    <w:p>
      <w:pPr>
        <w:pStyle w:val="Normal12"/>
      </w:pPr>
      <w:r>
        <w:t>a)</w:t>
      </w:r>
      <w:r>
        <w:rPr>
          <w:b/>
        </w:rPr>
        <w:t xml:space="preserve"> </w:t>
      </w:r>
      <w:r>
        <w:t>utváření mezinárodního řádu založeného na pravidlech, který hájíme,</w:t>
      </w:r>
    </w:p>
    <w:p>
      <w:pPr>
        <w:pStyle w:val="Normal12"/>
      </w:pPr>
      <w:r>
        <w:t>b) podpora spolupráce na základě společných zájmů,</w:t>
      </w:r>
    </w:p>
    <w:p>
      <w:pPr>
        <w:pStyle w:val="Normal12"/>
      </w:pPr>
      <w:r>
        <w:t>c)</w:t>
      </w:r>
      <w:r>
        <w:rPr>
          <w:b/>
        </w:rPr>
        <w:t xml:space="preserve"> </w:t>
      </w:r>
      <w:r>
        <w:t>stanovení pozic, o nichž nelze vyjednávat, které považujeme za nedotknutelné,</w:t>
      </w:r>
    </w:p>
    <w:p>
      <w:pPr>
        <w:pStyle w:val="Normal12"/>
      </w:pPr>
      <w:r>
        <w:t>d)</w:t>
      </w:r>
      <w:r>
        <w:rPr>
          <w:b/>
        </w:rPr>
        <w:t xml:space="preserve"> </w:t>
      </w:r>
      <w:r>
        <w:t>zvyšování dopadu vnější činnosti EU, kterou provádíme.</w:t>
      </w:r>
    </w:p>
    <w:p>
      <w:pPr>
        <w:pStyle w:val="Normal12"/>
      </w:pPr>
      <w:r>
        <w:t>Zpráva se podrobně věnuje každé z těchto priorit.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776.921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PR\1327325CS.docx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PR\1327325CS.docx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776.921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PR\1327325CS.docx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776.921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 w:val="0"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 w:val="0"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 w:val="0"/>
      <w:spacing w:before="480" w:after="240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 w:val="0"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 w:val="0"/>
      <w:spacing w:after="240"/>
      <w:ind w:left="1418"/>
    </w:pPr>
  </w:style>
  <w:style w:type="paragraph" w:customStyle="1" w:styleId="LegendSign">
    <w:name w:val="LegendSign"/>
    <w:basedOn w:val="Normal"/>
    <w:pPr>
      <w:widowControl w:val="0"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 w:val="0"/>
      <w:ind w:left="0" w:firstLine="0"/>
    </w:pPr>
  </w:style>
  <w:style w:type="paragraph" w:customStyle="1" w:styleId="LegendTitle">
    <w:name w:val="LegendTitle"/>
    <w:basedOn w:val="Normal"/>
    <w:pPr>
      <w:widowControl w:val="0"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 w:val="0"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 w:val="0"/>
      <w:spacing w:before="240"/>
    </w:pPr>
  </w:style>
  <w:style w:type="paragraph" w:customStyle="1" w:styleId="PMissingStyle">
    <w:name w:val="P_MissingStyle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 w:val="0"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 w:val="0"/>
      <w:ind w:left="2268"/>
    </w:pPr>
  </w:style>
  <w:style w:type="paragraph" w:customStyle="1" w:styleId="NormalHanging12a5">
    <w:name w:val="NormalHanging12a5"/>
    <w:basedOn w:val="NormalHanging12a4"/>
    <w:pPr>
      <w:widowControl w:val="0"/>
      <w:ind w:left="2692"/>
    </w:pPr>
  </w:style>
  <w:style w:type="paragraph" w:customStyle="1" w:styleId="NormalHanging12a6">
    <w:name w:val="NormalHanging12a6"/>
    <w:basedOn w:val="NormalHanging12a5"/>
    <w:pPr>
      <w:widowControl w:val="0"/>
      <w:ind w:left="3118"/>
    </w:pPr>
  </w:style>
  <w:style w:type="paragraph" w:customStyle="1" w:styleId="NormalHanging12a7">
    <w:name w:val="NormalHanging12a7"/>
    <w:basedOn w:val="NormalHanging12a6"/>
    <w:pPr>
      <w:widowControl w:val="0"/>
      <w:ind w:left="3544"/>
    </w:pPr>
  </w:style>
  <w:style w:type="paragraph" w:customStyle="1" w:styleId="NormalHanging12a1">
    <w:name w:val="NormalHanging12a1"/>
    <w:basedOn w:val="Normal"/>
    <w:pPr>
      <w:widowControl w:val="0"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 w:val="0"/>
      <w:ind w:left="1416"/>
    </w:pPr>
  </w:style>
  <w:style w:type="paragraph" w:customStyle="1" w:styleId="NormalHanging12a3">
    <w:name w:val="NormalHanging12a3"/>
    <w:basedOn w:val="NormalHanging12a2"/>
    <w:pPr>
      <w:widowControl w:val="0"/>
      <w:ind w:left="1842"/>
    </w:pPr>
  </w:style>
  <w:style w:type="paragraph" w:customStyle="1" w:styleId="NormalHanging">
    <w:name w:val="NormalHanging"/>
    <w:basedOn w:val="Normal"/>
    <w:pPr>
      <w:widowControl w:val="0"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 w:val="0"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 w:val="0"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 w:val="0"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 w:val="0"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 w:val="0"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2051</Words>
  <Characters>12843</Characters>
  <Application>Microsoft Office Word</Application>
  <DocSecurity>0</DocSecurity>
  <Lines>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1327325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244068</vt:lpwstr>
  </property>
  <property fmtid="{D5CDD505-2E9C-101B-9397-08002B2CF9AE}" pid="7" name="dmxml.render.traceId">
    <vt:lpwstr>68d2a49aaf484a0d391f831e5edb4412</vt:lpwstr>
  </property>
  <property fmtid="{D5CDD505-2E9C-101B-9397-08002B2CF9AE}" pid="8" name="FooterPath">
    <vt:lpwstr>PR\1327325CS.doc</vt:lpwstr>
  </property>
  <property fmtid="{D5CDD505-2E9C-101B-9397-08002B2CF9AE}" pid="9" name="PE Number">
    <vt:lpwstr>776.921</vt:lpwstr>
  </property>
  <property fmtid="{D5CDD505-2E9C-101B-9397-08002B2CF9AE}" pid="10" name="UID">
    <vt:lpwstr>eu.europa.europarl-DIN1-2025-0000160447_01.08-cs-01.00_text-xml</vt:lpwstr>
  </property>
</Properties>
</file>