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4" o:title=""/>
                </v:shape>
              </w:pict>
            </w:r>
          </w:p>
        </w:tc>
      </w:tr>
    </w:tbl>
    <w:p>
      <w:pPr>
        <w:pStyle w:val="LineTop"/>
      </w:pPr>
      <w:r>
        <w:t xml:space="preserve"> </w:t>
      </w:r>
    </w:p>
    <w:p>
      <w:pPr>
        <w:pStyle w:val="EPBody"/>
      </w:pPr>
      <w:r>
        <w:rPr>
          <w:rStyle w:val="HideTWBExt"/>
        </w:rPr>
        <w:t>&lt;Commission&gt;</w:t>
      </w:r>
      <w:r>
        <w:rPr>
          <w:rStyle w:val="HideTWBInt"/>
        </w:rPr>
        <w:t>{AFET}</w:t>
      </w:r>
      <w:r>
        <w:t>Επιτροπή Εξωτερικών Υποθέσεων</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{10/09/2025}</w:t>
      </w:r>
      <w:r>
        <w:t>10.09.2025</w:t>
      </w:r>
      <w:r>
        <w:rPr>
          <w:rStyle w:val="HideTWBExt"/>
        </w:rPr>
        <w:t>&lt;/Date&gt;</w:t>
      </w:r>
    </w:p>
    <w:p>
      <w:pPr>
        <w:pStyle w:val="CoverDocType24a"/>
      </w:pPr>
      <w:r>
        <w:rPr>
          <w:rStyle w:val="HideTWBExt"/>
        </w:rPr>
        <w:t>&lt;TitreType&gt;</w:t>
      </w:r>
      <w:r>
        <w:t>ΣΧΕΔΙΟ ΕΚΘΕΣΗΣ</w:t>
      </w:r>
      <w:r>
        <w:rPr>
          <w:rStyle w:val="HideTWBExt"/>
        </w:rPr>
        <w:t>&lt;/TitreType&gt;</w:t>
      </w:r>
    </w:p>
    <w:p>
      <w:pPr>
        <w:pStyle w:val="CoverNormal"/>
      </w:pPr>
      <w:r>
        <w:rPr>
          <w:rStyle w:val="HideTWBExt"/>
        </w:rPr>
        <w:t>&lt;Titre&gt;</w:t>
      </w:r>
      <w:r>
        <w:t>σχετικά με την εφαρμογή της κοινής εξωτερικής πολιτικής και πολιτικής ασφαλείας – ετήσια έκθεση 2025</w:t>
      </w:r>
      <w:r>
        <w:rPr>
          <w:rStyle w:val="HideTWBExt"/>
        </w:rPr>
        <w:t>&lt;/Titre&gt;</w:t>
      </w:r>
    </w:p>
    <w:p>
      <w:pPr>
        <w:pStyle w:val="CoverNormal24a"/>
      </w:pPr>
      <w:r>
        <w:rPr>
          <w:rStyle w:val="HideTWBExt"/>
        </w:rPr>
        <w:t>&lt;DocRef&gt;</w:t>
      </w:r>
      <w:r>
        <w:t>(2025/2164(INI))</w:t>
      </w:r>
      <w:r>
        <w:rPr>
          <w:rStyle w:val="HideTWBExt"/>
        </w:rPr>
        <w:t>&lt;/DocRef&gt;</w:t>
      </w:r>
    </w:p>
    <w:p>
      <w:pPr>
        <w:pStyle w:val="CoverNormal24a"/>
      </w:pPr>
      <w:r>
        <w:rPr>
          <w:rStyle w:val="HideTWBExt"/>
        </w:rPr>
        <w:t>&lt;Commission&gt;</w:t>
      </w:r>
      <w:r>
        <w:rPr>
          <w:rStyle w:val="HideTWBInt"/>
        </w:rPr>
        <w:t>{AFET}</w:t>
      </w:r>
      <w:r>
        <w:t>Επιτροπή Εξωτερικών Υποθέσεων</w:t>
      </w:r>
      <w:r>
        <w:rPr>
          <w:rStyle w:val="HideTWBExt"/>
        </w:rPr>
        <w:t>&lt;/Commission&gt;</w:t>
      </w:r>
    </w:p>
    <w:p>
      <w:pPr>
        <w:pStyle w:val="CoverNormal24a"/>
      </w:pPr>
      <w:r>
        <w:t>Εισηγητής</w:t>
      </w:r>
      <w:r>
        <w:t xml:space="preserve">: </w:t>
      </w:r>
      <w:r>
        <w:rPr>
          <w:rStyle w:val="HideTWBExt"/>
        </w:rPr>
        <w:t>&lt;Depute&gt;</w:t>
      </w:r>
      <w:r>
        <w:t>David McAllister</w:t>
      </w:r>
      <w:r>
        <w:rPr>
          <w:rStyle w:val="HideTWBExt"/>
        </w:rPr>
        <w:t>&lt;/Depute&gt;</w:t>
      </w:r>
    </w:p>
    <w:p>
      <w:r>
        <w:br w:type="page"/>
      </w:r>
      <w:r>
        <w:t>PR_INI</w:t>
      </w:r>
    </w:p>
    <w:p>
      <w:pPr>
        <w:pStyle w:val="TOCHeading"/>
      </w:pPr>
      <w:r>
        <w:t>ΠΕΡΙΕΧΟΜΕNA</w:t>
      </w:r>
    </w:p>
    <w:p>
      <w:pPr>
        <w:pStyle w:val="TOCPage"/>
      </w:pPr>
      <w:r>
        <w:t>Σελίδα</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ΠΡΟΤΑΣΗ ΨΗΦΙΣΜΑΤΟΣ ΤΟΥ ΕΥΡΩΠΑΪΚΟΥ ΚΟΙΝΟΒΟΥΛΙΟΥ</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ΑΙΤΙΟΛΟΓΙΚΗ ΕΚΘΕΣΗ</w:t>
      </w:r>
      <w:r>
        <w:tab/>
      </w:r>
      <w:r>
        <w:fldChar w:fldCharType="begin"/>
      </w:r>
      <w:r>
        <w:instrText xml:space="preserve"> PAGEREF _Toc256000001 \h </w:instrText>
      </w:r>
      <w:r>
        <w:fldChar w:fldCharType="separate"/>
      </w:r>
      <w:r>
        <w:t>9</w:t>
      </w:r>
      <w:r>
        <w:fldChar w:fldCharType="end"/>
      </w:r>
    </w:p>
    <w:p>
      <w:pPr>
        <w:pStyle w:val="TOC1"/>
      </w:pPr>
      <w:r>
        <w:fldChar w:fldCharType="end"/>
      </w:r>
    </w:p>
    <w:p>
      <w:r>
        <w:br w:type="page"/>
      </w:r>
    </w:p>
    <w:p>
      <w:pPr>
        <w:pStyle w:val="PageHeading"/>
      </w:pPr>
      <w:bookmarkStart w:id="0" w:name="_Toc256000000"/>
      <w:r>
        <w:t>ΠΡΟΤΑΣΗ ΨΗΦΙΣΜΑΤΟΣ ΤΟΥ ΕΥΡΩΠΑΪΚΟΥ ΚΟΙΝΟΒΟΥΛΙΟΥ</w:t>
      </w:r>
      <w:bookmarkEnd w:id="0"/>
    </w:p>
    <w:p>
      <w:pPr>
        <w:pStyle w:val="NormalBold"/>
      </w:pPr>
      <w:r>
        <w:t>σχετικά με την εφαρμογή της κοινής εξωτερικής πολιτικής και πολιτικής ασφαλείας – ετήσια έκθεση 2025</w:t>
      </w:r>
    </w:p>
    <w:p>
      <w:pPr>
        <w:pStyle w:val="NormalBold"/>
      </w:pPr>
    </w:p>
    <w:p>
      <w:pPr>
        <w:pStyle w:val="NormalBold12a"/>
      </w:pPr>
      <w:r>
        <w:t>(</w:t>
      </w:r>
      <w:r>
        <w:t>2025/2164(INI)</w:t>
      </w:r>
      <w:r>
        <w:t>)</w:t>
      </w:r>
    </w:p>
    <w:p>
      <w:pPr>
        <w:pStyle w:val="Normal12"/>
      </w:pPr>
      <w:r>
        <w:rPr>
          <w:i/>
        </w:rPr>
        <w:t>Το Ευρωπαϊκό Κοινοβούλιο</w:t>
      </w:r>
      <w:r>
        <w:t>,</w:t>
      </w:r>
    </w:p>
    <w:p>
      <w:pPr>
        <w:pStyle w:val="NormalHanging"/>
      </w:pPr>
      <w:r>
        <w:t>–</w:t>
      </w:r>
      <w:r>
        <w:tab/>
      </w:r>
      <w:r>
        <w:t>έχοντας υπόψη τη Συνθήκη για την Ευρωπαϊκή Ένωση (ΣΕΕ), και ιδίως τα άρθρα 14, 16, 21, 24, 36 και 41,</w:t>
      </w:r>
    </w:p>
    <w:p>
      <w:pPr>
        <w:pStyle w:val="NormalHanging"/>
      </w:pPr>
      <w:r>
        <w:t>–</w:t>
      </w:r>
      <w:r>
        <w:tab/>
      </w:r>
      <w:r>
        <w:t>έχοντας υπόψη την έκθεση της Ύπατης Εκπροσώπου της Ένωσης για θέματα εξωτερικής πολιτικής και πολιτικής ασφαλείας, της 25ης Ιουνίου 2025, με τίτλο «Έκθεση ΚΕΠΠΑ – Οι προτεραιότητές μας το 2025»,</w:t>
      </w:r>
    </w:p>
    <w:p>
      <w:pPr>
        <w:pStyle w:val="NormalHanging"/>
      </w:pPr>
      <w:r>
        <w:t>–</w:t>
      </w:r>
      <w:r>
        <w:tab/>
      </w:r>
      <w:r>
        <w:t>έχοντας υπόψη το άρθρο 55 του Κανονισμού του,</w:t>
      </w:r>
    </w:p>
    <w:p>
      <w:pPr>
        <w:pStyle w:val="NormalHanging"/>
      </w:pPr>
      <w:r>
        <w:t>–</w:t>
      </w:r>
      <w:r>
        <w:tab/>
      </w:r>
      <w:r>
        <w:t>έχοντας υπόψη την έκθεση της Επιτροπής Εξωτερικών Υποθέσεων (A10-0000/2025),</w:t>
      </w:r>
    </w:p>
    <w:p>
      <w:pPr>
        <w:pStyle w:val="NormalHanging"/>
      </w:pPr>
      <w:r>
        <w:t>Α.</w:t>
      </w:r>
      <w:r>
        <w:tab/>
      </w:r>
      <w:r>
        <w:t>λαμβάνοντας υπόψη ότι οι βασικοί στόχοι της κοινής εξωτερικής πολιτικής και πολιτικής ασφάλειας (ΚΕΠΠΑ) της ΕΕ περιλαμβάνουν τη διατήρηση της ειρήνης, την ενίσχυση της διεθνούς ασφάλειας και την προώθηση της διεθνούς συνεργασίας, καθώς και την προώθηση της δημοκρατίας, του κράτους δικαίου και του σεβασμού των ανθρωπίνων δικαιωμάτων·</w:t>
      </w:r>
    </w:p>
    <w:p>
      <w:pPr>
        <w:pStyle w:val="NormalHanging"/>
      </w:pPr>
      <w:r>
        <w:t>Β.</w:t>
      </w:r>
      <w:r>
        <w:tab/>
      </w:r>
      <w:r>
        <w:t>λαμβάνοντας υπόψη ότι ορισμένες ιστορικές και αναδυόμενες δυνάμεις παρουσιάζουν πολύπλοκες συμπεριφορές που κυμαίνονται από τη στενή συνεργασία έως την τομεακή αντιπαράθεση· λαμβάνοντας υπόψη ότι, στο τρέχον γεωπολιτικό κλίμα, η ΕΕ, σε ορισμένες περιπτώσεις, δεν έχει άλλη επιλογή παρά να επιλέξει συμφωνίες βάσει συναλλαγών·</w:t>
      </w:r>
    </w:p>
    <w:p>
      <w:r>
        <w:t>.</w:t>
      </w:r>
    </w:p>
    <w:p>
      <w:pPr>
        <w:pStyle w:val="NormalHanging12a"/>
      </w:pPr>
      <w:r>
        <w:t>1.</w:t>
      </w:r>
      <w:r>
        <w:tab/>
      </w:r>
      <w:r>
        <w:t>επαναλαμβάνει τις ανησυχίες που εκφράζονται στην έκθεση της Αντιπροέδρου της Επιτροπής/Ύπατης Εκπροσώπου της Ένωσης για Θέματα Εξωτερικής Πολιτικής και Πολιτικής Ασφαλείας (ΑΠ/ΥΕ) και εκφράζει την ανησυχία του για τον ταχύ ρυθμό γεωπολιτικών αλλαγών που προκαλούνται από τις δυναμικές στρατιωτικές, πολιτικές και οικονομικές πιέσεις των αυταρχικών δυνάμεων· σημειώνει με ανησυχία ότι το διεθνές σύστημα είναι πιο πολυπολικό και λιγότερο πολυμερές, όπου ο ανταγωνισμός αντικαθιστά τη συνεργασία και το εμπόριο, και όπου οι επενδύσεις, η ροή πληροφοριών και οι μεταναστευτικές ροές χρησιμοποιούνται όλο και περισσότερο ως όπλο· προειδοποιεί ότι ο κατακερματισμός αυτός απειλεί τα στρατηγικά μας συμφέροντα, την ασφάλεια, την ευημερία και την ενότητα και απαιτεί την κινητοποίηση των περιφερειακών και παγκόσμιων εταιρικών σχέσεων και συμμαχιών μας·</w:t>
      </w:r>
    </w:p>
    <w:p>
      <w:pPr>
        <w:pStyle w:val="NormalHanging12a"/>
      </w:pPr>
      <w:r>
        <w:t>2.</w:t>
      </w:r>
      <w:r>
        <w:tab/>
      </w:r>
      <w:r>
        <w:t>καλεί, στο πλαίσιο αυτό, την ΑΠ/ΥΕ να αναπτύξει μια μακρόπνοη ΚΕΠΠΑ που θα επιδιώκει τους στόχους που περιγράφονται στις ακόλουθες παραγράφους·</w:t>
      </w:r>
    </w:p>
    <w:p>
      <w:r>
        <w:t>Διαμόρφωση της βασισμένης σε κανόνες διεθνούς τάξης που υπερασπιζόμαστε</w:t>
      </w:r>
    </w:p>
    <w:p>
      <w:pPr>
        <w:pStyle w:val="NormalHanging12a"/>
      </w:pPr>
      <w:r>
        <w:t>3.</w:t>
      </w:r>
      <w:r>
        <w:tab/>
      </w:r>
      <w:r>
        <w:t>υπενθυμίζει ότι η βασισμένη σε κανόνες διεθνής τάξη διασφαλίζει την κυριαρχία και την ακεραιότητα του κράτους, καθιστά δυνατή την ειρηνική επίλυση διαφορών και διασφαλίζει ότι η εξουσία υπόκειται στον νόμο και όχι σε βία· εκφράζει την ανησυχία του για το γεγονός ότι η βασισμένη σε κανόνες διεθνής τάξη υφίσταται πρωτοφανείς πιέσεις από την εσωτερική διάβρωση και τις εξωτερικές επιθέσεις· προειδοποιεί ότι η καταστροφή του οδηγεί σε αστάθεια και συγκρούσεις παγκοσμίως, αποδυναμώνοντας έτσι τη δική μας ασφάλεια και ευημερία·</w:t>
      </w:r>
    </w:p>
    <w:p>
      <w:pPr>
        <w:pStyle w:val="NormalHanging12a"/>
      </w:pPr>
      <w:r>
        <w:t>4.</w:t>
      </w:r>
      <w:r>
        <w:tab/>
      </w:r>
      <w:r>
        <w:t>υπογραμμίζει ότι ο παράνομος και αδικαιολόγητος επιθετικός πόλεμος της Ρωσίας κατά της Ουκρανίας συνιστά άνευ προηγουμένου επίθεση κατά της ευρωπαϊκής ειρηνευτικής τάξης μετά τον Δεύτερο Παγκόσμιο Πόλεμο· υπενθυμίζει ότι η επίθεση της Ρωσίας πρέπει να αποτύχει και, κατά συνέπεια, να καταδείξει ότι η βία δεν υπερισχύει του νόμου, να αποθαρρύνει δε άλλους από την προσπάθεια να αμφισβητήσουν τα σύνορα με στρατιωτικά μέσα· ζητεί, επομένως, άμεση και άνευ όρων κατάπαυση του πυρός, απόσυρση της Ρωσίας από την Ουκρανία και επιστροφή όλων των παιδιών που απήχθησαν παράνομα από τη Ρωσία·</w:t>
      </w:r>
    </w:p>
    <w:p>
      <w:pPr>
        <w:pStyle w:val="NormalHanging12a"/>
      </w:pPr>
      <w:r>
        <w:t>5.</w:t>
      </w:r>
      <w:r>
        <w:tab/>
      </w:r>
      <w:r>
        <w:t>τονίζει ότι οποιαδήποτε ειρηνευτική συμφωνία πρέπει να περιλαμβάνει ισχυρές εγγυήσεις ασφάλειας για την Ουκρανία, να αποτελεί αντικείμενο διαπραγμάτευσης από την εκλεγμένη ηγεσία της και να έχει την υποστήριξη του λαού της· προειδοποιεί για τις υποκριτικές προτάσεις της Ρωσίας που αποσκοπούν στην παράταση του πολέμου και προειδοποιεί ότι θα έθετε σε σοβαρό κίνδυνο την ευρωπαϊκή ασφάλεια οποιαδήποτε διευθέτηση επιβληθεί από τη Ρωσία ή επιβραβεύσει την επίθεσή της·</w:t>
      </w:r>
    </w:p>
    <w:p>
      <w:pPr>
        <w:pStyle w:val="NormalHanging12a"/>
      </w:pPr>
      <w:r>
        <w:t>6.</w:t>
      </w:r>
      <w:r>
        <w:tab/>
      </w:r>
      <w:r>
        <w:t>παροτρύνει την Επιτροπή να στηρίξει ενεργά τους διεθνείς μηχανισμούς δικαιοσύνης και να διασφαλίσει τη λογοδοσία για εγκλήματα πολέμου και εγκλήματα επίθεσης· παροτρύνει την Επιτροπή να προτείνει νομοθεσία που θα χρησιμοποιεί τα ακινητοποιημένα ρωσικά ξένα περιουσιακά στοιχεία για την ανασυγκρότηση της Ουκρανίας·</w:t>
      </w:r>
    </w:p>
    <w:p>
      <w:pPr>
        <w:pStyle w:val="NormalHanging12a"/>
      </w:pPr>
      <w:r>
        <w:t>7.</w:t>
      </w:r>
      <w:r>
        <w:tab/>
      </w:r>
      <w:r>
        <w:t>τονίζει ότι η επίθεση της Ρωσίας αποσταθεροποιεί την ανατολική γειτονία της ΕΕ και προκαλεί δευτερογενείς επιπτώσεις στα δυτικά Βαλκάνια·</w:t>
      </w:r>
    </w:p>
    <w:p>
      <w:pPr>
        <w:pStyle w:val="NormalHanging12a"/>
      </w:pPr>
      <w:r>
        <w:t>8.</w:t>
      </w:r>
      <w:r>
        <w:tab/>
      </w:r>
      <w:r>
        <w:t>επαναλαμβάνει ότι η ΕΕ και όλα τα κράτη μέλη της πρέπει να δώσουν το παράδειγμα όσον αφορά την προάσπιση της κυριαρχίας και του διεθνούς δικαίου· υπογραμμίζει ότι η αξιοπιστία και η ικανότητά της να προστατεύει τους πολίτες και τα ζωτικά συμφέροντά της εξαρτάται από την προσήλωσή της στις θεμελιώδεις αρχές της, όπως η δημοκρατία, το κράτος δικαίου και η ανθρώπινη αξιοπρέπεια·</w:t>
      </w:r>
    </w:p>
    <w:p>
      <w:pPr>
        <w:pStyle w:val="NormalHanging12a"/>
      </w:pPr>
      <w:r>
        <w:t>9.</w:t>
      </w:r>
      <w:r>
        <w:tab/>
      </w:r>
      <w:r>
        <w:t>εκφράζει τη βαθιά του ανησυχία για την τρέχουσα κατάσταση των ανθρωπιστικών προτύπων και την περιφρόνηση της προστασίας των αμάχων βάσει του διεθνούς δικαίου στο πλαίσιο των παρατεταμένων συγκρούσεων σε ολόκληρη τη Μέση Ανατολή· επαναβεβαιώνει τη δέσμευση της ΕΕ για την ύπαρξη και την ασφάλεια του κράτους του Ισραήλ και υπογραμμίζει το δικαίωμά του να αμύνεται με πλήρη σεβασμό του διεθνούς δικαίου· ζητεί επιτακτικά να συνεχιστεί μια αξιόπιστη πολιτική διαδικασία με στόχο την επίτευξη λύσης δύο κρατών με βάση τα σύνορα του 1967 και την Ιερουσαλήμ ως κοινή πρωτεύουσα·</w:t>
      </w:r>
    </w:p>
    <w:p>
      <w:pPr>
        <w:pStyle w:val="NormalHanging12a"/>
      </w:pPr>
      <w:r>
        <w:t>10.</w:t>
      </w:r>
      <w:r>
        <w:tab/>
      </w:r>
      <w:r>
        <w:t>επιβεβαιώνει τον καίριο ρόλο των πολυμερών οργανισμών και των περιφερειακών φόρουμ ως απαραίτητων πλατφορμών για την επίλυση συγκρούσεων και την παγκόσμια διακυβέρνηση· προειδοποιεί ότι οι ολιγομερείς μορφές κινδυνεύουν να κατακερματίσουν όλο και περισσότερο τους παγκόσμιους κανόνες και απαιτούν από την ΕΕ να εξισορροπήσει μια ευρεία και χωρίς αποκλεισμούς αντίληψη της πολυμερούς προσέγγισης σε στενή συνεργασία με τους ομοϊδεάτες εταίρους της· καλεί την Επιτροπή και την ΑΠ/ΥΕ να πρωτοστατήσουν σε πολυμερείς πρωτοβουλίες, με βάση παγκόσμιους κανόνες, για τη διασφάλιση της ασφάλειας και της ευημερίας της Ευρώπης·</w:t>
      </w:r>
    </w:p>
    <w:p>
      <w:pPr>
        <w:pStyle w:val="NormalHanging12a"/>
      </w:pPr>
      <w:r>
        <w:t>11.</w:t>
      </w:r>
      <w:r>
        <w:tab/>
      </w:r>
      <w:r>
        <w:t>καλεί την ΑΠ/ΥΕ να προωθήσει ένα αποτελεσματικό και ισχυρό δημοκρατικό αφήγημα για την αντιμετώπιση της αυταρχικής πίεσης, σε στενή συνεργασία με τα κράτη μέλη· ενθαρρύνει την αύξηση των επενδύσεων στη στρατηγική επικοινωνία και την καταπολέμηση των εξωτερικών παρεμβάσεων και της χειραγώγησης των πληροφοριών·</w:t>
      </w:r>
    </w:p>
    <w:p>
      <w:pPr>
        <w:pStyle w:val="NormalHanging12a"/>
      </w:pPr>
      <w:r>
        <w:t>12.</w:t>
      </w:r>
      <w:r>
        <w:tab/>
      </w:r>
      <w:r>
        <w:t>ενθαρρύνει τις ετήσιες στρατηγικές επισκοπήσεις των απειλών κατά της βασισμένης σε κανόνες διεθνούς τάξης, οι οποίες συντονίζονται από την Ευρωπαϊκή Υπηρεσία Εξωτερικής Δράσης (ΕΥΕΔ) και ακολουθούνται από ενεργά μέτρα για την πρόληψη της περαιτέρω διάβρωσης των πολυμερών κανόνων·</w:t>
      </w:r>
    </w:p>
    <w:p>
      <w:r>
        <w:rPr>
          <w:b/>
          <w:i/>
        </w:rPr>
        <w:t>Προώθηση της συνεργασίας με βάση τα κοινά μας συμφέροντα</w:t>
      </w:r>
    </w:p>
    <w:p>
      <w:pPr>
        <w:pStyle w:val="NormalHanging12a"/>
      </w:pPr>
      <w:r>
        <w:t>13.</w:t>
      </w:r>
      <w:r>
        <w:tab/>
      </w:r>
      <w:r>
        <w:t>επαναβεβαιώνει ότι η εξωτερική δράση της ΕΕ απαιτεί αξιόπιστη δέσμευση βάσει αξιών· επιμένει, ωστόσο, ότι η αποκλειστική εξάρτηση από κανονιστική αρμοδιότητα είναι ανεπαρκής· ενθαρρύνει την πιο αποφασιστική επιδίωξη των στρατηγικών στόχων της ΕΕ, με παράλληλη μόχλευση εταιρικών σχέσεων και συμμαχιών που βασίζονται σε κοινά συμφέροντα·</w:t>
      </w:r>
    </w:p>
    <w:p>
      <w:pPr>
        <w:pStyle w:val="NormalHanging12a"/>
      </w:pPr>
      <w:r>
        <w:t>14.</w:t>
      </w:r>
      <w:r>
        <w:tab/>
      </w:r>
      <w:r>
        <w:t>ενθαρρύνει την ΑΠ/ΥΕ να αναζητήσει προσαρμοσμένες πολιτικές που ανταποκρίνονται στις προσδοκίες των κρατών μελών και των χωρών εταίρων και να υλοποιήσει γρήγορα τις πολιτικές συμφωνίες, καθιερώνοντας έτσι την ΕΕ ως αξιόπιστη στρατηγική στήριξη·</w:t>
      </w:r>
    </w:p>
    <w:p>
      <w:pPr>
        <w:pStyle w:val="NormalHanging12a"/>
      </w:pPr>
      <w:r>
        <w:t>15.</w:t>
      </w:r>
      <w:r>
        <w:tab/>
      </w:r>
      <w:r>
        <w:t>τονίζει ότι μια ισχυρή διατλαντική εταιρική σχέση με τις Ηνωμένες Πολιτείες και τον Καναδά στο πλαίσιο του ΝΑΤΟ παραμένει απαραίτητη και αποτελεί τον πυρήνα της ευρωπαϊκής αρχιτεκτονικής ασφάλειας· υπενθυμίζει ότι, για να είναι ισχυρός διατλαντικός εταίρος, η ίδια η ΕΕ πρέπει να καταστεί ισχυρότερη και ικανή, ιδίως όσον αφορά τη δική της άμυνα και ασφάλεια· αναγνωρίζει ότι οι Ηνωμένες Πολιτείες ακολουθούν πλέον μια πιο συναλλακτική προσέγγιση όσον αφορά την πολυμερή προσέγγιση και την ευρωπαϊκή ασφάλεια· υπογραμμίζει, στο πλαίσιο αυτό, την επείγουσα ανάγκη να επιδιώξουν η ΕΕ και τα κράτη μέλη της στρατηγική αυτονομία και να επενδύσουν σε αξιόπιστες και επαρκείς αμυντικές ικανότητες· εκφράζει την ικανοποίησή του για την εμβάθυνση της συνεργασίας με τον Καναδά και άλλους ομοϊδεάτες εταίρους για τη διασφάλιση των κοινών δημοκρατικών αξιών και της παγκόσμιας σταθερότητας·</w:t>
      </w:r>
    </w:p>
    <w:p>
      <w:pPr>
        <w:pStyle w:val="NormalHanging12a"/>
      </w:pPr>
      <w:r>
        <w:t>16.</w:t>
      </w:r>
      <w:r>
        <w:tab/>
      </w:r>
      <w:r>
        <w:t>επαινεί την ισχυρή και εποικοδομητική εταιρική σχέση με το Ηνωμένο Βασίλειο· χαιρετίζει την κοινή δήλωση των ηγετών του Ηνωμένου Βασιλείου και της ΕΕ, της 19ης Μαΐου 2025, μετά τη σύνοδο κορυφής Ηνωμένου Βασιλείου-ΕΕ του 2025, στην οποία περιγράφεται ένας διαρθρωμένος διάλογος για την εξωτερική πολιτική και την πολιτική ασφάλειας· ζητεί την ταχεία εφαρμογή του·</w:t>
      </w:r>
    </w:p>
    <w:p>
      <w:pPr>
        <w:pStyle w:val="NormalHanging12a"/>
      </w:pPr>
      <w:r>
        <w:t>17.</w:t>
      </w:r>
      <w:r>
        <w:tab/>
      </w:r>
      <w:r>
        <w:t>επαινεί τη στενή σχέση με χώρες της δυτικής Ευρώπης που δεν είναι μέλη της ΕΕ και την ισχυρή συνεργασία τους στην εξωτερική δράση της ΕΕ·</w:t>
      </w:r>
    </w:p>
    <w:p>
      <w:pPr>
        <w:pStyle w:val="NormalHanging12a"/>
      </w:pPr>
      <w:r>
        <w:t>18.</w:t>
      </w:r>
      <w:r>
        <w:tab/>
      </w:r>
      <w:r>
        <w:t>τονίζει τη στρατηγική σημασία των δυτικών Βαλκανίων και υποστηρίζει μια αξιόπιστη πολιτική συνεργασία και συνεργασία στον τομέα της ασφάλειας στην αξιοκρατική τους πορεία προς την ένταξη στην ΕΕ· τονίζει ότι το μέλλον των δυτικών Βαλκανίων, της Ουκρανίας και της Μολδαβίας βρίσκεται εντός της ΕΕ·</w:t>
      </w:r>
    </w:p>
    <w:p>
      <w:pPr>
        <w:pStyle w:val="NormalHanging12a"/>
      </w:pPr>
      <w:r>
        <w:t>19.</w:t>
      </w:r>
      <w:r>
        <w:tab/>
      </w:r>
      <w:r>
        <w:t>υπογραμμίζει ότι ο στρατηγικός ρόλος της Τουρκίας ως μέλους του ΝΑΤΟ και η συνεργασία της με την ΕΕ είναι καίριας σημασίας για την ευρωπαϊκή σταθερότητα και ασφάλεια· εκφράζει έντονη ανησυχία για τη δημοκρατική οπισθοδρόμηση στην Τουρκία· ζητεί την άμεση απελευθέρωση του ηγέτη της αντιπολίτευσης Ekrem İmamoğlu·</w:t>
      </w:r>
    </w:p>
    <w:p>
      <w:pPr>
        <w:pStyle w:val="NormalHanging12a"/>
      </w:pPr>
      <w:r>
        <w:t>20.</w:t>
      </w:r>
      <w:r>
        <w:tab/>
      </w:r>
      <w:r>
        <w:t>τονίζει τη στρατηγική σημασία του νότιου Καυκάσου· καταδικάζει τις αυταρχικές τάσεις της γεωργιανής κυβέρνησης· καλεί τη Γεωργία να επιστρέψει στην πορεία προς την ΕΕ· υποστηρίζει την ειρηνευτική συμφωνία μεταξύ Αρμενίας και Αζερμπαϊτζάν τον Αύγουστο του 2025·</w:t>
      </w:r>
    </w:p>
    <w:p>
      <w:pPr>
        <w:pStyle w:val="NormalHanging12a"/>
      </w:pPr>
      <w:r>
        <w:t>21.</w:t>
      </w:r>
      <w:r>
        <w:tab/>
      </w:r>
      <w:r>
        <w:t>τονίζει την επείγουσα ανάγκη να αυξηθεί η πολιτική και οικονομική παρουσία της ΕΕ στην Κεντρική Ασία·</w:t>
      </w:r>
    </w:p>
    <w:p>
      <w:pPr>
        <w:pStyle w:val="NormalHanging12a"/>
      </w:pPr>
      <w:r>
        <w:t>22.</w:t>
      </w:r>
      <w:r>
        <w:tab/>
      </w:r>
      <w:r>
        <w:t>τονίζει την ανάγκη για ενίσχυση και εμβάθυνση της συνεργασίας της ΕΕ με τις χώρες του Περσικού Κόλπου όσον αφορά τη μετανάστευση, τον ψηφιακό μετασχηματισμό, την ασφάλεια και την πράσινη μετάβαση·</w:t>
      </w:r>
    </w:p>
    <w:p>
      <w:pPr>
        <w:pStyle w:val="NormalHanging12a"/>
      </w:pPr>
      <w:r>
        <w:t>23.</w:t>
      </w:r>
      <w:r>
        <w:tab/>
      </w:r>
      <w:r>
        <w:t>επαναλαμβάνει ότι μια ειρηνική, σταθερή και βασισμένη σε κανόνες περιοχή του Ινδοειρηνικού αποτελεί ζωτικό ευρωπαϊκό συμφέρον· ενθαρρύνει τη σφυρηλάτηση στενότερων δεσμών ΚΕΠΠΑ με ομοϊδεάτες εταίρους, ιδίως με την Αυστραλία, τη Νέα Ζηλανδία, τη Νότια Κορέα και την Ιαπωνία·</w:t>
      </w:r>
    </w:p>
    <w:p>
      <w:pPr>
        <w:pStyle w:val="NormalHanging12a"/>
      </w:pPr>
      <w:r>
        <w:t>24.</w:t>
      </w:r>
      <w:r>
        <w:tab/>
      </w:r>
      <w:r>
        <w:t>θεωρεί ότι η επιτάχυνση της στρατιωτικοποίησης της Κίνας, καθώς και οι στρατιωτικές και πολιτικές εταιρικές σχέσεις της με τη Ρωσία και τη Βόρεια Κορέα, αποτελούν βασική γεωπολιτική πρόκληση του 21ου αιώνα· υπογραμμίζει ότι η ΕΕ πρέπει να εγκρίνει μια πολυδιάστατη στρατηγική που συνδυάζει διπλωματία που βασίζεται σε αρχές και αποσκοπεί στην τήρηση του διεθνούς δικαίου με οικονομική δέσμευση που διαφυλάσσει τα συμφέροντά μας·</w:t>
      </w:r>
    </w:p>
    <w:p>
      <w:pPr>
        <w:pStyle w:val="NormalHanging12a"/>
      </w:pPr>
      <w:r>
        <w:t>25.</w:t>
      </w:r>
      <w:r>
        <w:tab/>
      </w:r>
      <w:r>
        <w:t>σημειώνει ότι οι γεωπολιτικές προκλήσεις έχουν ενισχύσει τα κοινά συμφέροντα της ΕΕ και της Ινδίας· υποστηρίζει μια σύνοδο κορυφής ΕΕ-Ινδίας για τη δρομολόγηση ενός νέου στρατηγικού θεματολογίου·</w:t>
      </w:r>
    </w:p>
    <w:p>
      <w:pPr>
        <w:pStyle w:val="NormalHanging12a"/>
      </w:pPr>
      <w:r>
        <w:t>26.</w:t>
      </w:r>
      <w:r>
        <w:tab/>
      </w:r>
      <w:r>
        <w:t>παροτρύνει την ΑΠ/ΥΕ και τα κράτη μέλη να επικεντρωθούν στην ανάπτυξη ισχυρότερων διμερών εταιρικών σχέσεων με χώρες της Αφρικής που συμμερίζονται τις ίδιες απόψεις, με βάση την αρχή των «αναλογικών κερδών», προασπίζοντας παράλληλα τις οικουμενικές αξίες των ανθρωπίνων δικαιωμάτων και της δημοκρατίας· εκφράζει τη λύπη του για τη δημοκρατική οπισθοδρόμηση σε ορισμένες αφρικανικές χώρες·</w:t>
      </w:r>
    </w:p>
    <w:p>
      <w:pPr>
        <w:pStyle w:val="NormalHanging12a"/>
      </w:pPr>
      <w:r>
        <w:t>27.</w:t>
      </w:r>
      <w:r>
        <w:tab/>
      </w:r>
      <w:r>
        <w:t>τονίζει την ανάγκη εμβάθυνσης της συνεργασίας της ΕΕ με χώρες που συμμερίζονται τις ίδιες απόψεις στη Λατινική Αμερική και την Καραϊβική·</w:t>
      </w:r>
    </w:p>
    <w:p>
      <w:pPr>
        <w:pStyle w:val="NormalHanging12a"/>
      </w:pPr>
      <w:r>
        <w:t>28.</w:t>
      </w:r>
      <w:r>
        <w:tab/>
      </w:r>
      <w:r>
        <w:t>υπογραμμίζει την αυξημένη γεωστρατηγική σημασία της Αρκτικής και επαναλαμβάνει την ανάγκη για μια συνεκτική και επικαιροποιημένη πολιτική της ΕΕ για την Αρκτική·</w:t>
      </w:r>
    </w:p>
    <w:p>
      <w:pPr>
        <w:pStyle w:val="NormalHanging12a"/>
      </w:pPr>
      <w:r>
        <w:t>29.</w:t>
      </w:r>
      <w:r>
        <w:tab/>
      </w:r>
      <w:r>
        <w:t>καλεί την Επιτροπή και την ΕΥΕΔ να εντείνουν τη διαρθρωμένη συνεργασία με περιφερειακούς οργανισμούς — συμπεριλαμβανομένων του Συνδέσμου Κρατών της Νοτιοανατολικής Ασίας, της Αφρικανικής Ένωσης, της Κοινότητας Χωρών Λατινικής Αμερικής και Καραϊβικής και του Συμβουλίου Συνεργασίας του Περσικού Κόλπου — για την ανάπτυξη περιφερειακών αρχιτεκτονικών ασφάλειας χωρίς αποκλεισμούς και τον συντονισμό πολυμερών πολιτικών απαντήσεων·</w:t>
      </w:r>
    </w:p>
    <w:p>
      <w:r>
        <w:t>Καθορισμός μη διαπραγματεύσιμων θέσεων που αντιμετωπίζουμε ως απαραβίαστες</w:t>
      </w:r>
    </w:p>
    <w:p>
      <w:pPr>
        <w:pStyle w:val="NormalHanging12a"/>
      </w:pPr>
      <w:r>
        <w:t>30.</w:t>
      </w:r>
      <w:r>
        <w:tab/>
      </w:r>
      <w:r>
        <w:t>επαναλαμβάνει ότι η εξωτερική δράση της ΕΕ συνδέεται αμετάκλητα με τις αξίες και τις αρχές που κατοχυρώνονται στα άρθρα 2, 3 παράγραφος 5 και 21 ΣΕΕ·</w:t>
      </w:r>
    </w:p>
    <w:p>
      <w:pPr>
        <w:pStyle w:val="NormalHanging12a"/>
      </w:pPr>
      <w:r>
        <w:t>31.</w:t>
      </w:r>
      <w:r>
        <w:tab/>
      </w:r>
      <w:r>
        <w:t>υπενθυμίζει ότι η αξιοπιστία της ΕΕ εξαρτάται από την ικανότητά της να ενεργεί αποφασιστικά, όταν προστατεύει τους πολίτες της και διαφυλάσσει τα συμφέροντά της· τονίζει ότι το όριο για την ανάληψη αποφασιστικής δράσης θα πρέπει να κοινοποιείται με συνέπεια και να περιλαμβάνει σαφείς απαντήσεις σε σοβαρές παραβιάσεις των ανθρωπίνων δικαιωμάτων· υποστηρίζει την επέκταση του καθεστώτος κυρώσεων της ΕΕ για τα ανθρώπινα δικαιώματα τύπου Magnitsky προκειμένου να καλύπτει τη συστημική καταστολή και τη διαφθορά·</w:t>
      </w:r>
    </w:p>
    <w:p>
      <w:pPr>
        <w:pStyle w:val="NormalHanging12a"/>
      </w:pPr>
      <w:r>
        <w:t>32.</w:t>
      </w:r>
      <w:r>
        <w:tab/>
      </w:r>
      <w:r>
        <w:t>ενθαρρύνει τον βαθύτερο συντονισμό με την ομάδα G7 και άλλους δημοκρατικούς εταίρους για την ευθυγράμμιση των αντιδράσεων στις παραβιάσεις των παγκόσμιων κανόνων·</w:t>
      </w:r>
    </w:p>
    <w:p>
      <w:pPr>
        <w:pStyle w:val="NormalHanging12a"/>
      </w:pPr>
      <w:r>
        <w:t>33.</w:t>
      </w:r>
      <w:r>
        <w:tab/>
      </w:r>
      <w:r>
        <w:t>ζητεί να δοθεί μεγαλύτερη προσοχή στη δίωξη θρησκευτικών μειονοτήτων, συμπεριλαμβανομένων των χριστιανών· ζητεί να ενσωματωθεί η προστασία της θρησκευτικής ελευθερίας στην εξωτερική δράση της ΕΕ·</w:t>
      </w:r>
    </w:p>
    <w:p>
      <w:pPr>
        <w:pStyle w:val="NormalHanging12a"/>
      </w:pPr>
      <w:r>
        <w:t>34.</w:t>
      </w:r>
      <w:r>
        <w:tab/>
      </w:r>
      <w:r>
        <w:t xml:space="preserve">καλεί την ΕΥΕΔ και την Επιτροπή να αναπτύξουν δείκτες αναφοράς για την αξιολόγηση του αντικτύπου των κυρώσεων της ΕΕ και να ενημερώνουν τακτικά το </w:t>
      </w:r>
      <w:r>
        <w:t>Ευρωπαϊκό Κοινοβούλιο</w:t>
      </w:r>
      <w:r>
        <w:t>, στο πλαίσιο αυτό·</w:t>
      </w:r>
    </w:p>
    <w:p>
      <w:r>
        <w:t>Αύξηση του αντικτύπου της εξωτερικής δράσης της ΕΕ που υλοποιούμε</w:t>
      </w:r>
    </w:p>
    <w:p>
      <w:pPr>
        <w:pStyle w:val="NormalHanging12a"/>
      </w:pPr>
      <w:r>
        <w:t>35.</w:t>
      </w:r>
      <w:r>
        <w:tab/>
      </w:r>
      <w:r>
        <w:t>εκφράζει τη λύπη του για το γεγονός ότι η παγκόσμια προβολή και η πολιτική επιρροή της ΕΕ συχνά υπολείπονται του οικονομικού και διπλωματικού της αποτυπώματος·</w:t>
      </w:r>
    </w:p>
    <w:p>
      <w:pPr>
        <w:pStyle w:val="NormalHanging12a"/>
      </w:pPr>
      <w:r>
        <w:t>36.</w:t>
      </w:r>
      <w:r>
        <w:tab/>
      </w:r>
      <w:r>
        <w:t>καλεί την ΑΠ/ΥΕ να προτείνει μια συνεκτική και επικοινωνιακή στρατηγική που θα αναδεικνύει τα οφέλη της εξωτερικής δράσης της ΕΕ και θα στηρίζει τους στόχους της ΕΕ· ενθαρρύνει την ΕΥΕΔ να ενισχύσει την πολιτική παρουσία της ΕΕ στις χώρες εταίρους μας και να καταστήσει την εξωτερική μας δράση πιο προσιτή στο κοινό των χωρών αυτών·</w:t>
      </w:r>
    </w:p>
    <w:p>
      <w:pPr>
        <w:pStyle w:val="NormalHanging12a"/>
      </w:pPr>
      <w:r>
        <w:t>37.</w:t>
      </w:r>
      <w:r>
        <w:tab/>
      </w:r>
      <w:r>
        <w:t>ζητεί ενισχυμένη σύγκλιση μεταξύ των διπλωματικών υπηρεσιών της ΕΕ και των κρατών μελών για τη βελτίωση των συνεργειών μεταξύ της εικόνας της χώρας ως «εμπορικού σήματος» και των μηνυμάτων της ΕΕ, σύμφωνα με την προσέγγιση «Ομάδα Ευρώπη»·</w:t>
      </w:r>
    </w:p>
    <w:p>
      <w:pPr>
        <w:pStyle w:val="NormalHanging12a"/>
      </w:pPr>
      <w:r>
        <w:t>38.</w:t>
      </w:r>
      <w:r>
        <w:tab/>
      </w:r>
      <w:r>
        <w:t>υπογραμμίζει ότι οι δημοσιονομικοί περιορισμοί αποτελούν σημαντικό εμπόδιο για την αύξηση της προβολής και του αντικτύπου της εξωτερικής δράσης της ΕΕ· καλεί την Επιτροπή και την ΕΥΕΔ να προβούν σε πραγματική άσκηση ιεράρχησης προτεραιοτήτων, προκειμένου να εντοπίσουν πού η εξωτερική δράση της ΕΕ μπορεί να αποφέρει τη μεγαλύτερη πολιτική και στρατηγική επιστροφή·</w:t>
      </w:r>
    </w:p>
    <w:p>
      <w:pPr>
        <w:pStyle w:val="NormalHanging12a"/>
      </w:pPr>
      <w:r>
        <w:t>39.</w:t>
      </w:r>
      <w:r>
        <w:tab/>
      </w:r>
      <w:r>
        <w:t>επισημαίνει τις στρατηγικές δυνατότητες της πρωτοβουλίας Global Gateway για την αύξηση της παρουσίας και της προβολής της ΕΕ παγκοσμίως· εκφράζει την ικανοποίησή του για το γεγονός ότι η Επιτροπή έχει δώσει προτεραιότητα στην υλοποίηση των έργων της·</w:t>
      </w:r>
    </w:p>
    <w:p>
      <w:pPr>
        <w:pStyle w:val="NormalHanging12a"/>
      </w:pPr>
      <w:r>
        <w:t>40.</w:t>
      </w:r>
      <w:r>
        <w:tab/>
      </w:r>
      <w:r>
        <w:t xml:space="preserve">υπενθυμίζει ότι το </w:t>
      </w:r>
      <w:r>
        <w:t>Ευρωπαϊκό Κοινοβούλιο</w:t>
      </w:r>
      <w:r>
        <w:t xml:space="preserve"> έχει να διαδραματίσει διακριτό ρόλο στη συμπλήρωση της προβολής και του αντικτύπου της εξωτερικής δράσης της ΕΕ, συμπληρώνοντας έτσι τις προσπάθειες των διπλωματικών υπηρεσιών της ΕΕ και των κρατών μελών·</w:t>
      </w:r>
    </w:p>
    <w:p>
      <w:pPr>
        <w:pStyle w:val="NormalHanging12a"/>
      </w:pPr>
      <w:r>
        <w:t>41.</w:t>
      </w:r>
      <w:r>
        <w:tab/>
      </w:r>
      <w:r>
        <w:t xml:space="preserve">υπενθυμίζει ότι η άσκηση της δημοσιονομικής αρμοδιότητας από το </w:t>
      </w:r>
      <w:r>
        <w:t>Ευρωπαϊκό Κοινοβούλιο</w:t>
      </w:r>
      <w:r>
        <w:t xml:space="preserve"> είναι άρρηκτα συνδεδεμένη με τη λειτουργία του δημοκρατικού ελέγχου και της διαβούλευσης·</w:t>
      </w:r>
    </w:p>
    <w:p>
      <w:pPr>
        <w:pStyle w:val="NormalHanging12a"/>
      </w:pPr>
      <w:r>
        <w:t>42.</w:t>
      </w:r>
      <w:r>
        <w:tab/>
      </w:r>
      <w:r>
        <w:t>πιστεύει ότι υπάρχει ανάγκη για ισχυρότερη κοινοβουλευτική εποπτεία της εξωτερικής δράσης της ΕΕ, συμπεριλαμβανομένης της τακτικής πρόσβασης σε εμπιστευτικές πληροφορίες και διαρθρωμένους διαλόγους·</w:t>
      </w:r>
    </w:p>
    <w:p>
      <w:pPr>
        <w:pStyle w:val="NormalHanging12a"/>
      </w:pPr>
      <w:r>
        <w:t>43.</w:t>
      </w:r>
      <w:r>
        <w:tab/>
      </w:r>
      <w:r>
        <w:t>υπογραμμίζει ότι κάθε ζήτημα που τίθεται ανωτέρω απαιτεί κατάλληλη απάντηση από την ΑΠ/ΥΕ·</w:t>
      </w:r>
    </w:p>
    <w:p>
      <w:pPr>
        <w:pStyle w:val="NormalCenter12a"/>
      </w:pPr>
      <w:r>
        <w:t>°</w:t>
      </w:r>
    </w:p>
    <w:p>
      <w:pPr>
        <w:pStyle w:val="NormalCenter12a"/>
      </w:pPr>
      <w:r>
        <w:t>°</w:t>
      </w:r>
      <w:r>
        <w:tab/>
      </w:r>
      <w:r>
        <w:t>°</w:t>
      </w:r>
    </w:p>
    <w:p>
      <w:pPr>
        <w:pStyle w:val="NormalHanging12a"/>
      </w:pPr>
      <w:r>
        <w:t>44.</w:t>
      </w:r>
      <w:r>
        <w:tab/>
      </w:r>
      <w:r>
        <w:t xml:space="preserve">αναθέτει στην Πρόεδρό του να διαβιβάσει το παρόν ψήφισμα στο </w:t>
      </w:r>
      <w:r>
        <w:t>Ευρωπαϊκό Συμβούλιο</w:t>
      </w:r>
      <w:r>
        <w:t>, στο Συμβούλιο, στην Επιτροπή, στην Αντιπρόεδρο της Επιτροπής/Ύπατη Εκπρόσωπο της ΕΕ για θέματα Εξωτερικής Πολιτικής και Πολιτικής Ασφάλειας, και στις κυβερνήσεις και τα κοινοβούλια των κρατών μελών.</w:t>
      </w:r>
    </w:p>
    <w:p>
      <w:pPr>
        <w:sectPr>
          <w:footerReference w:type="even" r:id="rId5"/>
          <w:footerReference w:type="default" r:id="rId6"/>
          <w:footerReference w:type="first" r:id="rId7"/>
          <w:pgSz w:w="11909" w:h="16834"/>
          <w:pgMar w:top="1134" w:right="1417" w:bottom="1417" w:left="1417" w:header="1134" w:footer="567"/>
          <w:cols w:space="720"/>
          <w:titlePg/>
        </w:sectPr>
      </w:pPr>
    </w:p>
    <w:p>
      <w:pPr>
        <w:pStyle w:val="PageHeading"/>
      </w:pPr>
      <w:bookmarkStart w:id="1" w:name="_Toc256000001"/>
      <w:r>
        <w:t>ΑΙΤΙΟΛΟΓΙΚΗ ΕΚΘΕΣΗ</w:t>
      </w:r>
      <w:bookmarkEnd w:id="1"/>
    </w:p>
    <w:p>
      <w:pPr>
        <w:pStyle w:val="Normal12"/>
      </w:pPr>
      <w:r>
        <w:t>Κάθε χρόνο η Επιτροπή Εξωτερικών Υποθέσεων καταρτίζει ψήφισμα σχετικά με την εφαρμογή της κοινής εξωτερικής πολιτικής και πολιτικής ασφάλειας (ΚΕΠΠΑ), ανταποκρινόμενη στην έκθεση που υποβάλλει η Ύπατη Εκπρόσωπος της Ένωσης για Θέματα Εξωτερικής Πολιτικής και Πολιτικής Ασφαλείας στο Ευρωπαϊκό Κοινοβούλιο. Το παρόν ψήφισμα αξιολογεί την πρόοδο και τις προκλήσεις της ΚΕΠΠΑ και αποτελεί κεντρικό στοιχείο της συμβολής του Ευρωπαϊκού Κοινοβουλίου στη διαμόρφωση της εξωτερικής δράσης της ΕΕ. Είναι ιδιαίτερα σημαντικό υπό το πρίσμα των ενισχυμένων εξουσιών ελέγχου που ανατίθενται στο Ευρωπαϊκό Κοινοβούλιο δυνάμει της Συνθήκης της Λισαβόνας.</w:t>
      </w:r>
    </w:p>
    <w:p>
      <w:pPr>
        <w:pStyle w:val="Normal12"/>
      </w:pPr>
      <w:r>
        <w:t>Η παρούσα έκθεση αναπτύσσει τις βασικές στρατηγικές προτεραιότητες που καθοδηγούν τη μελλοντική κατεύθυνση της ΚΕΠΠΑ, παρέχοντας σαφή καθοδήγηση στην εκτελεστική εξουσία της ΕΕ. Τονίζει μια μακρόπνοη στάση μέσω διαφόρων βασικών αρχών οι οποίες, όπως επιμένει το Κοινοβούλιο, θα πρέπει να στηρίζουν την ΚΕΠΠΑ:</w:t>
      </w:r>
    </w:p>
    <w:p>
      <w:pPr>
        <w:pStyle w:val="Normal12"/>
      </w:pPr>
      <w:r>
        <w:t>α.</w:t>
      </w:r>
      <w:r>
        <w:rPr>
          <w:b/>
        </w:rPr>
        <w:t xml:space="preserve"> </w:t>
      </w:r>
      <w:r>
        <w:t>Διαμόρφωση της βασισμένης σε κανόνες διεθνούς τάξης που υπερασπιζόμαστε</w:t>
      </w:r>
    </w:p>
    <w:p>
      <w:pPr>
        <w:pStyle w:val="Normal12"/>
      </w:pPr>
      <w:r>
        <w:t>β. Προώθηση της συνεργασίας με βάση τα κοινά μας συμφέροντα</w:t>
      </w:r>
    </w:p>
    <w:p>
      <w:pPr>
        <w:pStyle w:val="Normal12"/>
      </w:pPr>
      <w:r>
        <w:t>γ.</w:t>
      </w:r>
      <w:r>
        <w:rPr>
          <w:b/>
        </w:rPr>
        <w:t xml:space="preserve"> </w:t>
      </w:r>
      <w:r>
        <w:t>Καθορισμός μη διαπραγματεύσιμων θέσεων που αντιμετωπίζουμε ως απαραβίαστες</w:t>
      </w:r>
    </w:p>
    <w:p>
      <w:pPr>
        <w:pStyle w:val="Normal12"/>
      </w:pPr>
      <w:r>
        <w:t>δ.</w:t>
      </w:r>
      <w:r>
        <w:rPr>
          <w:b/>
        </w:rPr>
        <w:t xml:space="preserve"> </w:t>
      </w:r>
      <w:r>
        <w:t>Αύξηση του αντικτύπου της εξωτερικής δράσης της ΕΕ που υλοποιούμε.</w:t>
      </w:r>
    </w:p>
    <w:p>
      <w:pPr>
        <w:pStyle w:val="Normal12"/>
      </w:pPr>
      <w:r>
        <w:t>Η έκθεση αναλύει λεπτομερώς καθεμία από αυτές τις προτεραιότητες.</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PR\1327325EL.docx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PR\1327325EL.docx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776.921</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PR\1327325EL.docx</w:t>
    </w:r>
    <w:r>
      <w:rPr>
        <w:rStyle w:val="HideTWBExt"/>
      </w:rPr>
      <w:t>&lt;/PathFdR&gt;</w:t>
    </w:r>
    <w:r>
      <w:tab/>
    </w:r>
    <w:r>
      <w:tab/>
    </w:r>
    <w:r>
      <w:t>PE</w:t>
    </w:r>
    <w:r>
      <w:rPr>
        <w:rStyle w:val="HideTWBExt"/>
      </w:rPr>
      <w:t>&lt;NoPE&gt;</w:t>
    </w:r>
    <w:r>
      <w:t>776.921</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Ενωμένη στην πολυμορφία</w:t>
    </w:r>
    <w:r>
      <w:tab/>
    </w:r>
    <w:r>
      <w:t>EL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val="0"/>
      <w:spacing w:after="240"/>
      <w:jc w:val="right"/>
    </w:pPr>
    <w:rPr>
      <w:rFonts w:ascii="Arial" w:hAnsi="Arial"/>
      <w:b/>
    </w:rPr>
  </w:style>
  <w:style w:type="paragraph" w:customStyle="1" w:styleId="PageHeading">
    <w:name w:val="PageHeading"/>
    <w:basedOn w:val="Normal"/>
    <w:pPr>
      <w:keepNext/>
      <w:widowControl w:val="0"/>
      <w:spacing w:after="480"/>
      <w:jc w:val="center"/>
    </w:pPr>
    <w:rPr>
      <w:rFonts w:ascii="Arial" w:eastAsia="Arial" w:hAnsi="Arial" w:cs="Arial"/>
      <w:b/>
    </w:rPr>
  </w:style>
  <w:style w:type="paragraph" w:customStyle="1" w:styleId="EPComma">
    <w:name w:val="EPComma"/>
    <w:basedOn w:val="Normal"/>
    <w:pPr>
      <w:widowControl w:val="0"/>
      <w:spacing w:before="480" w:after="240"/>
    </w:pPr>
  </w:style>
  <w:style w:type="paragraph" w:customStyle="1" w:styleId="NormalBold">
    <w:name w:val="NormalBold"/>
    <w:basedOn w:val="Normal"/>
    <w:pPr>
      <w:widowControl w:val="0"/>
    </w:pPr>
    <w:rPr>
      <w:b/>
    </w:rPr>
  </w:style>
  <w:style w:type="paragraph" w:customStyle="1" w:styleId="CoverReference">
    <w:name w:val="CoverReference"/>
    <w:basedOn w:val="Normal"/>
    <w:pPr>
      <w:widowControl w:val="0"/>
      <w:spacing w:before="1080"/>
      <w:jc w:val="right"/>
    </w:pPr>
    <w:rPr>
      <w:rFonts w:ascii="Arial" w:hAnsi="Arial"/>
      <w:b/>
    </w:rPr>
  </w:style>
  <w:style w:type="paragraph" w:customStyle="1" w:styleId="CoverDate">
    <w:name w:val="CoverDate"/>
    <w:basedOn w:val="Normal"/>
    <w:pPr>
      <w:widowControl w:val="0"/>
      <w:spacing w:before="240" w:after="1200"/>
    </w:pPr>
  </w:style>
  <w:style w:type="paragraph" w:customStyle="1" w:styleId="EPName">
    <w:name w:val="EPName"/>
    <w:basedOn w:val="Normal"/>
    <w:pPr>
      <w:widowControl w:val="0"/>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val="0"/>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NormalHanging12a">
    <w:name w:val="NormalHanging12a"/>
    <w:basedOn w:val="Normal"/>
    <w:pPr>
      <w:widowControl w:val="0"/>
      <w:overflowPunct/>
      <w:spacing w:after="240"/>
      <w:ind w:left="566" w:hanging="566"/>
    </w:p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hAnsi="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CoverNormal12a">
    <w:name w:val="CoverNormal12a"/>
    <w:basedOn w:val="Normal"/>
    <w:pPr>
      <w:widowControl w:val="0"/>
      <w:spacing w:after="240"/>
      <w:ind w:left="1418"/>
    </w:pPr>
  </w:style>
  <w:style w:type="paragraph" w:customStyle="1" w:styleId="LegendSign">
    <w:name w:val="LegendSign"/>
    <w:basedOn w:val="Normal"/>
    <w:pPr>
      <w:widowControl w:val="0"/>
      <w:tabs>
        <w:tab w:val="right" w:pos="454"/>
        <w:tab w:val="left" w:pos="736"/>
      </w:tabs>
      <w:overflowPunct/>
      <w:ind w:left="736" w:hanging="736"/>
    </w:pPr>
    <w:rPr>
      <w:sz w:val="18"/>
    </w:rPr>
  </w:style>
  <w:style w:type="paragraph" w:customStyle="1" w:styleId="LegendStandard">
    <w:name w:val="LegendStandard"/>
    <w:basedOn w:val="LegendSign"/>
    <w:pPr>
      <w:widowControl w:val="0"/>
      <w:ind w:left="0" w:firstLine="0"/>
    </w:pPr>
  </w:style>
  <w:style w:type="paragraph" w:customStyle="1" w:styleId="LegendTitle">
    <w:name w:val="LegendTitle"/>
    <w:basedOn w:val="Normal"/>
    <w:pPr>
      <w:widowControl w:val="0"/>
      <w:spacing w:before="240" w:after="240"/>
    </w:pPr>
    <w:rPr>
      <w:b/>
      <w:i/>
    </w:rPr>
  </w:style>
  <w:style w:type="paragraph" w:styleId="TOC1">
    <w:name w:val="toc 1"/>
    <w:basedOn w:val="Normal12b"/>
    <w:next w:val="Normal12b"/>
    <w:autoRedefine/>
    <w:rsid w:val="00805BCE"/>
    <w:pPr>
      <w:widowControl w:val="0"/>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val="0"/>
      <w:spacing w:before="240"/>
    </w:pPr>
  </w:style>
  <w:style w:type="paragraph" w:customStyle="1" w:styleId="PMissingStyle">
    <w:name w:val="P_MissingStyle"/>
    <w:basedOn w:val="Normal"/>
    <w:pPr>
      <w:widowControl w:val="0"/>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val="0"/>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val="0"/>
      <w:ind w:left="2268"/>
    </w:pPr>
  </w:style>
  <w:style w:type="paragraph" w:customStyle="1" w:styleId="NormalHanging12a5">
    <w:name w:val="NormalHanging12a5"/>
    <w:basedOn w:val="NormalHanging12a4"/>
    <w:pPr>
      <w:widowControl w:val="0"/>
      <w:ind w:left="2692"/>
    </w:pPr>
  </w:style>
  <w:style w:type="paragraph" w:customStyle="1" w:styleId="NormalHanging12a6">
    <w:name w:val="NormalHanging12a6"/>
    <w:basedOn w:val="NormalHanging12a5"/>
    <w:pPr>
      <w:widowControl w:val="0"/>
      <w:ind w:left="3118"/>
    </w:pPr>
  </w:style>
  <w:style w:type="paragraph" w:customStyle="1" w:styleId="NormalHanging12a7">
    <w:name w:val="NormalHanging12a7"/>
    <w:basedOn w:val="NormalHanging12a6"/>
    <w:pPr>
      <w:widowControl w:val="0"/>
      <w:ind w:left="3544"/>
    </w:p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val="0"/>
      <w:ind w:left="1416"/>
    </w:pPr>
  </w:style>
  <w:style w:type="paragraph" w:customStyle="1" w:styleId="NormalHanging12a3">
    <w:name w:val="NormalHanging12a3"/>
    <w:basedOn w:val="NormalHanging12a2"/>
    <w:pPr>
      <w:widowControl w:val="0"/>
      <w:ind w:left="1842"/>
    </w:p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val="0"/>
      <w:spacing w:after="240"/>
    </w:pPr>
    <w:rPr>
      <w:b/>
    </w:rPr>
  </w:style>
  <w:style w:type="paragraph" w:customStyle="1" w:styleId="NormalCenter12a">
    <w:name w:val="NormalCenter12a"/>
    <w:basedOn w:val="Normal"/>
    <w:pPr>
      <w:widowControl w:val="0"/>
      <w:spacing w:after="240"/>
      <w:jc w:val="center"/>
    </w:pPr>
  </w:style>
  <w:style w:type="paragraph" w:customStyle="1" w:styleId="Normal12BoldUnderline">
    <w:name w:val="Normal12BoldUnderline"/>
    <w:basedOn w:val="Normal"/>
    <w:pPr>
      <w:widowControl w:val="0"/>
      <w:spacing w:before="480"/>
    </w:pPr>
    <w:rPr>
      <w:b/>
      <w:u w:val="single"/>
    </w:rPr>
  </w:style>
  <w:style w:type="paragraph" w:customStyle="1" w:styleId="Normal12Bullet2">
    <w:name w:val="Normal12Bullet2"/>
    <w:basedOn w:val="Normal"/>
    <w:pPr>
      <w:widowControl w:val="0"/>
      <w:numPr>
        <w:numId w:val="2"/>
      </w:numPr>
    </w:pPr>
  </w:style>
  <w:style w:type="paragraph" w:customStyle="1" w:styleId="NormalHangingJustified">
    <w:name w:val="NormalHangingJustified"/>
    <w:basedOn w:val="Normal"/>
    <w:pPr>
      <w:widowControl w:val="0"/>
      <w:overflowPunct/>
      <w:spacing w:after="240"/>
      <w:ind w:left="714" w:hanging="356"/>
      <w:jc w:val="both"/>
    </w:p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2472</Words>
  <Characters>14763</Characters>
  <Application>Microsoft Office Word</Application>
  <DocSecurity>0</DocSecurity>
  <Lines>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1327325</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243646</vt:lpwstr>
  </property>
  <property fmtid="{D5CDD505-2E9C-101B-9397-08002B2CF9AE}" pid="7" name="dmxml.render.traceId">
    <vt:lpwstr>68d262fc2f31108eb19e0a90b3cfe3b6</vt:lpwstr>
  </property>
  <property fmtid="{D5CDD505-2E9C-101B-9397-08002B2CF9AE}" pid="8" name="FooterPath">
    <vt:lpwstr>PR\1327325EL.doc</vt:lpwstr>
  </property>
  <property fmtid="{D5CDD505-2E9C-101B-9397-08002B2CF9AE}" pid="9" name="PE Number">
    <vt:lpwstr>776.921</vt:lpwstr>
  </property>
  <property fmtid="{D5CDD505-2E9C-101B-9397-08002B2CF9AE}" pid="10" name="UID">
    <vt:lpwstr>eu.europa.europarl-DIN1-2025-0000160447_01.08-el-01.00_text-xml</vt:lpwstr>
  </property>
</Properties>
</file>