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77FCF" w:rsidRPr="00B377C6" w14:paraId="34ADC5B1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DBF685" w14:textId="77777777" w:rsidR="0069495A" w:rsidRPr="00B377C6" w:rsidRDefault="006818D2" w:rsidP="00C85D0F">
            <w:pPr>
              <w:pStyle w:val="EPName"/>
            </w:pPr>
            <w:r w:rsidRPr="00B377C6">
              <w:t>Европейски парламент</w:t>
            </w:r>
          </w:p>
          <w:p w14:paraId="038D1201" w14:textId="77777777" w:rsidR="0069495A" w:rsidRPr="00B377C6" w:rsidRDefault="006818D2" w:rsidP="00C85D0F">
            <w:pPr>
              <w:pStyle w:val="EPTerm"/>
            </w:pPr>
            <w:r w:rsidRPr="00B377C6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5F860FE" w14:textId="77777777" w:rsidR="0069495A" w:rsidRPr="00B377C6" w:rsidRDefault="006818D2" w:rsidP="00C85D0F">
            <w:pPr>
              <w:pStyle w:val="EPLogo"/>
            </w:pPr>
            <w:r w:rsidRPr="00B377C6">
              <w:rPr>
                <w:noProof/>
                <w:lang w:eastAsia="ja-JP"/>
              </w:rPr>
              <w:drawing>
                <wp:inline distT="0" distB="0" distL="0" distR="0" wp14:anchorId="382B10E2" wp14:editId="67337C5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85F3D7" w14:textId="77777777" w:rsidR="00C7235E" w:rsidRPr="00B377C6" w:rsidRDefault="00C7235E" w:rsidP="00C7235E">
      <w:pPr>
        <w:pStyle w:val="LineTop"/>
      </w:pPr>
    </w:p>
    <w:p w14:paraId="72E83F17" w14:textId="77777777" w:rsidR="00C7235E" w:rsidRPr="00B377C6" w:rsidRDefault="006818D2" w:rsidP="00C7235E">
      <w:pPr>
        <w:pStyle w:val="EPBody"/>
      </w:pPr>
      <w:r w:rsidRPr="00B377C6">
        <w:rPr>
          <w:rStyle w:val="HideTWBExt"/>
        </w:rPr>
        <w:t>&lt;</w:t>
      </w:r>
      <w:r w:rsidRPr="00B377C6">
        <w:rPr>
          <w:rStyle w:val="HideTWBExt"/>
          <w:i w:val="0"/>
        </w:rPr>
        <w:t>Commission</w:t>
      </w:r>
      <w:r w:rsidRPr="00B377C6">
        <w:rPr>
          <w:rStyle w:val="HideTWBExt"/>
        </w:rPr>
        <w:t>&gt;</w:t>
      </w:r>
      <w:r w:rsidRPr="00B377C6">
        <w:rPr>
          <w:rStyle w:val="HideTWBInt"/>
          <w:color w:val="auto"/>
        </w:rPr>
        <w:t>{AFET}</w:t>
      </w:r>
      <w:r w:rsidRPr="00B377C6">
        <w:t>Комисия по външни работи</w:t>
      </w:r>
      <w:r w:rsidRPr="00B377C6">
        <w:rPr>
          <w:rStyle w:val="HideTWBExt"/>
        </w:rPr>
        <w:t>&lt;/</w:t>
      </w:r>
      <w:r w:rsidRPr="00B377C6">
        <w:rPr>
          <w:rStyle w:val="HideTWBExt"/>
          <w:i w:val="0"/>
        </w:rPr>
        <w:t>Commission</w:t>
      </w:r>
      <w:r w:rsidRPr="00B377C6">
        <w:rPr>
          <w:rStyle w:val="HideTWBExt"/>
        </w:rPr>
        <w:t>&gt;</w:t>
      </w:r>
    </w:p>
    <w:p w14:paraId="52C95A34" w14:textId="77777777" w:rsidR="00C7235E" w:rsidRPr="00B377C6" w:rsidRDefault="00C7235E" w:rsidP="00C7235E">
      <w:pPr>
        <w:pStyle w:val="LineBottom"/>
      </w:pPr>
    </w:p>
    <w:p w14:paraId="119658AE" w14:textId="77777777" w:rsidR="00144AD8" w:rsidRPr="00B377C6" w:rsidRDefault="006818D2">
      <w:pPr>
        <w:pStyle w:val="CoverReference"/>
      </w:pPr>
      <w:r w:rsidRPr="00B377C6">
        <w:rPr>
          <w:rStyle w:val="HideTWBExt"/>
          <w:b w:val="0"/>
        </w:rPr>
        <w:t>&lt;RefProc&gt;</w:t>
      </w:r>
      <w:r w:rsidRPr="00B377C6">
        <w:t>2025/2167</w:t>
      </w:r>
      <w:r w:rsidRPr="00B377C6">
        <w:rPr>
          <w:rStyle w:val="HideTWBExt"/>
          <w:b w:val="0"/>
        </w:rPr>
        <w:t>&lt;/RefProc&gt;&lt;RefTypeProc&gt;</w:t>
      </w:r>
      <w:r w:rsidRPr="00B377C6">
        <w:t>(INI)</w:t>
      </w:r>
      <w:r w:rsidRPr="00B377C6">
        <w:rPr>
          <w:rStyle w:val="HideTWBExt"/>
          <w:b w:val="0"/>
        </w:rPr>
        <w:t>&lt;/RefTypeProc&gt;</w:t>
      </w:r>
    </w:p>
    <w:p w14:paraId="4FD4D23E" w14:textId="77777777" w:rsidR="00144AD8" w:rsidRPr="00B377C6" w:rsidRDefault="006818D2">
      <w:pPr>
        <w:pStyle w:val="CoverDate"/>
      </w:pPr>
      <w:r w:rsidRPr="00B377C6">
        <w:rPr>
          <w:rStyle w:val="HideTWBExt"/>
        </w:rPr>
        <w:t>&lt;Date&gt;</w:t>
      </w:r>
      <w:r w:rsidRPr="00B377C6">
        <w:rPr>
          <w:rStyle w:val="HideTWBInt"/>
          <w:color w:val="auto"/>
        </w:rPr>
        <w:t>{12/01/2026}</w:t>
      </w:r>
      <w:r w:rsidRPr="00B377C6">
        <w:t>12.01.2026</w:t>
      </w:r>
      <w:r w:rsidRPr="00B377C6">
        <w:rPr>
          <w:rStyle w:val="HideTWBExt"/>
        </w:rPr>
        <w:t>&lt;/Date&gt;</w:t>
      </w:r>
    </w:p>
    <w:p w14:paraId="329275DB" w14:textId="77777777" w:rsidR="00144AD8" w:rsidRPr="00B377C6" w:rsidRDefault="006818D2">
      <w:pPr>
        <w:pStyle w:val="CoverDocType24a"/>
      </w:pPr>
      <w:r w:rsidRPr="00B377C6">
        <w:rPr>
          <w:rStyle w:val="HideTWBExt"/>
          <w:b w:val="0"/>
        </w:rPr>
        <w:t>&lt;TitreType&gt;</w:t>
      </w:r>
      <w:r w:rsidRPr="00B377C6">
        <w:t>ПРОЕКТ НА ДОКЛАД</w:t>
      </w:r>
      <w:r w:rsidRPr="00B377C6">
        <w:rPr>
          <w:rStyle w:val="HideTWBExt"/>
          <w:b w:val="0"/>
        </w:rPr>
        <w:t>&lt;/TitreType&gt;</w:t>
      </w:r>
    </w:p>
    <w:p w14:paraId="37C02A86" w14:textId="311B9714" w:rsidR="00144AD8" w:rsidRPr="00B377C6" w:rsidRDefault="006818D2">
      <w:pPr>
        <w:pStyle w:val="CoverNormal"/>
      </w:pPr>
      <w:r w:rsidRPr="00B377C6">
        <w:rPr>
          <w:rStyle w:val="HideTWBExt"/>
        </w:rPr>
        <w:t>&lt;Titre&gt;</w:t>
      </w:r>
      <w:r w:rsidRPr="00B377C6">
        <w:t xml:space="preserve">относно </w:t>
      </w:r>
      <w:r w:rsidRPr="00B377C6">
        <w:t>препоръка на Европейския парламент към Съвета, Комисията и заместник-председателя на Комисията/върховен представител на Съюза по въпросите на външните работи и политиката на сигурност относно 81-</w:t>
      </w:r>
      <w:r w:rsidR="00E95D19">
        <w:rPr>
          <w:lang w:val="en-GB"/>
        </w:rPr>
        <w:t> </w:t>
      </w:r>
      <w:r w:rsidRPr="00B377C6">
        <w:t>вата сесия на Общото събрание на ООН</w:t>
      </w:r>
      <w:r w:rsidRPr="00B377C6">
        <w:rPr>
          <w:rStyle w:val="HideTWBExt"/>
        </w:rPr>
        <w:t>&lt;/Titre&gt;</w:t>
      </w:r>
    </w:p>
    <w:p w14:paraId="622C39F5" w14:textId="77777777" w:rsidR="00144AD8" w:rsidRPr="00B377C6" w:rsidRDefault="006818D2">
      <w:pPr>
        <w:pStyle w:val="CoverNormal24a"/>
      </w:pPr>
      <w:r w:rsidRPr="00B377C6">
        <w:rPr>
          <w:rStyle w:val="HideTWBExt"/>
        </w:rPr>
        <w:t>&lt;DocRef&gt;</w:t>
      </w:r>
      <w:r w:rsidRPr="00B377C6">
        <w:t>(2025/2167(INI))</w:t>
      </w:r>
      <w:r w:rsidRPr="00B377C6">
        <w:rPr>
          <w:rStyle w:val="HideTWBExt"/>
        </w:rPr>
        <w:t>&lt;/DocRef&gt;</w:t>
      </w:r>
    </w:p>
    <w:p w14:paraId="55B85FB1" w14:textId="77777777" w:rsidR="00144AD8" w:rsidRPr="00B377C6" w:rsidRDefault="006818D2">
      <w:pPr>
        <w:pStyle w:val="CoverNormal24a"/>
      </w:pPr>
      <w:r w:rsidRPr="00B377C6">
        <w:rPr>
          <w:rStyle w:val="HideTWBExt"/>
        </w:rPr>
        <w:t>&lt;Commission&gt;</w:t>
      </w:r>
      <w:r w:rsidRPr="00B377C6">
        <w:rPr>
          <w:rStyle w:val="HideTWBInt"/>
          <w:color w:val="auto"/>
        </w:rPr>
        <w:t>{AFET}</w:t>
      </w:r>
      <w:r w:rsidRPr="00B377C6">
        <w:t>Комисия по външни работи</w:t>
      </w:r>
      <w:r w:rsidRPr="00B377C6">
        <w:rPr>
          <w:rStyle w:val="HideTWBExt"/>
        </w:rPr>
        <w:t>&lt;/Commission&gt;</w:t>
      </w:r>
    </w:p>
    <w:p w14:paraId="1D3BF487" w14:textId="77777777" w:rsidR="00144AD8" w:rsidRPr="00B377C6" w:rsidRDefault="006818D2">
      <w:pPr>
        <w:pStyle w:val="CoverNormal24a"/>
      </w:pPr>
      <w:r w:rsidRPr="00B377C6">
        <w:t xml:space="preserve">Докладчик: </w:t>
      </w:r>
      <w:r w:rsidRPr="00B377C6">
        <w:rPr>
          <w:rStyle w:val="HideTWBExt"/>
        </w:rPr>
        <w:t>&lt;Depute&gt;</w:t>
      </w:r>
      <w:r w:rsidRPr="00B377C6">
        <w:t>Андрей Ковачев</w:t>
      </w:r>
      <w:r w:rsidRPr="00B377C6">
        <w:rPr>
          <w:rStyle w:val="HideTWBExt"/>
        </w:rPr>
        <w:t>&lt;/Depute&gt;</w:t>
      </w:r>
    </w:p>
    <w:p w14:paraId="20208FC0" w14:textId="77777777" w:rsidR="00627DF1" w:rsidRPr="00B377C6" w:rsidRDefault="00627DF1" w:rsidP="00627DF1">
      <w:pPr>
        <w:pStyle w:val="CoverNormal"/>
      </w:pPr>
    </w:p>
    <w:p w14:paraId="1C376EC7" w14:textId="77777777" w:rsidR="00144AD8" w:rsidRPr="00B377C6" w:rsidRDefault="006818D2" w:rsidP="009340AC">
      <w:pPr>
        <w:widowControl/>
        <w:tabs>
          <w:tab w:val="center" w:pos="4677"/>
        </w:tabs>
      </w:pPr>
      <w:r w:rsidRPr="00B377C6">
        <w:br w:type="page"/>
      </w:r>
      <w:r w:rsidRPr="00B377C6">
        <w:lastRenderedPageBreak/>
        <w:t>PR_INI_RecommCFSP</w:t>
      </w:r>
    </w:p>
    <w:p w14:paraId="15A17A59" w14:textId="77777777" w:rsidR="00144AD8" w:rsidRPr="00B377C6" w:rsidRDefault="006818D2">
      <w:pPr>
        <w:pStyle w:val="TOCHeading"/>
      </w:pPr>
      <w:r w:rsidRPr="00B377C6">
        <w:t>СЪДЪРЖАНИЕ</w:t>
      </w:r>
    </w:p>
    <w:p w14:paraId="6EDF68B1" w14:textId="77777777" w:rsidR="00144AD8" w:rsidRPr="00B377C6" w:rsidRDefault="006818D2">
      <w:pPr>
        <w:pStyle w:val="TOCPage"/>
      </w:pPr>
      <w:r w:rsidRPr="00B377C6">
        <w:t>Страница</w:t>
      </w:r>
    </w:p>
    <w:p w14:paraId="1F3E5A39" w14:textId="6B65C87E" w:rsidR="006818D2" w:rsidRDefault="006818D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B377C6">
        <w:fldChar w:fldCharType="begin"/>
      </w:r>
      <w:r w:rsidRPr="00B377C6">
        <w:instrText xml:space="preserve"> TOC \t "PageHeading</w:instrText>
      </w:r>
      <w:r w:rsidR="00774633" w:rsidRPr="00B377C6">
        <w:instrText>;</w:instrText>
      </w:r>
      <w:r w:rsidRPr="00B377C6">
        <w:instrText xml:space="preserve">1" </w:instrText>
      </w:r>
      <w:r w:rsidRPr="00B377C6">
        <w:fldChar w:fldCharType="separate"/>
      </w:r>
      <w:r>
        <w:rPr>
          <w:noProof/>
        </w:rPr>
        <w:t>ПРОЕКТ НА ПРЕПОРЪКА НА ЕВРОПЕЙСКИЯ ПАРЛАМЕНТ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_Toc220322154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361811D4" w14:textId="612F2899" w:rsidR="006818D2" w:rsidRDefault="006818D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ИЗЛОЖЕНИЕ НА МОТИВИТЕ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_Toc220322155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5470B2AE" w14:textId="3E23492C" w:rsidR="006818D2" w:rsidRDefault="006818D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ПРИЛОЖЕНИЕ: ДЕКЛАРАЦИЯ ЗА ИЗТОЧНИЦИТЕ НА ИНФОРМАЦИЯ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_Toc220322156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14:paraId="1C9C1318" w14:textId="02838DB0" w:rsidR="00627DF1" w:rsidRPr="00B377C6" w:rsidRDefault="006818D2" w:rsidP="00865AB2">
      <w:r w:rsidRPr="00B377C6">
        <w:fldChar w:fldCharType="end"/>
      </w:r>
    </w:p>
    <w:p w14:paraId="2A954BB3" w14:textId="77777777" w:rsidR="00144AD8" w:rsidRPr="00B377C6" w:rsidRDefault="006818D2">
      <w:pPr>
        <w:pStyle w:val="PageHeading"/>
      </w:pPr>
      <w:r w:rsidRPr="00B377C6">
        <w:br w:type="page"/>
      </w:r>
      <w:bookmarkStart w:id="0" w:name="_Toc220322154"/>
      <w:r w:rsidRPr="00B377C6">
        <w:lastRenderedPageBreak/>
        <w:t>ПРОЕКТ НА ПРЕПОРЪКА НА ЕВРОПЕЙСКИЯ ПАРЛАМЕНТ</w:t>
      </w:r>
      <w:bookmarkEnd w:id="0"/>
    </w:p>
    <w:p w14:paraId="3C85CC8C" w14:textId="77777777" w:rsidR="00144AD8" w:rsidRPr="00B377C6" w:rsidRDefault="006818D2" w:rsidP="00F77182">
      <w:pPr>
        <w:pStyle w:val="NormalBold"/>
        <w:jc w:val="both"/>
      </w:pPr>
      <w:r w:rsidRPr="00B377C6">
        <w:t>към Съвета, Комисията и заместник-председателя на Комисията/върховен представител на Съюза по въпросите на външните работи и политиката на сигурност относно 81-вата сесия на Общото събрание на ООН</w:t>
      </w:r>
    </w:p>
    <w:p w14:paraId="7404EB60" w14:textId="77777777" w:rsidR="00144AD8" w:rsidRPr="00B377C6" w:rsidRDefault="006818D2" w:rsidP="00F77182">
      <w:pPr>
        <w:pStyle w:val="NormalBold"/>
        <w:jc w:val="both"/>
      </w:pPr>
      <w:r w:rsidRPr="00B377C6">
        <w:t>(2025/2167(INI))</w:t>
      </w:r>
    </w:p>
    <w:p w14:paraId="7BC6BDE1" w14:textId="77777777" w:rsidR="00144AD8" w:rsidRPr="00B377C6" w:rsidRDefault="006818D2" w:rsidP="007E620A">
      <w:pPr>
        <w:pStyle w:val="EPComma"/>
      </w:pPr>
      <w:r w:rsidRPr="00B377C6">
        <w:rPr>
          <w:i/>
          <w:iCs/>
        </w:rPr>
        <w:t>Европейският парламент</w:t>
      </w:r>
      <w:r w:rsidRPr="00B377C6">
        <w:t>,</w:t>
      </w:r>
    </w:p>
    <w:p w14:paraId="126F5242" w14:textId="77777777" w:rsidR="00CB5D63" w:rsidRPr="00B377C6" w:rsidRDefault="006818D2" w:rsidP="007E620A">
      <w:pPr>
        <w:pStyle w:val="NormalHanging12a"/>
      </w:pPr>
      <w:r w:rsidRPr="00B377C6">
        <w:t>–</w:t>
      </w:r>
      <w:r w:rsidRPr="00B377C6">
        <w:tab/>
        <w:t xml:space="preserve">като взе предвид </w:t>
      </w:r>
      <w:r w:rsidRPr="00B377C6">
        <w:rPr>
          <w:snapToGrid w:val="0"/>
        </w:rPr>
        <w:t>Устава</w:t>
      </w:r>
      <w:r w:rsidRPr="00B377C6">
        <w:t xml:space="preserve"> на Организацията на обединените нации,</w:t>
      </w:r>
    </w:p>
    <w:p w14:paraId="53B368A5" w14:textId="77777777" w:rsidR="00CB5D63" w:rsidRPr="00B377C6" w:rsidRDefault="006818D2" w:rsidP="007E620A">
      <w:pPr>
        <w:pStyle w:val="NormalHanging12a"/>
      </w:pPr>
      <w:r w:rsidRPr="00B377C6">
        <w:t>–</w:t>
      </w:r>
      <w:r w:rsidRPr="00B377C6">
        <w:tab/>
        <w:t>като взе предвид Договора за Европейския съюз (ДЕС), и по-специално членове 21, 34 и 36 от него,</w:t>
      </w:r>
    </w:p>
    <w:p w14:paraId="24C26466" w14:textId="77777777" w:rsidR="003D3EDC" w:rsidRPr="00B377C6" w:rsidRDefault="006818D2" w:rsidP="007E620A">
      <w:pPr>
        <w:pStyle w:val="NormalHanging12a"/>
      </w:pPr>
      <w:r w:rsidRPr="00B377C6">
        <w:t>–</w:t>
      </w:r>
      <w:r w:rsidRPr="00B377C6">
        <w:tab/>
        <w:t>като взе предвид Договора за функционирането на Европейския съюз (ДФЕС), и по-специално членове 208, 214 и 220 от него,</w:t>
      </w:r>
    </w:p>
    <w:p w14:paraId="50926A74" w14:textId="77777777" w:rsidR="00CB5D63" w:rsidRPr="00B377C6" w:rsidRDefault="006818D2" w:rsidP="007E620A">
      <w:pPr>
        <w:pStyle w:val="NormalHanging12a"/>
      </w:pPr>
      <w:r w:rsidRPr="00B377C6">
        <w:t>–</w:t>
      </w:r>
      <w:r w:rsidRPr="00B377C6">
        <w:tab/>
        <w:t>като взе предвид 80-ата сесия на Общото събрание на ООН,</w:t>
      </w:r>
    </w:p>
    <w:p w14:paraId="1C0AD655" w14:textId="77777777" w:rsidR="0043008B" w:rsidRPr="00B377C6" w:rsidRDefault="006818D2" w:rsidP="007E620A">
      <w:pPr>
        <w:pStyle w:val="NormalHanging12a"/>
      </w:pPr>
      <w:r w:rsidRPr="00B377C6">
        <w:t>–</w:t>
      </w:r>
      <w:r w:rsidRPr="00B377C6">
        <w:tab/>
        <w:t>като взе предвид Резолюция 79/318 на Общото събрание на ООН от 18 юли 2025 г. относно инициативата UN80,</w:t>
      </w:r>
    </w:p>
    <w:p w14:paraId="66CD4DD3" w14:textId="77777777" w:rsidR="004C286D" w:rsidRPr="00B377C6" w:rsidRDefault="006818D2" w:rsidP="007E620A">
      <w:pPr>
        <w:pStyle w:val="NormalHanging12a"/>
      </w:pPr>
      <w:r w:rsidRPr="00B377C6">
        <w:t>–</w:t>
      </w:r>
      <w:r w:rsidRPr="00B377C6">
        <w:tab/>
        <w:t>като взе предвид Резолюция ES-11/7 на Общото събрание на ООН от 24 февруари 2025 г. за постигането на всеобхватен, справедлив и траен мир в Украйна,</w:t>
      </w:r>
    </w:p>
    <w:p w14:paraId="6D2F7469" w14:textId="77777777" w:rsidR="00A57D8B" w:rsidRPr="00B377C6" w:rsidRDefault="006818D2" w:rsidP="007E620A">
      <w:pPr>
        <w:pStyle w:val="NormalHanging12a"/>
      </w:pPr>
      <w:r w:rsidRPr="00B377C6">
        <w:t>–</w:t>
      </w:r>
      <w:r w:rsidRPr="00B377C6">
        <w:tab/>
        <w:t>като взе предвид Резолюция 79/174 на Общото събрание на ООН от 17 декември 2024 г. относно свободата на вероизповеданието и убежденията,</w:t>
      </w:r>
    </w:p>
    <w:p w14:paraId="5091DB67" w14:textId="77777777" w:rsidR="009508B0" w:rsidRPr="00B377C6" w:rsidRDefault="006818D2" w:rsidP="007E620A">
      <w:pPr>
        <w:pStyle w:val="NormalHanging12a"/>
      </w:pPr>
      <w:r w:rsidRPr="00B377C6">
        <w:t>–</w:t>
      </w:r>
      <w:r w:rsidRPr="00B377C6">
        <w:tab/>
        <w:t>като взе предвид Резолюция 79/1 на Общото събрание на ООН от 22 септември 2024 г. относно Пакта за бъдещето,</w:t>
      </w:r>
    </w:p>
    <w:p w14:paraId="069AD09E" w14:textId="77777777" w:rsidR="003B67C0" w:rsidRPr="00B377C6" w:rsidRDefault="006818D2" w:rsidP="007E620A">
      <w:pPr>
        <w:pStyle w:val="NormalHanging12a"/>
      </w:pPr>
      <w:r w:rsidRPr="00B377C6">
        <w:t>–</w:t>
      </w:r>
      <w:r w:rsidRPr="00B377C6">
        <w:tab/>
      </w:r>
      <w:r w:rsidRPr="00B377C6">
        <w:rPr>
          <w:snapToGrid w:val="0"/>
        </w:rPr>
        <w:t>като взе предвид Резолюция 65/276 от</w:t>
      </w:r>
      <w:r w:rsidRPr="00B377C6">
        <w:t xml:space="preserve"> </w:t>
      </w:r>
      <w:r w:rsidRPr="00B377C6">
        <w:rPr>
          <w:snapToGrid w:val="0"/>
        </w:rPr>
        <w:t>10 май 2011 г. на Общото събрание на ООН относно участието на Европейския съюз в работата на Организацията на обединените нации</w:t>
      </w:r>
      <w:r w:rsidRPr="00B377C6">
        <w:t>,</w:t>
      </w:r>
    </w:p>
    <w:p w14:paraId="7C41FAD6" w14:textId="77777777" w:rsidR="00A75514" w:rsidRPr="00B377C6" w:rsidRDefault="006818D2" w:rsidP="007E620A">
      <w:pPr>
        <w:pStyle w:val="NormalHanging12a"/>
        <w:rPr>
          <w:snapToGrid w:val="0"/>
          <w:szCs w:val="24"/>
        </w:rPr>
      </w:pPr>
      <w:r w:rsidRPr="00B377C6">
        <w:t>–</w:t>
      </w:r>
      <w:r w:rsidRPr="00B377C6">
        <w:tab/>
      </w:r>
      <w:r w:rsidRPr="00B377C6">
        <w:rPr>
          <w:snapToGrid w:val="0"/>
        </w:rPr>
        <w:t xml:space="preserve">като взе предвид доклада на генералния секретар на ООН от 18 септември 2025 г., озаглавен „Промяна на парадигмите: обединени за </w:t>
      </w:r>
      <w:r w:rsidRPr="00B377C6">
        <w:rPr>
          <w:snapToGrid w:val="0"/>
        </w:rPr>
        <w:t>постигането на резултати“,</w:t>
      </w:r>
    </w:p>
    <w:p w14:paraId="0A40E1DA" w14:textId="77777777" w:rsidR="0048348D" w:rsidRPr="00B377C6" w:rsidRDefault="006818D2" w:rsidP="007E620A">
      <w:pPr>
        <w:pStyle w:val="NormalHanging12a"/>
      </w:pPr>
      <w:r w:rsidRPr="00B377C6">
        <w:t>–</w:t>
      </w:r>
      <w:r w:rsidRPr="00B377C6">
        <w:tab/>
      </w:r>
      <w:r w:rsidRPr="00B377C6">
        <w:rPr>
          <w:snapToGrid w:val="0"/>
        </w:rPr>
        <w:t>като взе предвид доклада на генералния секретар на ООН от 4 септември 2025 г.</w:t>
      </w:r>
      <w:r w:rsidRPr="00B377C6">
        <w:t xml:space="preserve"> относно преразгледаните прогнози във връзка с предложения бюджет на програмата за 2026 г. и сметката за подпомагане на мироопазващите операции за периода 2025/26 г., </w:t>
      </w:r>
    </w:p>
    <w:p w14:paraId="76251047" w14:textId="77777777" w:rsidR="00A75514" w:rsidRPr="00B377C6" w:rsidRDefault="006818D2" w:rsidP="007E620A">
      <w:pPr>
        <w:pStyle w:val="NormalHanging12a"/>
      </w:pPr>
      <w:r w:rsidRPr="00B377C6">
        <w:t>–</w:t>
      </w:r>
      <w:r w:rsidRPr="00B377C6">
        <w:tab/>
      </w:r>
      <w:r w:rsidRPr="00B377C6">
        <w:rPr>
          <w:snapToGrid w:val="0"/>
        </w:rPr>
        <w:t>като взе предвид доклада на генералния секретар на ООН</w:t>
      </w:r>
      <w:r w:rsidRPr="00B377C6">
        <w:t xml:space="preserve"> от 31 юли 2025 г., озаглавен „Доклад за прегледа на правомощията за изпълнение“,</w:t>
      </w:r>
    </w:p>
    <w:p w14:paraId="06EE7AD1" w14:textId="77777777" w:rsidR="00CB5D63" w:rsidRPr="00B377C6" w:rsidRDefault="006818D2" w:rsidP="007E620A">
      <w:pPr>
        <w:widowControl/>
        <w:spacing w:after="240"/>
        <w:ind w:left="567" w:hanging="567"/>
        <w:rPr>
          <w:snapToGrid w:val="0"/>
          <w:szCs w:val="24"/>
        </w:rPr>
      </w:pPr>
      <w:r w:rsidRPr="00B377C6">
        <w:lastRenderedPageBreak/>
        <w:t>–</w:t>
      </w:r>
      <w:r w:rsidRPr="00B377C6">
        <w:tab/>
      </w:r>
      <w:r w:rsidRPr="00B377C6">
        <w:rPr>
          <w:snapToGrid w:val="0"/>
        </w:rPr>
        <w:t xml:space="preserve">като взе предвид своята препоръка към Съвета от 9 юни 2021 г. относно 75-ата и 76-ата сесия на </w:t>
      </w:r>
      <w:r w:rsidRPr="00B377C6">
        <w:rPr>
          <w:snapToGrid w:val="0"/>
        </w:rPr>
        <w:t>Общото събрание на ООН</w:t>
      </w:r>
      <w:r w:rsidRPr="00B377C6">
        <w:rPr>
          <w:rStyle w:val="FootnoteReference"/>
          <w:snapToGrid w:val="0"/>
          <w:szCs w:val="24"/>
        </w:rPr>
        <w:footnoteReference w:id="1"/>
      </w:r>
      <w:r w:rsidRPr="00B377C6">
        <w:rPr>
          <w:snapToGrid w:val="0"/>
        </w:rPr>
        <w:t>,</w:t>
      </w:r>
    </w:p>
    <w:p w14:paraId="05EA63B2" w14:textId="77777777" w:rsidR="00925B6B" w:rsidRPr="00B377C6" w:rsidRDefault="006818D2" w:rsidP="007E620A">
      <w:pPr>
        <w:widowControl/>
        <w:spacing w:after="240"/>
        <w:ind w:left="567" w:hanging="567"/>
        <w:rPr>
          <w:szCs w:val="24"/>
        </w:rPr>
      </w:pPr>
      <w:r w:rsidRPr="00B377C6">
        <w:t>–</w:t>
      </w:r>
      <w:r w:rsidRPr="00B377C6">
        <w:tab/>
      </w:r>
      <w:r w:rsidRPr="00B377C6">
        <w:rPr>
          <w:snapToGrid w:val="0"/>
        </w:rPr>
        <w:t>като взе предвид заключенията на Съвета от 20 октомври 2025 г. относно усъвършенстване на стратегическото партньорство между ЕС и ООН в областта на мира и сигурността: съвместни приоритети за периода 2025 – 2028 г.,</w:t>
      </w:r>
    </w:p>
    <w:p w14:paraId="0BFF46E2" w14:textId="77777777" w:rsidR="00CB5D63" w:rsidRPr="00B377C6" w:rsidRDefault="006818D2" w:rsidP="007E620A">
      <w:pPr>
        <w:pStyle w:val="NormalHanging12a"/>
      </w:pPr>
      <w:r w:rsidRPr="00B377C6">
        <w:t>–</w:t>
      </w:r>
      <w:r w:rsidRPr="00B377C6">
        <w:tab/>
      </w:r>
      <w:r w:rsidRPr="00B377C6">
        <w:rPr>
          <w:snapToGrid w:val="0"/>
        </w:rPr>
        <w:t>като взе предвид заключенията на Съвета от 23 юни 2025 г.</w:t>
      </w:r>
      <w:r w:rsidRPr="00B377C6">
        <w:t xml:space="preserve"> относно приоритетите на ЕС в ООН по време на 80-ата сесия на Общото събрание на ООН, септември 2025 г. – септември 2026 г., </w:t>
      </w:r>
    </w:p>
    <w:p w14:paraId="5B4F0DD0" w14:textId="77777777" w:rsidR="001F12C4" w:rsidRPr="00B377C6" w:rsidRDefault="006818D2" w:rsidP="007E620A">
      <w:pPr>
        <w:pStyle w:val="NormalHanging12a"/>
      </w:pPr>
      <w:r w:rsidRPr="00B377C6">
        <w:t>–</w:t>
      </w:r>
      <w:r w:rsidRPr="00B377C6">
        <w:tab/>
        <w:t>като взе предвид заключенията на Съвета от 27 януари 2025 г. относно приоритетите на ЕС във форумите на ООН по правата на човека през 2025 г.,</w:t>
      </w:r>
    </w:p>
    <w:p w14:paraId="02D1C9DF" w14:textId="77777777" w:rsidR="00991AC5" w:rsidRPr="00B377C6" w:rsidRDefault="006818D2" w:rsidP="007E620A">
      <w:pPr>
        <w:pStyle w:val="NormalHanging12a"/>
      </w:pPr>
      <w:r w:rsidRPr="00B377C6">
        <w:t>–</w:t>
      </w:r>
      <w:r w:rsidRPr="00B377C6">
        <w:tab/>
        <w:t>като взе предвид заключенията на Европейския съвет от 20 март 2025 г.,</w:t>
      </w:r>
    </w:p>
    <w:p w14:paraId="453A134E" w14:textId="77777777" w:rsidR="00144AD8" w:rsidRPr="00B377C6" w:rsidRDefault="006818D2" w:rsidP="007E620A">
      <w:pPr>
        <w:pStyle w:val="NormalHanging12a"/>
      </w:pPr>
      <w:r w:rsidRPr="00B377C6">
        <w:t>–</w:t>
      </w:r>
      <w:r w:rsidRPr="00B377C6">
        <w:tab/>
        <w:t>като взе предвид член 121 от своя Правилник за дейността,</w:t>
      </w:r>
    </w:p>
    <w:p w14:paraId="60036004" w14:textId="77777777" w:rsidR="00144AD8" w:rsidRPr="00B377C6" w:rsidRDefault="006818D2" w:rsidP="007E620A">
      <w:pPr>
        <w:pStyle w:val="NormalHanging12a"/>
      </w:pPr>
      <w:r w:rsidRPr="00B377C6">
        <w:t>–</w:t>
      </w:r>
      <w:r w:rsidRPr="00B377C6">
        <w:tab/>
        <w:t>като взе предвид доклада на комисията по външни работи (A10</w:t>
      </w:r>
      <w:r w:rsidRPr="00B377C6">
        <w:noBreakHyphen/>
        <w:t>0000/2025),</w:t>
      </w:r>
    </w:p>
    <w:p w14:paraId="7C8771A2" w14:textId="77777777" w:rsidR="00011E6C" w:rsidRPr="00B377C6" w:rsidRDefault="006818D2" w:rsidP="00707E50">
      <w:pPr>
        <w:pStyle w:val="NormalHanging"/>
        <w:ind w:left="720" w:hanging="720"/>
      </w:pPr>
      <w:r w:rsidRPr="00B377C6">
        <w:t>А.</w:t>
      </w:r>
      <w:r w:rsidRPr="00B377C6">
        <w:tab/>
        <w:t>като има предвид, че в настоящия геополитически климат е от решаващо значение да се поддържа и укрепва основаният на правила международен ред и да се осигури ефективното функциониране на междуправителствените организации;</w:t>
      </w:r>
    </w:p>
    <w:p w14:paraId="731F618A" w14:textId="77777777" w:rsidR="00011E6C" w:rsidRPr="00B377C6" w:rsidRDefault="006818D2" w:rsidP="00707E50">
      <w:pPr>
        <w:pStyle w:val="NormalHanging"/>
        <w:ind w:left="720" w:hanging="720"/>
      </w:pPr>
      <w:r w:rsidRPr="00B377C6">
        <w:t>Б.</w:t>
      </w:r>
      <w:r w:rsidRPr="00B377C6">
        <w:tab/>
        <w:t>като има предвид, че многостранната система е изправена пред нарастващи заплахи, като например нападенията на Русия срещу световната архитектура за мир и сигурност, включително Съвета за сигурност на ООН (СС на ООН), нарастващото влияние на Китай и преосмислянето на участието на САЩ в международни организации, както и съкращенията на финансирането, засягащи критични области като хуманитарната помощ, образованието, здравеопазването и изграждането на мира;</w:t>
      </w:r>
    </w:p>
    <w:p w14:paraId="15EDD78F" w14:textId="77777777" w:rsidR="00267945" w:rsidRPr="00B377C6" w:rsidRDefault="006818D2" w:rsidP="00707E50">
      <w:pPr>
        <w:pStyle w:val="NormalHanging12a"/>
        <w:ind w:left="720" w:hanging="720"/>
      </w:pPr>
      <w:r w:rsidRPr="00B377C6">
        <w:t>1.</w:t>
      </w:r>
      <w:r w:rsidRPr="00B377C6">
        <w:tab/>
        <w:t>препоръчва на Съвета, Комисията и заместник-председателя на Комисията/върховен представител на Съюза по въпросите на външните работи и политиката на сигурност:</w:t>
      </w:r>
    </w:p>
    <w:p w14:paraId="60733621" w14:textId="77777777" w:rsidR="004D4354" w:rsidRPr="00B377C6" w:rsidRDefault="006818D2" w:rsidP="007E620A">
      <w:pPr>
        <w:spacing w:after="240"/>
        <w:rPr>
          <w:b/>
          <w:i/>
          <w:iCs/>
          <w:szCs w:val="24"/>
        </w:rPr>
      </w:pPr>
      <w:r w:rsidRPr="00B377C6">
        <w:rPr>
          <w:b/>
          <w:i/>
        </w:rPr>
        <w:t>Защита и укрепване на многостранното сътрудничество</w:t>
      </w:r>
    </w:p>
    <w:p w14:paraId="3EF07E22" w14:textId="77777777" w:rsidR="004D4354" w:rsidRPr="00B377C6" w:rsidRDefault="006818D2" w:rsidP="00707E50">
      <w:pPr>
        <w:pStyle w:val="NormalHangingLeft12a"/>
        <w:ind w:left="1287" w:hanging="720"/>
      </w:pPr>
      <w:r w:rsidRPr="00B377C6">
        <w:t>a)</w:t>
      </w:r>
      <w:r w:rsidRPr="00B377C6">
        <w:tab/>
        <w:t>да продължат да подкрепят ефективното многостранно сътрудничество, в основата на което стои ООН, да насърчават и защитават международното право и да отстояват правилата и принципите на Устава на ООН, включително суверенитета, териториалната цялост, политическата независимост, самоопределението и защитата на правата на човека и основните свободи;</w:t>
      </w:r>
    </w:p>
    <w:p w14:paraId="2B23B8A4" w14:textId="77777777" w:rsidR="00CB5D63" w:rsidRPr="00B377C6" w:rsidRDefault="006818D2" w:rsidP="00707E50">
      <w:pPr>
        <w:pStyle w:val="NormalHangingLeft12a"/>
        <w:ind w:left="1287" w:hanging="720"/>
      </w:pPr>
      <w:r w:rsidRPr="00B377C6">
        <w:t>б)</w:t>
      </w:r>
      <w:r w:rsidRPr="00B377C6">
        <w:tab/>
        <w:t xml:space="preserve">да бранят все така непоколебимо зачитането, защитата и упражняването на универсалните права на човека, демокрацията, човешкото достойнство, </w:t>
      </w:r>
      <w:r w:rsidRPr="00B377C6">
        <w:lastRenderedPageBreak/>
        <w:t>равенството и принципите на правовата държава в съответствие със заключенията на Съвета от 2025 г. относно приоритетите на ЕС във форумите на ООН по правата на човека;</w:t>
      </w:r>
    </w:p>
    <w:p w14:paraId="146F40B3" w14:textId="77777777" w:rsidR="00011E6C" w:rsidRPr="00B377C6" w:rsidRDefault="006818D2" w:rsidP="00707E50">
      <w:pPr>
        <w:pStyle w:val="NormalHangingLeft12a"/>
        <w:ind w:left="1287" w:hanging="720"/>
      </w:pPr>
      <w:r w:rsidRPr="00B377C6">
        <w:t>в)</w:t>
      </w:r>
      <w:r w:rsidRPr="00B377C6">
        <w:tab/>
        <w:t>да потвърдят отново съществената роля на многостранните организации като незаменими платформи за разрешаване на конфликти и глобално управление;</w:t>
      </w:r>
    </w:p>
    <w:p w14:paraId="0B11D3B2" w14:textId="77777777" w:rsidR="00C9640A" w:rsidRPr="00B377C6" w:rsidRDefault="006818D2" w:rsidP="007E620A">
      <w:pPr>
        <w:spacing w:after="240"/>
        <w:rPr>
          <w:b/>
          <w:i/>
          <w:iCs/>
          <w:szCs w:val="24"/>
        </w:rPr>
      </w:pPr>
      <w:r w:rsidRPr="00B377C6">
        <w:rPr>
          <w:b/>
          <w:i/>
        </w:rPr>
        <w:t>Реформа на системата на ООН</w:t>
      </w:r>
    </w:p>
    <w:p w14:paraId="45F2FDC6" w14:textId="77777777" w:rsidR="00011E6C" w:rsidRPr="00B377C6" w:rsidRDefault="006818D2" w:rsidP="00707E50">
      <w:pPr>
        <w:pStyle w:val="NormalHangingLeft12a"/>
        <w:ind w:left="1287" w:hanging="720"/>
      </w:pPr>
      <w:bookmarkStart w:id="1" w:name="_Hlk215756362"/>
      <w:r w:rsidRPr="00B377C6">
        <w:t>г)</w:t>
      </w:r>
      <w:r w:rsidRPr="00B377C6">
        <w:tab/>
        <w:t xml:space="preserve">да подкрепят </w:t>
      </w:r>
      <w:r w:rsidRPr="00B377C6">
        <w:t>амбициозните реформи на системата на ООН и да утвърждават програмата за реформи UN80, като по този начин ще гарантират една по-ефективна, способна, прозрачна, финансово устойчива и гъвкава ООН, която е в състояние да се справи с настоящите и нововъзникващите глобални предизвикателства;</w:t>
      </w:r>
    </w:p>
    <w:p w14:paraId="15FE71EB" w14:textId="77777777" w:rsidR="00C516E8" w:rsidRPr="00B377C6" w:rsidRDefault="006818D2" w:rsidP="00707E50">
      <w:pPr>
        <w:pStyle w:val="NormalHangingLeft12a"/>
        <w:ind w:left="1287" w:hanging="720"/>
      </w:pPr>
      <w:r w:rsidRPr="00B377C6">
        <w:t>д)</w:t>
      </w:r>
      <w:r w:rsidRPr="00B377C6">
        <w:tab/>
        <w:t xml:space="preserve">да се застъпят за всеобхватна реформа на Съвета за сигурност на ООН, която ще го направи по-ефективен, приобщаващ, прозрачен, демократичен и отговорен, като гарантира, че той отразява по-добре днешните глобални реалности, и създаде условия за строго ограничаване на използването на вето, когато с него се блокират основни действия на ООН, с цел пълното му отменяне в бъдеще; </w:t>
      </w:r>
    </w:p>
    <w:p w14:paraId="5D6507CE" w14:textId="77777777" w:rsidR="00C5392B" w:rsidRPr="00B377C6" w:rsidRDefault="006818D2" w:rsidP="00707E50">
      <w:pPr>
        <w:pStyle w:val="NormalHangingLeft12a"/>
        <w:ind w:left="1287" w:hanging="720"/>
      </w:pPr>
      <w:bookmarkStart w:id="2" w:name="_Hlk215756386"/>
      <w:bookmarkEnd w:id="1"/>
      <w:r w:rsidRPr="00B377C6">
        <w:t>e)</w:t>
      </w:r>
      <w:r w:rsidRPr="00B377C6">
        <w:tab/>
        <w:t>да насърчават държавите членки да координират действията си в рамките на органите и агенциите на ООН и да работят за реформиране на системата на специалните докладчици на ООН; да приемат процедурите за ефективно преодоляване на всички потенциални пристрастия и неефективност, които биха могли да застрашат мандата на агенциите на ООН, като осигурят адекватна проверка и надзор на персонала, както и неговото отстраняване, ако е целесъобразно;</w:t>
      </w:r>
    </w:p>
    <w:bookmarkEnd w:id="2"/>
    <w:p w14:paraId="07E955F6" w14:textId="77777777" w:rsidR="00A845D6" w:rsidRPr="00B377C6" w:rsidRDefault="006818D2" w:rsidP="00707E50">
      <w:pPr>
        <w:pStyle w:val="NormalHangingLeft12a"/>
        <w:ind w:left="1287" w:hanging="720"/>
      </w:pPr>
      <w:r w:rsidRPr="00B377C6">
        <w:t>ж)</w:t>
      </w:r>
      <w:r w:rsidRPr="00B377C6">
        <w:tab/>
        <w:t>да продължат да укрепват сътрудничеството с партньори като Съединените щати с цел изграждане на консенсус и постигане на напредък по утвърждаването на ефективен многостранен ред;</w:t>
      </w:r>
    </w:p>
    <w:p w14:paraId="1D9375F7" w14:textId="77777777" w:rsidR="00CB5D63" w:rsidRPr="00B377C6" w:rsidRDefault="006818D2" w:rsidP="00707E50">
      <w:pPr>
        <w:pStyle w:val="NormalHangingLeft12a"/>
        <w:ind w:left="1287" w:hanging="720"/>
      </w:pPr>
      <w:r w:rsidRPr="00B377C6">
        <w:t>з)</w:t>
      </w:r>
      <w:r w:rsidRPr="00B377C6">
        <w:tab/>
        <w:t xml:space="preserve">да припомнят отговорността на Съвета за сигурност на ООН да поддържа международния мир и сигурност и да гарантира търсенето на отговорност за нарушенията на международното право, както и да проучат начини за укрепване на ролята на </w:t>
      </w:r>
      <w:r w:rsidRPr="00B377C6">
        <w:t>Общото събрание на ООН в тази област чрез използване на система от типа на ЕС за гласуване с квалифицирано мнозинство, при която резолюциите на Общото събрание на ООН, гласувани с мнозинство от две трети от членовете, представляващи две трети от населението, се считат за обвързващи;</w:t>
      </w:r>
    </w:p>
    <w:p w14:paraId="3D215607" w14:textId="77777777" w:rsidR="00E25FF4" w:rsidRPr="00B377C6" w:rsidRDefault="006818D2" w:rsidP="007E620A">
      <w:pPr>
        <w:pStyle w:val="NormalHangingLeft12a"/>
        <w:ind w:left="0" w:firstLine="0"/>
      </w:pPr>
      <w:r w:rsidRPr="00B377C6">
        <w:rPr>
          <w:b/>
          <w:i/>
        </w:rPr>
        <w:t>Мир и сигурност</w:t>
      </w:r>
      <w:bookmarkStart w:id="3" w:name="_Hlk215761387"/>
    </w:p>
    <w:p w14:paraId="42EE2774" w14:textId="77777777" w:rsidR="00E25FF4" w:rsidRPr="00B377C6" w:rsidRDefault="006818D2" w:rsidP="00707E50">
      <w:pPr>
        <w:pStyle w:val="NormalHangingLeft12a"/>
        <w:ind w:left="1287" w:hanging="720"/>
      </w:pPr>
      <w:r w:rsidRPr="00B377C6">
        <w:t>и)</w:t>
      </w:r>
      <w:r w:rsidRPr="00B377C6">
        <w:tab/>
        <w:t xml:space="preserve">да потвърдят отново, че осъждат незаконната агресивна война на Русия срещу Украйна и нападенията ѝ срещу световната архитектура за мир и сигурност, включително инструментите на Съвета за сигурност на ООН; да се застъпват за пълно прекратяване на огъня с цел облекчаване на </w:t>
      </w:r>
      <w:r w:rsidRPr="00B377C6">
        <w:lastRenderedPageBreak/>
        <w:t>страданията на цивилното население и за всеобхватен, справедлив и траен мир за Украйна, включително солидни гаранции за сигурност въз основа на Устава на ООН и международното право, като същевременно се гарантира търсене на пълна отговорн</w:t>
      </w:r>
      <w:r w:rsidRPr="00B377C6">
        <w:t xml:space="preserve">ост за военните престъпления; да подкрепят ООН в определянето на правни механизми за мобилизиране на замразени руски активи за възстановяването на Украйна, без да се налага финансова тежест на държавите – членки на ЕС; </w:t>
      </w:r>
      <w:bookmarkStart w:id="4" w:name="_Hlk215655429"/>
      <w:bookmarkEnd w:id="3"/>
    </w:p>
    <w:p w14:paraId="456C6FF9" w14:textId="77777777" w:rsidR="00C77381" w:rsidRPr="00B377C6" w:rsidRDefault="006818D2" w:rsidP="00707E50">
      <w:pPr>
        <w:pStyle w:val="NormalHangingLeft12a"/>
        <w:ind w:left="1287" w:hanging="720"/>
      </w:pPr>
      <w:r w:rsidRPr="00B377C6">
        <w:t>й)</w:t>
      </w:r>
      <w:r w:rsidRPr="00B377C6">
        <w:tab/>
        <w:t xml:space="preserve">да изразят загриженост във връзка с риска от задълбочаване на конфронтацията в Близкия изток и дестабилизиращата роля на Иран и неговите подставени фигури в региона; да увеличат дипломатическите усилия в рамките на многостранни форуми и да се стремят към по-тясно сътрудничество с партньорите на ЕС в региона в подкрепа на намаляването на напрежението, възстановяването и съдържателния диалог; настоятелно да призоват всички участници да спазват задълженията си съгласно международното право с цел постигане на </w:t>
      </w:r>
      <w:r w:rsidRPr="00B377C6">
        <w:t>справедлив, всеобхватен и траен мир, основан на решението за две държави;</w:t>
      </w:r>
    </w:p>
    <w:bookmarkEnd w:id="4"/>
    <w:p w14:paraId="6C106D55" w14:textId="77777777" w:rsidR="00CB5D63" w:rsidRPr="00B377C6" w:rsidRDefault="006818D2" w:rsidP="00707E50">
      <w:pPr>
        <w:pStyle w:val="NormalHangingLeft12a"/>
        <w:ind w:left="1287" w:hanging="720"/>
      </w:pPr>
      <w:r w:rsidRPr="00B377C6">
        <w:t>к)</w:t>
      </w:r>
      <w:r w:rsidRPr="00B377C6">
        <w:tab/>
        <w:t>да участват в дипломатическите усилия за предотвратяване на по-нататъшната ескалация в Тайванския проток и Южнокитайско море и да се противопоставят на всякаква едностранна промяна в статуквото; да работят с единомислещи партньори за укрепване на стабилността в региона; да подчертаят, че Резолюция 2758 на ООН не определя суверенитета на Китайската народна република над Тайван, и да засилят подкрепата за пълноценното участие на Тайван в международни организации;</w:t>
      </w:r>
    </w:p>
    <w:p w14:paraId="4D3F59D4" w14:textId="77777777" w:rsidR="00D71F90" w:rsidRPr="00B377C6" w:rsidRDefault="006818D2" w:rsidP="00707E50">
      <w:pPr>
        <w:pStyle w:val="NormalHangingLeft12a"/>
        <w:ind w:left="1287" w:hanging="720"/>
      </w:pPr>
      <w:r w:rsidRPr="00B377C6">
        <w:t>л)</w:t>
      </w:r>
      <w:r w:rsidRPr="00B377C6">
        <w:tab/>
        <w:t>да продължат да работят с ООН за справяне с глобалните предизвикателства пред сигурността чрез предотвратяване на конфликти, посредничество, изграждане на мира и управление на кризи в съответствие със стратегическото партньорство между ЕС и ООН в областта на мира и сигурността; да признаят съществената роля на мироопазващите операции на ООН и да използват прегледа на бъдещето на тези операции, за да осигурят адаптирането им към днешната обстановка във връзка със сигурността;</w:t>
      </w:r>
    </w:p>
    <w:p w14:paraId="1265EEEA" w14:textId="77777777" w:rsidR="00C516E8" w:rsidRPr="00B377C6" w:rsidRDefault="006818D2" w:rsidP="00707E50">
      <w:pPr>
        <w:pStyle w:val="NormalHangingLeft12a"/>
        <w:ind w:left="1287" w:hanging="720"/>
      </w:pPr>
      <w:r w:rsidRPr="00B377C6">
        <w:t>м)</w:t>
      </w:r>
      <w:r w:rsidRPr="00B377C6">
        <w:tab/>
        <w:t>да признаят сериозните рискове, произтичащи от новата надпревара във въоръжаването и отслабването на глобалните усилия за разоръжаване, дължащи се до голяма степен на натрупването на ядрен арсенал в Русия, Китай и Северна Корея; да продължат да защитават и укрепват многостранните рамки, уреждащи неразпространението и контрола върху оръжията, както и тези, уреждащи износа на оръжия и изделия и технологии с двойна употреба; да насърчават и укрепват многостранните инструменти срещу производството, натрупванет</w:t>
      </w:r>
      <w:r w:rsidRPr="00B377C6">
        <w:t>о и използването на химически и биологични оръжия;</w:t>
      </w:r>
    </w:p>
    <w:p w14:paraId="6B8B32C3" w14:textId="77777777" w:rsidR="00C9640A" w:rsidRPr="00B377C6" w:rsidRDefault="006818D2" w:rsidP="006818D2">
      <w:pPr>
        <w:keepNext/>
        <w:keepLines/>
        <w:spacing w:after="240"/>
        <w:rPr>
          <w:b/>
          <w:i/>
          <w:iCs/>
          <w:szCs w:val="24"/>
        </w:rPr>
      </w:pPr>
      <w:r w:rsidRPr="00B377C6">
        <w:rPr>
          <w:b/>
          <w:i/>
        </w:rPr>
        <w:lastRenderedPageBreak/>
        <w:t>Устойчиво развитие и права на човека</w:t>
      </w:r>
    </w:p>
    <w:p w14:paraId="5627660A" w14:textId="77777777" w:rsidR="00EE2CBB" w:rsidRPr="00B377C6" w:rsidRDefault="006818D2" w:rsidP="006818D2">
      <w:pPr>
        <w:pStyle w:val="NormalHangingLeft12a"/>
        <w:keepNext/>
        <w:keepLines/>
        <w:ind w:left="1287" w:hanging="720"/>
      </w:pPr>
      <w:bookmarkStart w:id="5" w:name="_Hlk218760648"/>
      <w:r w:rsidRPr="00B377C6">
        <w:t>н)</w:t>
      </w:r>
      <w:r w:rsidRPr="00B377C6">
        <w:tab/>
        <w:t xml:space="preserve">да продължат да интегрират в устойчивото развитие подход, основан на правата на човека; да подчертаят водещата роля на ЕС като най-големия доставчик в света на официална помощ за развитие; </w:t>
      </w:r>
      <w:bookmarkEnd w:id="5"/>
      <w:r w:rsidRPr="00B377C6">
        <w:t>да използват стратегията Global Gateway като устойчива, прозрачна, демократична и основана на ценности алтернатива на конкурентните инфраструктурни инициативи, която допринася за постигането на целите за устойчиво развитие чрез насърчаване на взаимния растеж, икономическата дейност и създаването на работни места в държав</w:t>
      </w:r>
      <w:r w:rsidRPr="00B377C6">
        <w:t>ите партньори, като същевременно укрепва стратегическата автономност и геополитическата позиция на ЕС и доверието към него на световната сцена;</w:t>
      </w:r>
    </w:p>
    <w:p w14:paraId="40826992" w14:textId="77777777" w:rsidR="00BD6D13" w:rsidRPr="00B377C6" w:rsidRDefault="006818D2" w:rsidP="00707E50">
      <w:pPr>
        <w:pStyle w:val="NormalHangingLeft12a"/>
        <w:ind w:left="1287" w:hanging="720"/>
      </w:pPr>
      <w:bookmarkStart w:id="6" w:name="_Hlk218760711"/>
      <w:r w:rsidRPr="00B377C6">
        <w:t>о)</w:t>
      </w:r>
      <w:r w:rsidRPr="00B377C6">
        <w:tab/>
        <w:t xml:space="preserve">да потвърдят недвусмислено, че всички права на човека, залегнали в конвенциите на ООН, трябва да бъдат изцяло зачитани; да призоват ООН да осъди глобалните тенденции, подкопаващи тези права, включително нарастващата маргинализация на правата на човека и свиващото се пространство за гражданското общество; </w:t>
      </w:r>
    </w:p>
    <w:bookmarkEnd w:id="6"/>
    <w:p w14:paraId="6618DB01" w14:textId="77777777" w:rsidR="00B970FB" w:rsidRPr="00B377C6" w:rsidRDefault="006818D2" w:rsidP="00707E50">
      <w:pPr>
        <w:pStyle w:val="NormalHangingLeft12a"/>
        <w:ind w:left="1287" w:hanging="720"/>
      </w:pPr>
      <w:r w:rsidRPr="00B377C6">
        <w:t>п)</w:t>
      </w:r>
      <w:r w:rsidRPr="00B377C6">
        <w:tab/>
        <w:t>да отдадат приоритет на борбата с дезинформацията, разпространявана чрез алгоритмично усилване от страна на големите онлайн платформи, нарастващото използване на големи езикови модели без подходящи предпазни мерки, използването им от злонамерени чуждестранни участници и неизпълнението от страна на големите технологични дружества на задълженията им съгласно действащото законодателство в тази област, което подкопава демокрацията и изборните процеси;</w:t>
      </w:r>
    </w:p>
    <w:p w14:paraId="6296B4D1" w14:textId="77777777" w:rsidR="00297376" w:rsidRPr="00B377C6" w:rsidRDefault="006818D2" w:rsidP="00707E50">
      <w:pPr>
        <w:pStyle w:val="NormalHangingLeft12a"/>
        <w:ind w:left="1287" w:hanging="720"/>
      </w:pPr>
      <w:r w:rsidRPr="00B377C6">
        <w:t>р)</w:t>
      </w:r>
      <w:r w:rsidRPr="00B377C6">
        <w:tab/>
        <w:t>да насърчават по-категорично свободата на вероизповеданието и убежденията и да призоват за по-строги мерки за защита на религиозните и други малцинства, включително християнските общности;</w:t>
      </w:r>
    </w:p>
    <w:p w14:paraId="4AA38EA4" w14:textId="77777777" w:rsidR="0043008B" w:rsidRPr="00B377C6" w:rsidRDefault="006818D2" w:rsidP="00707E50">
      <w:pPr>
        <w:pStyle w:val="NormalHangingLeft12a"/>
        <w:ind w:left="1287" w:hanging="720"/>
      </w:pPr>
      <w:bookmarkStart w:id="7" w:name="_Hlk218761193"/>
      <w:r w:rsidRPr="00B377C6">
        <w:t>с)</w:t>
      </w:r>
      <w:r w:rsidRPr="00B377C6">
        <w:tab/>
        <w:t>да подчертаят ангажимента на ЕС за постигане на напредък в световното здравеопазване заедно с партньорите;</w:t>
      </w:r>
      <w:bookmarkEnd w:id="7"/>
    </w:p>
    <w:p w14:paraId="7FA405D0" w14:textId="77777777" w:rsidR="007E620A" w:rsidRPr="00B377C6" w:rsidRDefault="006818D2" w:rsidP="007E620A">
      <w:pPr>
        <w:pStyle w:val="NormalHanging12a"/>
        <w:jc w:val="center"/>
      </w:pPr>
      <w:r w:rsidRPr="00B377C6">
        <w:t>°</w:t>
      </w:r>
    </w:p>
    <w:p w14:paraId="527FED67" w14:textId="77777777" w:rsidR="007E620A" w:rsidRPr="00B377C6" w:rsidRDefault="006818D2" w:rsidP="007E620A">
      <w:pPr>
        <w:pStyle w:val="NormalHanging12a"/>
        <w:jc w:val="center"/>
      </w:pPr>
      <w:r w:rsidRPr="00B377C6">
        <w:t>°</w:t>
      </w:r>
      <w:r w:rsidRPr="00B377C6">
        <w:tab/>
        <w:t>°</w:t>
      </w:r>
    </w:p>
    <w:p w14:paraId="10C3778A" w14:textId="77777777" w:rsidR="00D34438" w:rsidRPr="00B377C6" w:rsidRDefault="006818D2" w:rsidP="00707E50">
      <w:pPr>
        <w:pStyle w:val="NormalHanging12a"/>
        <w:ind w:left="720" w:hanging="720"/>
      </w:pPr>
      <w:r w:rsidRPr="00B377C6">
        <w:t>2.</w:t>
      </w:r>
      <w:r w:rsidRPr="00B377C6">
        <w:tab/>
        <w:t>възлага на своя председател да предаде настоящата препоръка на Съвета, на Комисията и на заместник-председателя на Комисията/върховен представител на Съюза по въпросите на външните работи и политиката на сигурност.</w:t>
      </w:r>
    </w:p>
    <w:p w14:paraId="35CDAAEC" w14:textId="77777777" w:rsidR="00D34438" w:rsidRPr="00B377C6" w:rsidRDefault="006818D2">
      <w:pPr>
        <w:widowControl/>
      </w:pPr>
      <w:r w:rsidRPr="00B377C6">
        <w:br w:type="page"/>
      </w:r>
    </w:p>
    <w:p w14:paraId="2E22E5A5" w14:textId="77777777" w:rsidR="00902C4B" w:rsidRPr="00B377C6" w:rsidRDefault="006818D2" w:rsidP="00902C4B">
      <w:pPr>
        <w:pStyle w:val="PageHeading"/>
      </w:pPr>
      <w:bookmarkStart w:id="8" w:name="_Toc220322155"/>
      <w:r w:rsidRPr="00B377C6">
        <w:lastRenderedPageBreak/>
        <w:t>ИЗЛОЖЕНИЕ НА МОТИВИТЕ</w:t>
      </w:r>
      <w:bookmarkEnd w:id="8"/>
    </w:p>
    <w:p w14:paraId="0BD0B07A" w14:textId="77777777" w:rsidR="00CD51C8" w:rsidRPr="00B377C6" w:rsidRDefault="006818D2" w:rsidP="0028506D">
      <w:pPr>
        <w:widowControl/>
      </w:pPr>
      <w:r w:rsidRPr="00B377C6">
        <w:t>Предвид растящата глобална нестабилност е от решаващо значение да се поддържа и укрепва основаният на правила международен ред и да се осигури ефективното функциониране на междуправителствените организации. В доклада се подчертава необходимостта от подкрепа за ефективния, основан на правила многостранен ред, в основата на който стои ООН, насърчаване и защита на международното право и отстояване на правилата и принципите на Устава на ООН, като същевременно се работи за една по-ефективна, способна, прозрачна,</w:t>
      </w:r>
      <w:r w:rsidRPr="00B377C6">
        <w:t xml:space="preserve"> финансово устойчива и гъвкава ООН, която е в състояние да отговори на настоящите и нововъзникващите глобални предизвикателства. </w:t>
      </w:r>
    </w:p>
    <w:p w14:paraId="600F0160" w14:textId="77777777" w:rsidR="00CD51C8" w:rsidRPr="00B377C6" w:rsidRDefault="00CD51C8" w:rsidP="0028506D">
      <w:pPr>
        <w:widowControl/>
      </w:pPr>
    </w:p>
    <w:p w14:paraId="3AB49D89" w14:textId="77777777" w:rsidR="00CD51C8" w:rsidRPr="00B377C6" w:rsidRDefault="006818D2" w:rsidP="0028506D">
      <w:pPr>
        <w:widowControl/>
      </w:pPr>
      <w:r w:rsidRPr="00B377C6">
        <w:t>В доклада се припомня ангажиментът на ЕС по отношение на правата на човека, устойчивото развитие и многостранното сътрудничество, като се подчертава водещата роля на ЕС в помощта за развитие, подкрепата му за постигане на целите за устойчиво развитие и необходимостта от борба с дезинформацията, защита на основните свободи и отстояване на свободата на вероизповеданието и убежденията. В доклада се подчертава също колко е важно да се модернизират мандатите и практиките на ООН, за да се гарантира ефективност, б</w:t>
      </w:r>
      <w:r w:rsidRPr="00B377C6">
        <w:t>езпристрастност и надеждност в цялата система.</w:t>
      </w:r>
    </w:p>
    <w:p w14:paraId="3E0C6C8F" w14:textId="77777777" w:rsidR="00CD51C8" w:rsidRPr="00B377C6" w:rsidRDefault="00CD51C8" w:rsidP="0028506D">
      <w:pPr>
        <w:widowControl/>
      </w:pPr>
    </w:p>
    <w:p w14:paraId="7DAD70FA" w14:textId="77777777" w:rsidR="00AE6E67" w:rsidRPr="00B377C6" w:rsidRDefault="006818D2" w:rsidP="0028506D">
      <w:pPr>
        <w:widowControl/>
      </w:pPr>
      <w:r w:rsidRPr="00B377C6">
        <w:t xml:space="preserve">Той препоръчва използването на </w:t>
      </w:r>
      <w:r w:rsidRPr="00B377C6">
        <w:t>многостранното сътрудничество като по-добър механизъм за справяне с настоящите предизвикателства, например поддържането на международния мир и сигурност, борбата с разпространението на оръжия за масово унищожение, насърчаването на устойчивото развитие и утвърждаването на правата на човека в световен мащаб.</w:t>
      </w:r>
    </w:p>
    <w:p w14:paraId="01D42E85" w14:textId="77777777" w:rsidR="00AE6E67" w:rsidRPr="00B377C6" w:rsidRDefault="00AE6E67" w:rsidP="00CD51C8">
      <w:pPr>
        <w:widowControl/>
        <w:jc w:val="both"/>
      </w:pPr>
    </w:p>
    <w:p w14:paraId="440955FE" w14:textId="77777777" w:rsidR="0043008B" w:rsidRPr="00B377C6" w:rsidRDefault="006818D2">
      <w:pPr>
        <w:widowControl/>
        <w:rPr>
          <w:szCs w:val="24"/>
        </w:rPr>
      </w:pPr>
      <w:r w:rsidRPr="00B377C6">
        <w:br w:type="page"/>
      </w:r>
    </w:p>
    <w:p w14:paraId="3534DB86" w14:textId="77777777" w:rsidR="006A553C" w:rsidRPr="00B377C6" w:rsidRDefault="006818D2" w:rsidP="006A553C">
      <w:pPr>
        <w:pStyle w:val="PageHeading"/>
        <w:rPr>
          <w:noProof/>
        </w:rPr>
      </w:pPr>
      <w:bookmarkStart w:id="9" w:name="_Toc215475374"/>
      <w:bookmarkStart w:id="10" w:name="FootprintPageRR"/>
      <w:bookmarkStart w:id="11" w:name="_Toc220322156"/>
      <w:r w:rsidRPr="00B377C6">
        <w:lastRenderedPageBreak/>
        <w:t>ПРИЛОЖЕНИЕ: ДЕКЛАРАЦИЯ ЗА ИЗТОЧНИЦИТЕ НА ИНФОРМАЦИЯ</w:t>
      </w:r>
      <w:bookmarkEnd w:id="9"/>
      <w:bookmarkEnd w:id="11"/>
    </w:p>
    <w:p w14:paraId="47D683E3" w14:textId="77777777" w:rsidR="006A553C" w:rsidRPr="00B377C6" w:rsidRDefault="006A553C" w:rsidP="006A553C">
      <w:pPr>
        <w:pStyle w:val="Normal24a"/>
        <w:jc w:val="center"/>
      </w:pPr>
    </w:p>
    <w:p w14:paraId="0B8E7E00" w14:textId="77777777" w:rsidR="006A553C" w:rsidRPr="00B377C6" w:rsidRDefault="006818D2" w:rsidP="006A553C">
      <w:pPr>
        <w:pStyle w:val="Normal24a"/>
        <w:spacing w:after="240"/>
      </w:pPr>
      <w:r w:rsidRPr="00B377C6">
        <w:rPr>
          <w:rStyle w:val="HideTWBExt"/>
        </w:rPr>
        <w:t>&lt;FootprintIntro&gt;</w:t>
      </w:r>
      <w:r w:rsidRPr="00B377C6">
        <w:t>В съответствие с член 8 от приложение I към Правилника за дейността докладчикът декларира, че в доклада е включена информация по свързани с предмета на досието въпроси, която в хода на изготвяне на проекта на доклад e била предоставена от следните представители на интереси, попадащи в обхвата на Междуинституционалното споразумение за задължителен регистър за прозрачност</w:t>
      </w:r>
      <w:r w:rsidRPr="00B377C6">
        <w:rPr>
          <w:rStyle w:val="FootnoteReference"/>
        </w:rPr>
        <w:footnoteReference w:id="2"/>
      </w:r>
      <w:r w:rsidRPr="00B377C6">
        <w:t>, или от следните представители на публични органи на трети държави, включително техните дипломатически мисии и посолства:</w:t>
      </w:r>
      <w:r w:rsidRPr="00B377C6"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377FCF" w:rsidRPr="00B377C6" w14:paraId="18633870" w14:textId="77777777" w:rsidTr="00053087">
        <w:tc>
          <w:tcPr>
            <w:tcW w:w="9060" w:type="dxa"/>
            <w:shd w:val="clear" w:color="auto" w:fill="auto"/>
          </w:tcPr>
          <w:p w14:paraId="74847401" w14:textId="77777777" w:rsidR="006A553C" w:rsidRPr="00B377C6" w:rsidRDefault="006818D2" w:rsidP="00053087">
            <w:pPr>
              <w:pStyle w:val="NormalBoldCenter"/>
            </w:pPr>
            <w:r w:rsidRPr="00B377C6">
              <w:t>1. Представители на интереси, попадащи в обхвата на Междуинституционалното споразумение за задължителен регистър за прозрачност</w:t>
            </w:r>
          </w:p>
        </w:tc>
      </w:tr>
      <w:tr w:rsidR="00377FCF" w:rsidRPr="00B377C6" w14:paraId="0278EC0E" w14:textId="77777777" w:rsidTr="00053087">
        <w:tc>
          <w:tcPr>
            <w:tcW w:w="9060" w:type="dxa"/>
            <w:shd w:val="clear" w:color="auto" w:fill="auto"/>
          </w:tcPr>
          <w:p w14:paraId="3178CDB8" w14:textId="77777777" w:rsidR="006A553C" w:rsidRPr="00B377C6" w:rsidRDefault="006818D2" w:rsidP="00053087">
            <w:pPr>
              <w:pStyle w:val="NormalSingle"/>
            </w:pPr>
            <w:r w:rsidRPr="00B377C6">
              <w:t xml:space="preserve"> </w:t>
            </w:r>
          </w:p>
        </w:tc>
      </w:tr>
      <w:tr w:rsidR="00377FCF" w:rsidRPr="00B377C6" w14:paraId="6E453EFB" w14:textId="77777777" w:rsidTr="00053087">
        <w:tc>
          <w:tcPr>
            <w:tcW w:w="9060" w:type="dxa"/>
            <w:shd w:val="clear" w:color="auto" w:fill="auto"/>
          </w:tcPr>
          <w:p w14:paraId="74049140" w14:textId="77777777" w:rsidR="006A553C" w:rsidRPr="00B377C6" w:rsidRDefault="006818D2" w:rsidP="00053087">
            <w:pPr>
              <w:pStyle w:val="NormalBoldCenter"/>
            </w:pPr>
            <w:r w:rsidRPr="00B377C6">
              <w:t>2. Представители на публични органи на трети държави, включително техните дипломатически мисии и посолства</w:t>
            </w:r>
          </w:p>
        </w:tc>
      </w:tr>
      <w:tr w:rsidR="00377FCF" w:rsidRPr="00B377C6" w14:paraId="75AE162C" w14:textId="77777777" w:rsidTr="00053087">
        <w:tc>
          <w:tcPr>
            <w:tcW w:w="9060" w:type="dxa"/>
            <w:shd w:val="clear" w:color="auto" w:fill="auto"/>
          </w:tcPr>
          <w:p w14:paraId="718E2854" w14:textId="77777777" w:rsidR="006A553C" w:rsidRPr="00B377C6" w:rsidRDefault="006818D2" w:rsidP="00053087">
            <w:r w:rsidRPr="00B377C6">
              <w:t xml:space="preserve"> </w:t>
            </w:r>
          </w:p>
        </w:tc>
      </w:tr>
    </w:tbl>
    <w:p w14:paraId="32959956" w14:textId="77777777" w:rsidR="006A553C" w:rsidRPr="00B377C6" w:rsidRDefault="006818D2" w:rsidP="006A553C">
      <w:pPr>
        <w:pStyle w:val="Footprint12b"/>
      </w:pPr>
      <w:r w:rsidRPr="00B377C6">
        <w:t>Списъкът по-горе е изготвен в рамките на изключителната отговорност на докладчика.</w:t>
      </w:r>
    </w:p>
    <w:p w14:paraId="30283BC1" w14:textId="2EF1B697" w:rsidR="006A553C" w:rsidRPr="00B377C6" w:rsidRDefault="006818D2" w:rsidP="006A553C">
      <w:pPr>
        <w:pStyle w:val="Footprint12b"/>
      </w:pPr>
      <w:r w:rsidRPr="00B377C6">
        <w:t xml:space="preserve">Когато физически лица са идентифицирани в списъка по </w:t>
      </w:r>
      <w:r w:rsidRPr="00B377C6">
        <w:t>име, по функция или и по двете, докладчикът декларира, че на съответните физически лица е представено Съобщение за защита на данните № 484 на Европейския парламент (</w:t>
      </w:r>
      <w:hyperlink r:id="rId9" w:history="1">
        <w:r w:rsidRPr="00B377C6">
          <w:rPr>
            <w:rStyle w:val="Hyperlink"/>
          </w:rPr>
          <w:t>https://www.europarl.europa.eu/data-protect/index.d</w:t>
        </w:r>
      </w:hyperlink>
      <w:r w:rsidRPr="00B377C6">
        <w:t>o), в което се определят приложимите условия за обработването на техните лични данни и правата, свързани с това обработване.</w:t>
      </w:r>
    </w:p>
    <w:p w14:paraId="128927D8" w14:textId="77777777" w:rsidR="006A553C" w:rsidRPr="00B377C6" w:rsidRDefault="006A553C" w:rsidP="006A553C">
      <w:pPr>
        <w:pStyle w:val="Footprint12b"/>
      </w:pPr>
    </w:p>
    <w:p w14:paraId="32CA3CF2" w14:textId="77777777" w:rsidR="006A553C" w:rsidRPr="00B377C6" w:rsidRDefault="006A553C" w:rsidP="006A553C"/>
    <w:bookmarkEnd w:id="10"/>
    <w:p w14:paraId="1390E197" w14:textId="77777777" w:rsidR="006A553C" w:rsidRPr="00B377C6" w:rsidRDefault="006A553C" w:rsidP="006A553C"/>
    <w:sectPr w:rsidR="006A553C" w:rsidRPr="00B377C6" w:rsidSect="00B377C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3C6D7" w14:textId="77777777" w:rsidR="006818D2" w:rsidRPr="00B377C6" w:rsidRDefault="006818D2">
      <w:r w:rsidRPr="00B377C6">
        <w:separator/>
      </w:r>
    </w:p>
  </w:endnote>
  <w:endnote w:type="continuationSeparator" w:id="0">
    <w:p w14:paraId="01B083CC" w14:textId="77777777" w:rsidR="006818D2" w:rsidRPr="00B377C6" w:rsidRDefault="006818D2">
      <w:r w:rsidRPr="00B377C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8BF21" w14:textId="77777777" w:rsidR="00B377C6" w:rsidRPr="00B377C6" w:rsidRDefault="00B377C6" w:rsidP="00B377C6">
    <w:pPr>
      <w:pStyle w:val="EPFooter"/>
    </w:pPr>
    <w:r w:rsidRPr="00B377C6">
      <w:t>PE</w:t>
    </w:r>
    <w:r w:rsidRPr="00B377C6">
      <w:rPr>
        <w:rStyle w:val="HideTWBExt"/>
      </w:rPr>
      <w:t>&lt;NoPE&gt;</w:t>
    </w:r>
    <w:r w:rsidRPr="00B377C6">
      <w:t>778.304</w:t>
    </w:r>
    <w:r w:rsidRPr="00B377C6">
      <w:rPr>
        <w:rStyle w:val="HideTWBExt"/>
      </w:rPr>
      <w:t>&lt;/NoPE&gt;&lt;Version&gt;</w:t>
    </w:r>
    <w:r w:rsidRPr="00B377C6">
      <w:t>v01-00</w:t>
    </w:r>
    <w:r w:rsidRPr="00B377C6">
      <w:rPr>
        <w:rStyle w:val="HideTWBExt"/>
      </w:rPr>
      <w:t>&lt;/Version&gt;</w:t>
    </w:r>
    <w:r w:rsidRPr="00B377C6">
      <w:tab/>
    </w:r>
    <w:r w:rsidRPr="00B377C6">
      <w:fldChar w:fldCharType="begin"/>
    </w:r>
    <w:r w:rsidRPr="00B377C6">
      <w:instrText xml:space="preserve"> PAGE  \* MERGEFORMAT </w:instrText>
    </w:r>
    <w:r w:rsidRPr="00B377C6">
      <w:fldChar w:fldCharType="separate"/>
    </w:r>
    <w:r w:rsidRPr="00B377C6">
      <w:rPr>
        <w:noProof/>
      </w:rPr>
      <w:t>8</w:t>
    </w:r>
    <w:r w:rsidRPr="00B377C6">
      <w:fldChar w:fldCharType="end"/>
    </w:r>
    <w:r w:rsidRPr="00B377C6">
      <w:t>/</w:t>
    </w:r>
    <w:fldSimple w:instr=" NUMPAGES  \* MERGEFORMAT ">
      <w:r w:rsidRPr="00B377C6">
        <w:rPr>
          <w:noProof/>
        </w:rPr>
        <w:t>9</w:t>
      </w:r>
    </w:fldSimple>
    <w:r w:rsidRPr="00B377C6">
      <w:tab/>
    </w:r>
    <w:r w:rsidRPr="00B377C6">
      <w:rPr>
        <w:rStyle w:val="HideTWBExt"/>
      </w:rPr>
      <w:t>&lt;PathFdR&gt;</w:t>
    </w:r>
    <w:r w:rsidRPr="00B377C6">
      <w:t>PR\1329698BG.docx</w:t>
    </w:r>
    <w:r w:rsidRPr="00B377C6">
      <w:rPr>
        <w:rStyle w:val="HideTWBExt"/>
      </w:rPr>
      <w:t>&lt;/PathFdR&gt;</w:t>
    </w:r>
  </w:p>
  <w:p w14:paraId="023E36AE" w14:textId="1F787035" w:rsidR="00144AD8" w:rsidRPr="00B377C6" w:rsidRDefault="00B377C6" w:rsidP="00B377C6">
    <w:pPr>
      <w:pStyle w:val="EPFooter2"/>
    </w:pPr>
    <w:r w:rsidRPr="00B377C6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64A5C" w14:textId="77777777" w:rsidR="00B377C6" w:rsidRPr="00B377C6" w:rsidRDefault="00B377C6" w:rsidP="00B377C6">
    <w:pPr>
      <w:pStyle w:val="EPFooter"/>
    </w:pPr>
    <w:r w:rsidRPr="00B377C6">
      <w:rPr>
        <w:rStyle w:val="HideTWBExt"/>
      </w:rPr>
      <w:t>&lt;PathFdR&gt;</w:t>
    </w:r>
    <w:r w:rsidRPr="00B377C6">
      <w:t>PR\1329698BG.docx</w:t>
    </w:r>
    <w:r w:rsidRPr="00B377C6">
      <w:rPr>
        <w:rStyle w:val="HideTWBExt"/>
      </w:rPr>
      <w:t>&lt;/PathFdR&gt;</w:t>
    </w:r>
    <w:r w:rsidRPr="00B377C6">
      <w:tab/>
    </w:r>
    <w:r w:rsidRPr="00B377C6">
      <w:fldChar w:fldCharType="begin"/>
    </w:r>
    <w:r w:rsidRPr="00B377C6">
      <w:instrText xml:space="preserve"> PAGE  \* MERGEFORMAT </w:instrText>
    </w:r>
    <w:r w:rsidRPr="00B377C6">
      <w:fldChar w:fldCharType="separate"/>
    </w:r>
    <w:r w:rsidRPr="00B377C6">
      <w:rPr>
        <w:noProof/>
      </w:rPr>
      <w:t>9</w:t>
    </w:r>
    <w:r w:rsidRPr="00B377C6">
      <w:fldChar w:fldCharType="end"/>
    </w:r>
    <w:r w:rsidRPr="00B377C6">
      <w:t>/</w:t>
    </w:r>
    <w:fldSimple w:instr=" NUMPAGES  \* MERGEFORMAT ">
      <w:r w:rsidRPr="00B377C6">
        <w:rPr>
          <w:noProof/>
        </w:rPr>
        <w:t>9</w:t>
      </w:r>
    </w:fldSimple>
    <w:r w:rsidRPr="00B377C6">
      <w:tab/>
      <w:t>PE</w:t>
    </w:r>
    <w:r w:rsidRPr="00B377C6">
      <w:rPr>
        <w:rStyle w:val="HideTWBExt"/>
      </w:rPr>
      <w:t>&lt;NoPE&gt;</w:t>
    </w:r>
    <w:r w:rsidRPr="00B377C6">
      <w:t>778.304</w:t>
    </w:r>
    <w:r w:rsidRPr="00B377C6">
      <w:rPr>
        <w:rStyle w:val="HideTWBExt"/>
      </w:rPr>
      <w:t>&lt;/NoPE&gt;&lt;Version&gt;</w:t>
    </w:r>
    <w:r w:rsidRPr="00B377C6">
      <w:t>v01-00</w:t>
    </w:r>
    <w:r w:rsidRPr="00B377C6">
      <w:rPr>
        <w:rStyle w:val="HideTWBExt"/>
      </w:rPr>
      <w:t>&lt;/Version&gt;</w:t>
    </w:r>
  </w:p>
  <w:p w14:paraId="0E8399DF" w14:textId="0EBB8B54" w:rsidR="00144AD8" w:rsidRPr="00B377C6" w:rsidRDefault="00B377C6" w:rsidP="00B377C6">
    <w:pPr>
      <w:pStyle w:val="EPFooter2"/>
    </w:pPr>
    <w:r w:rsidRPr="00B377C6">
      <w:tab/>
    </w:r>
    <w:r w:rsidRPr="00B377C6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91F8B" w14:textId="77777777" w:rsidR="00B377C6" w:rsidRPr="00B377C6" w:rsidRDefault="00B377C6" w:rsidP="00B377C6">
    <w:pPr>
      <w:pStyle w:val="EPFooter"/>
    </w:pPr>
    <w:r w:rsidRPr="00B377C6">
      <w:rPr>
        <w:rStyle w:val="HideTWBExt"/>
      </w:rPr>
      <w:t>&lt;PathFdR&gt;</w:t>
    </w:r>
    <w:r w:rsidRPr="00B377C6">
      <w:t>PR\1329698BG.docx</w:t>
    </w:r>
    <w:r w:rsidRPr="00B377C6">
      <w:rPr>
        <w:rStyle w:val="HideTWBExt"/>
      </w:rPr>
      <w:t>&lt;/PathFdR&gt;</w:t>
    </w:r>
    <w:r w:rsidRPr="00B377C6">
      <w:tab/>
    </w:r>
    <w:r w:rsidRPr="00B377C6">
      <w:tab/>
      <w:t>PE</w:t>
    </w:r>
    <w:r w:rsidRPr="00B377C6">
      <w:rPr>
        <w:rStyle w:val="HideTWBExt"/>
      </w:rPr>
      <w:t>&lt;NoPE&gt;</w:t>
    </w:r>
    <w:r w:rsidRPr="00B377C6">
      <w:t>778.304</w:t>
    </w:r>
    <w:r w:rsidRPr="00B377C6">
      <w:rPr>
        <w:rStyle w:val="HideTWBExt"/>
      </w:rPr>
      <w:t>&lt;/NoPE&gt;&lt;Version&gt;</w:t>
    </w:r>
    <w:r w:rsidRPr="00B377C6">
      <w:t>v01-00</w:t>
    </w:r>
    <w:r w:rsidRPr="00B377C6">
      <w:rPr>
        <w:rStyle w:val="HideTWBExt"/>
      </w:rPr>
      <w:t>&lt;/Version&gt;</w:t>
    </w:r>
  </w:p>
  <w:p w14:paraId="182F1B83" w14:textId="3069BD3C" w:rsidR="00144AD8" w:rsidRPr="00B377C6" w:rsidRDefault="00B377C6" w:rsidP="00B377C6">
    <w:pPr>
      <w:pStyle w:val="EPFooter2"/>
    </w:pPr>
    <w:r w:rsidRPr="00B377C6">
      <w:t>BG</w:t>
    </w:r>
    <w:r w:rsidRPr="00B377C6">
      <w:tab/>
    </w:r>
    <w:r w:rsidRPr="00B377C6">
      <w:rPr>
        <w:b w:val="0"/>
        <w:i/>
        <w:color w:val="C0C0C0"/>
        <w:sz w:val="22"/>
      </w:rPr>
      <w:t>Единство в многообразието</w:t>
    </w:r>
    <w:r w:rsidRPr="00B377C6">
      <w:tab/>
      <w:t>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4190B" w14:textId="77777777" w:rsidR="00387276" w:rsidRPr="00B377C6" w:rsidRDefault="006818D2">
      <w:r w:rsidRPr="00B377C6">
        <w:separator/>
      </w:r>
    </w:p>
  </w:footnote>
  <w:footnote w:type="continuationSeparator" w:id="0">
    <w:p w14:paraId="2855DB42" w14:textId="77777777" w:rsidR="00387276" w:rsidRPr="00B377C6" w:rsidRDefault="006818D2">
      <w:r w:rsidRPr="00B377C6">
        <w:continuationSeparator/>
      </w:r>
    </w:p>
  </w:footnote>
  <w:footnote w:id="1">
    <w:p w14:paraId="7D62CF33" w14:textId="77777777" w:rsidR="00CB5D63" w:rsidRPr="00B377C6" w:rsidRDefault="006818D2" w:rsidP="00CB5D63">
      <w:pPr>
        <w:pStyle w:val="FootnoteText"/>
      </w:pPr>
      <w:r w:rsidRPr="00B377C6">
        <w:rPr>
          <w:rStyle w:val="FootnoteReference"/>
        </w:rPr>
        <w:footnoteRef/>
      </w:r>
      <w:r w:rsidRPr="00B377C6">
        <w:t xml:space="preserve"> OВ C 67, 8.2.2022 г., стр. 150.</w:t>
      </w:r>
    </w:p>
    <w:p w14:paraId="52B3E225" w14:textId="77777777" w:rsidR="00CB5D63" w:rsidRPr="00B377C6" w:rsidRDefault="00CB5D63" w:rsidP="00CB5D63">
      <w:pPr>
        <w:pStyle w:val="FootnoteText"/>
      </w:pPr>
    </w:p>
  </w:footnote>
  <w:footnote w:id="2">
    <w:p w14:paraId="59F780C7" w14:textId="01CACE78" w:rsidR="006A553C" w:rsidRPr="00B377C6" w:rsidRDefault="006818D2" w:rsidP="006A553C">
      <w:pPr>
        <w:pStyle w:val="FootnoteText"/>
      </w:pPr>
      <w:r w:rsidRPr="00B377C6">
        <w:rPr>
          <w:rStyle w:val="FootnoteReference"/>
        </w:rPr>
        <w:footnoteRef/>
      </w:r>
      <w:r w:rsidRPr="00B377C6">
        <w:t xml:space="preserve"> Междуинституционално споразумение от 20 май 2021 г. между Европейския парламент, Съвета на Европейския съюз и Европейската комисия за задължителен регистър за прозрачност (ОВ L 207, 11.6.2021 г., стр. 1, ELI: </w:t>
      </w:r>
      <w:hyperlink r:id="rId1" w:history="1">
        <w:r w:rsidRPr="00B377C6">
          <w:rPr>
            <w:rStyle w:val="Hyperlink"/>
          </w:rPr>
          <w:t>http://data.europa.eu/eli/agree_interinstit/2021/611/oj</w:t>
        </w:r>
      </w:hyperlink>
      <w:r w:rsidRPr="00B377C6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D0706" w14:textId="77777777" w:rsidR="00E95D19" w:rsidRDefault="00E95D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C1D0E" w14:textId="77777777" w:rsidR="00E95D19" w:rsidRDefault="00E95D1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F22A8" w14:textId="77777777" w:rsidR="00E95D19" w:rsidRDefault="00E95D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E2372"/>
    <w:multiLevelType w:val="hybridMultilevel"/>
    <w:tmpl w:val="F9ACD274"/>
    <w:lvl w:ilvl="0" w:tplc="8642FEE0">
      <w:start w:val="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9DE861F2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E7C89214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A856906A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D354C8E6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A9EAEF6C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AA921218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985EDE92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D26962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081534E0"/>
    <w:multiLevelType w:val="hybridMultilevel"/>
    <w:tmpl w:val="88ACA568"/>
    <w:lvl w:ilvl="0" w:tplc="F4108F26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09BE41FE" w:tentative="1">
      <w:start w:val="1"/>
      <w:numFmt w:val="lowerLetter"/>
      <w:lvlText w:val="%2."/>
      <w:lvlJc w:val="left"/>
      <w:pPr>
        <w:ind w:left="2007" w:hanging="360"/>
      </w:pPr>
    </w:lvl>
    <w:lvl w:ilvl="2" w:tplc="0B36674A" w:tentative="1">
      <w:start w:val="1"/>
      <w:numFmt w:val="lowerRoman"/>
      <w:lvlText w:val="%3."/>
      <w:lvlJc w:val="right"/>
      <w:pPr>
        <w:ind w:left="2727" w:hanging="180"/>
      </w:pPr>
    </w:lvl>
    <w:lvl w:ilvl="3" w:tplc="FE2C77BA" w:tentative="1">
      <w:start w:val="1"/>
      <w:numFmt w:val="decimal"/>
      <w:lvlText w:val="%4."/>
      <w:lvlJc w:val="left"/>
      <w:pPr>
        <w:ind w:left="3447" w:hanging="360"/>
      </w:pPr>
    </w:lvl>
    <w:lvl w:ilvl="4" w:tplc="794A66D6" w:tentative="1">
      <w:start w:val="1"/>
      <w:numFmt w:val="lowerLetter"/>
      <w:lvlText w:val="%5."/>
      <w:lvlJc w:val="left"/>
      <w:pPr>
        <w:ind w:left="4167" w:hanging="360"/>
      </w:pPr>
    </w:lvl>
    <w:lvl w:ilvl="5" w:tplc="BC302024" w:tentative="1">
      <w:start w:val="1"/>
      <w:numFmt w:val="lowerRoman"/>
      <w:lvlText w:val="%6."/>
      <w:lvlJc w:val="right"/>
      <w:pPr>
        <w:ind w:left="4887" w:hanging="180"/>
      </w:pPr>
    </w:lvl>
    <w:lvl w:ilvl="6" w:tplc="586A71FA" w:tentative="1">
      <w:start w:val="1"/>
      <w:numFmt w:val="decimal"/>
      <w:lvlText w:val="%7."/>
      <w:lvlJc w:val="left"/>
      <w:pPr>
        <w:ind w:left="5607" w:hanging="360"/>
      </w:pPr>
    </w:lvl>
    <w:lvl w:ilvl="7" w:tplc="19AAEB8C" w:tentative="1">
      <w:start w:val="1"/>
      <w:numFmt w:val="lowerLetter"/>
      <w:lvlText w:val="%8."/>
      <w:lvlJc w:val="left"/>
      <w:pPr>
        <w:ind w:left="6327" w:hanging="360"/>
      </w:pPr>
    </w:lvl>
    <w:lvl w:ilvl="8" w:tplc="233E87D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16061AC5"/>
    <w:multiLevelType w:val="hybridMultilevel"/>
    <w:tmpl w:val="BFDA7E54"/>
    <w:lvl w:ilvl="0" w:tplc="E07ED4E0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44A621CA" w:tentative="1">
      <w:start w:val="1"/>
      <w:numFmt w:val="lowerLetter"/>
      <w:lvlText w:val="%2."/>
      <w:lvlJc w:val="left"/>
      <w:pPr>
        <w:ind w:left="2007" w:hanging="360"/>
      </w:pPr>
    </w:lvl>
    <w:lvl w:ilvl="2" w:tplc="9BC0A5E6" w:tentative="1">
      <w:start w:val="1"/>
      <w:numFmt w:val="lowerRoman"/>
      <w:lvlText w:val="%3."/>
      <w:lvlJc w:val="right"/>
      <w:pPr>
        <w:ind w:left="2727" w:hanging="180"/>
      </w:pPr>
    </w:lvl>
    <w:lvl w:ilvl="3" w:tplc="F88CA644" w:tentative="1">
      <w:start w:val="1"/>
      <w:numFmt w:val="decimal"/>
      <w:lvlText w:val="%4."/>
      <w:lvlJc w:val="left"/>
      <w:pPr>
        <w:ind w:left="3447" w:hanging="360"/>
      </w:pPr>
    </w:lvl>
    <w:lvl w:ilvl="4" w:tplc="EB68739C" w:tentative="1">
      <w:start w:val="1"/>
      <w:numFmt w:val="lowerLetter"/>
      <w:lvlText w:val="%5."/>
      <w:lvlJc w:val="left"/>
      <w:pPr>
        <w:ind w:left="4167" w:hanging="360"/>
      </w:pPr>
    </w:lvl>
    <w:lvl w:ilvl="5" w:tplc="AA24BB8A" w:tentative="1">
      <w:start w:val="1"/>
      <w:numFmt w:val="lowerRoman"/>
      <w:lvlText w:val="%6."/>
      <w:lvlJc w:val="right"/>
      <w:pPr>
        <w:ind w:left="4887" w:hanging="180"/>
      </w:pPr>
    </w:lvl>
    <w:lvl w:ilvl="6" w:tplc="3D8EE21C" w:tentative="1">
      <w:start w:val="1"/>
      <w:numFmt w:val="decimal"/>
      <w:lvlText w:val="%7."/>
      <w:lvlJc w:val="left"/>
      <w:pPr>
        <w:ind w:left="5607" w:hanging="360"/>
      </w:pPr>
    </w:lvl>
    <w:lvl w:ilvl="7" w:tplc="F1F4A4B0" w:tentative="1">
      <w:start w:val="1"/>
      <w:numFmt w:val="lowerLetter"/>
      <w:lvlText w:val="%8."/>
      <w:lvlJc w:val="left"/>
      <w:pPr>
        <w:ind w:left="6327" w:hanging="360"/>
      </w:pPr>
    </w:lvl>
    <w:lvl w:ilvl="8" w:tplc="5EE86460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3E12039"/>
    <w:multiLevelType w:val="hybridMultilevel"/>
    <w:tmpl w:val="9C1C8050"/>
    <w:lvl w:ilvl="0" w:tplc="26FE438A">
      <w:start w:val="1"/>
      <w:numFmt w:val="decimal"/>
      <w:lvlText w:val="%1."/>
      <w:lvlJc w:val="left"/>
      <w:pPr>
        <w:ind w:left="720" w:hanging="360"/>
      </w:pPr>
    </w:lvl>
    <w:lvl w:ilvl="1" w:tplc="63E82A16" w:tentative="1">
      <w:start w:val="1"/>
      <w:numFmt w:val="lowerLetter"/>
      <w:lvlText w:val="%2."/>
      <w:lvlJc w:val="left"/>
      <w:pPr>
        <w:ind w:left="1440" w:hanging="360"/>
      </w:pPr>
    </w:lvl>
    <w:lvl w:ilvl="2" w:tplc="01E636A6" w:tentative="1">
      <w:start w:val="1"/>
      <w:numFmt w:val="lowerRoman"/>
      <w:lvlText w:val="%3."/>
      <w:lvlJc w:val="right"/>
      <w:pPr>
        <w:ind w:left="2160" w:hanging="180"/>
      </w:pPr>
    </w:lvl>
    <w:lvl w:ilvl="3" w:tplc="02FCBE6E" w:tentative="1">
      <w:start w:val="1"/>
      <w:numFmt w:val="decimal"/>
      <w:lvlText w:val="%4."/>
      <w:lvlJc w:val="left"/>
      <w:pPr>
        <w:ind w:left="2880" w:hanging="360"/>
      </w:pPr>
    </w:lvl>
    <w:lvl w:ilvl="4" w:tplc="F998F4EE" w:tentative="1">
      <w:start w:val="1"/>
      <w:numFmt w:val="lowerLetter"/>
      <w:lvlText w:val="%5."/>
      <w:lvlJc w:val="left"/>
      <w:pPr>
        <w:ind w:left="3600" w:hanging="360"/>
      </w:pPr>
    </w:lvl>
    <w:lvl w:ilvl="5" w:tplc="EEB05B86" w:tentative="1">
      <w:start w:val="1"/>
      <w:numFmt w:val="lowerRoman"/>
      <w:lvlText w:val="%6."/>
      <w:lvlJc w:val="right"/>
      <w:pPr>
        <w:ind w:left="4320" w:hanging="180"/>
      </w:pPr>
    </w:lvl>
    <w:lvl w:ilvl="6" w:tplc="78D4C416" w:tentative="1">
      <w:start w:val="1"/>
      <w:numFmt w:val="decimal"/>
      <w:lvlText w:val="%7."/>
      <w:lvlJc w:val="left"/>
      <w:pPr>
        <w:ind w:left="5040" w:hanging="360"/>
      </w:pPr>
    </w:lvl>
    <w:lvl w:ilvl="7" w:tplc="FB941060" w:tentative="1">
      <w:start w:val="1"/>
      <w:numFmt w:val="lowerLetter"/>
      <w:lvlText w:val="%8."/>
      <w:lvlJc w:val="left"/>
      <w:pPr>
        <w:ind w:left="5760" w:hanging="360"/>
      </w:pPr>
    </w:lvl>
    <w:lvl w:ilvl="8" w:tplc="B888E8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3F7C68"/>
    <w:multiLevelType w:val="hybridMultilevel"/>
    <w:tmpl w:val="0C2A2A3A"/>
    <w:lvl w:ilvl="0" w:tplc="07E6409E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81E00094" w:tentative="1">
      <w:start w:val="1"/>
      <w:numFmt w:val="lowerLetter"/>
      <w:lvlText w:val="%2."/>
      <w:lvlJc w:val="left"/>
      <w:pPr>
        <w:ind w:left="2007" w:hanging="360"/>
      </w:pPr>
    </w:lvl>
    <w:lvl w:ilvl="2" w:tplc="9528A1FA" w:tentative="1">
      <w:start w:val="1"/>
      <w:numFmt w:val="lowerRoman"/>
      <w:lvlText w:val="%3."/>
      <w:lvlJc w:val="right"/>
      <w:pPr>
        <w:ind w:left="2727" w:hanging="180"/>
      </w:pPr>
    </w:lvl>
    <w:lvl w:ilvl="3" w:tplc="9A620E66" w:tentative="1">
      <w:start w:val="1"/>
      <w:numFmt w:val="decimal"/>
      <w:lvlText w:val="%4."/>
      <w:lvlJc w:val="left"/>
      <w:pPr>
        <w:ind w:left="3447" w:hanging="360"/>
      </w:pPr>
    </w:lvl>
    <w:lvl w:ilvl="4" w:tplc="AC8AB7F6" w:tentative="1">
      <w:start w:val="1"/>
      <w:numFmt w:val="lowerLetter"/>
      <w:lvlText w:val="%5."/>
      <w:lvlJc w:val="left"/>
      <w:pPr>
        <w:ind w:left="4167" w:hanging="360"/>
      </w:pPr>
    </w:lvl>
    <w:lvl w:ilvl="5" w:tplc="E3A6D9C0" w:tentative="1">
      <w:start w:val="1"/>
      <w:numFmt w:val="lowerRoman"/>
      <w:lvlText w:val="%6."/>
      <w:lvlJc w:val="right"/>
      <w:pPr>
        <w:ind w:left="4887" w:hanging="180"/>
      </w:pPr>
    </w:lvl>
    <w:lvl w:ilvl="6" w:tplc="436CFE46" w:tentative="1">
      <w:start w:val="1"/>
      <w:numFmt w:val="decimal"/>
      <w:lvlText w:val="%7."/>
      <w:lvlJc w:val="left"/>
      <w:pPr>
        <w:ind w:left="5607" w:hanging="360"/>
      </w:pPr>
    </w:lvl>
    <w:lvl w:ilvl="7" w:tplc="5268B968" w:tentative="1">
      <w:start w:val="1"/>
      <w:numFmt w:val="lowerLetter"/>
      <w:lvlText w:val="%8."/>
      <w:lvlJc w:val="left"/>
      <w:pPr>
        <w:ind w:left="6327" w:hanging="360"/>
      </w:pPr>
    </w:lvl>
    <w:lvl w:ilvl="8" w:tplc="3BA493FE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3225ED5"/>
    <w:multiLevelType w:val="hybridMultilevel"/>
    <w:tmpl w:val="9342D0FE"/>
    <w:lvl w:ilvl="0" w:tplc="61CA0AE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A9049A6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DA785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BD080F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5F64DE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2A0D16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EF8514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94653E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2C8CDD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9730FC"/>
    <w:multiLevelType w:val="hybridMultilevel"/>
    <w:tmpl w:val="CE2E70A4"/>
    <w:lvl w:ilvl="0" w:tplc="93B65A42">
      <w:start w:val="1"/>
      <w:numFmt w:val="upperLetter"/>
      <w:lvlText w:val="%1."/>
      <w:lvlJc w:val="left"/>
      <w:pPr>
        <w:ind w:left="720" w:hanging="360"/>
      </w:pPr>
    </w:lvl>
    <w:lvl w:ilvl="1" w:tplc="1F7C2A9A" w:tentative="1">
      <w:start w:val="1"/>
      <w:numFmt w:val="lowerLetter"/>
      <w:lvlText w:val="%2."/>
      <w:lvlJc w:val="left"/>
      <w:pPr>
        <w:ind w:left="1440" w:hanging="360"/>
      </w:pPr>
    </w:lvl>
    <w:lvl w:ilvl="2" w:tplc="D88284D6" w:tentative="1">
      <w:start w:val="1"/>
      <w:numFmt w:val="lowerRoman"/>
      <w:lvlText w:val="%3."/>
      <w:lvlJc w:val="right"/>
      <w:pPr>
        <w:ind w:left="2160" w:hanging="180"/>
      </w:pPr>
    </w:lvl>
    <w:lvl w:ilvl="3" w:tplc="74789950" w:tentative="1">
      <w:start w:val="1"/>
      <w:numFmt w:val="decimal"/>
      <w:lvlText w:val="%4."/>
      <w:lvlJc w:val="left"/>
      <w:pPr>
        <w:ind w:left="2880" w:hanging="360"/>
      </w:pPr>
    </w:lvl>
    <w:lvl w:ilvl="4" w:tplc="1AD6FE02" w:tentative="1">
      <w:start w:val="1"/>
      <w:numFmt w:val="lowerLetter"/>
      <w:lvlText w:val="%5."/>
      <w:lvlJc w:val="left"/>
      <w:pPr>
        <w:ind w:left="3600" w:hanging="360"/>
      </w:pPr>
    </w:lvl>
    <w:lvl w:ilvl="5" w:tplc="302A0C86" w:tentative="1">
      <w:start w:val="1"/>
      <w:numFmt w:val="lowerRoman"/>
      <w:lvlText w:val="%6."/>
      <w:lvlJc w:val="right"/>
      <w:pPr>
        <w:ind w:left="4320" w:hanging="180"/>
      </w:pPr>
    </w:lvl>
    <w:lvl w:ilvl="6" w:tplc="E13C3E8C" w:tentative="1">
      <w:start w:val="1"/>
      <w:numFmt w:val="decimal"/>
      <w:lvlText w:val="%7."/>
      <w:lvlJc w:val="left"/>
      <w:pPr>
        <w:ind w:left="5040" w:hanging="360"/>
      </w:pPr>
    </w:lvl>
    <w:lvl w:ilvl="7" w:tplc="E488EBA8" w:tentative="1">
      <w:start w:val="1"/>
      <w:numFmt w:val="lowerLetter"/>
      <w:lvlText w:val="%8."/>
      <w:lvlJc w:val="left"/>
      <w:pPr>
        <w:ind w:left="5760" w:hanging="360"/>
      </w:pPr>
    </w:lvl>
    <w:lvl w:ilvl="8" w:tplc="21FAE9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FA1899"/>
    <w:multiLevelType w:val="hybridMultilevel"/>
    <w:tmpl w:val="60F40840"/>
    <w:lvl w:ilvl="0" w:tplc="A9269168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C28C2BC0" w:tentative="1">
      <w:start w:val="1"/>
      <w:numFmt w:val="lowerLetter"/>
      <w:lvlText w:val="%2."/>
      <w:lvlJc w:val="left"/>
      <w:pPr>
        <w:ind w:left="1647" w:hanging="360"/>
      </w:pPr>
    </w:lvl>
    <w:lvl w:ilvl="2" w:tplc="A8B8323A" w:tentative="1">
      <w:start w:val="1"/>
      <w:numFmt w:val="lowerRoman"/>
      <w:lvlText w:val="%3."/>
      <w:lvlJc w:val="right"/>
      <w:pPr>
        <w:ind w:left="2367" w:hanging="180"/>
      </w:pPr>
    </w:lvl>
    <w:lvl w:ilvl="3" w:tplc="3074339E" w:tentative="1">
      <w:start w:val="1"/>
      <w:numFmt w:val="decimal"/>
      <w:lvlText w:val="%4."/>
      <w:lvlJc w:val="left"/>
      <w:pPr>
        <w:ind w:left="3087" w:hanging="360"/>
      </w:pPr>
    </w:lvl>
    <w:lvl w:ilvl="4" w:tplc="C0F05BF0" w:tentative="1">
      <w:start w:val="1"/>
      <w:numFmt w:val="lowerLetter"/>
      <w:lvlText w:val="%5."/>
      <w:lvlJc w:val="left"/>
      <w:pPr>
        <w:ind w:left="3807" w:hanging="360"/>
      </w:pPr>
    </w:lvl>
    <w:lvl w:ilvl="5" w:tplc="7C764900" w:tentative="1">
      <w:start w:val="1"/>
      <w:numFmt w:val="lowerRoman"/>
      <w:lvlText w:val="%6."/>
      <w:lvlJc w:val="right"/>
      <w:pPr>
        <w:ind w:left="4527" w:hanging="180"/>
      </w:pPr>
    </w:lvl>
    <w:lvl w:ilvl="6" w:tplc="15C6D42E" w:tentative="1">
      <w:start w:val="1"/>
      <w:numFmt w:val="decimal"/>
      <w:lvlText w:val="%7."/>
      <w:lvlJc w:val="left"/>
      <w:pPr>
        <w:ind w:left="5247" w:hanging="360"/>
      </w:pPr>
    </w:lvl>
    <w:lvl w:ilvl="7" w:tplc="92B47A1E" w:tentative="1">
      <w:start w:val="1"/>
      <w:numFmt w:val="lowerLetter"/>
      <w:lvlText w:val="%8."/>
      <w:lvlJc w:val="left"/>
      <w:pPr>
        <w:ind w:left="5967" w:hanging="360"/>
      </w:pPr>
    </w:lvl>
    <w:lvl w:ilvl="8" w:tplc="5CE2B98C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3A318F3"/>
    <w:multiLevelType w:val="hybridMultilevel"/>
    <w:tmpl w:val="B78A967E"/>
    <w:lvl w:ilvl="0" w:tplc="0996194A">
      <w:start w:val="1"/>
      <w:numFmt w:val="lowerLetter"/>
      <w:lvlText w:val="%1)"/>
      <w:lvlJc w:val="left"/>
      <w:pPr>
        <w:ind w:left="1287" w:hanging="360"/>
      </w:pPr>
    </w:lvl>
    <w:lvl w:ilvl="1" w:tplc="9EAC9FF4" w:tentative="1">
      <w:start w:val="1"/>
      <w:numFmt w:val="lowerLetter"/>
      <w:lvlText w:val="%2."/>
      <w:lvlJc w:val="left"/>
      <w:pPr>
        <w:ind w:left="2007" w:hanging="360"/>
      </w:pPr>
    </w:lvl>
    <w:lvl w:ilvl="2" w:tplc="F9061AB2" w:tentative="1">
      <w:start w:val="1"/>
      <w:numFmt w:val="lowerRoman"/>
      <w:lvlText w:val="%3."/>
      <w:lvlJc w:val="right"/>
      <w:pPr>
        <w:ind w:left="2727" w:hanging="180"/>
      </w:pPr>
    </w:lvl>
    <w:lvl w:ilvl="3" w:tplc="9D3482FC" w:tentative="1">
      <w:start w:val="1"/>
      <w:numFmt w:val="decimal"/>
      <w:lvlText w:val="%4."/>
      <w:lvlJc w:val="left"/>
      <w:pPr>
        <w:ind w:left="3447" w:hanging="360"/>
      </w:pPr>
    </w:lvl>
    <w:lvl w:ilvl="4" w:tplc="A3D6DCCA" w:tentative="1">
      <w:start w:val="1"/>
      <w:numFmt w:val="lowerLetter"/>
      <w:lvlText w:val="%5."/>
      <w:lvlJc w:val="left"/>
      <w:pPr>
        <w:ind w:left="4167" w:hanging="360"/>
      </w:pPr>
    </w:lvl>
    <w:lvl w:ilvl="5" w:tplc="B0E016D8" w:tentative="1">
      <w:start w:val="1"/>
      <w:numFmt w:val="lowerRoman"/>
      <w:lvlText w:val="%6."/>
      <w:lvlJc w:val="right"/>
      <w:pPr>
        <w:ind w:left="4887" w:hanging="180"/>
      </w:pPr>
    </w:lvl>
    <w:lvl w:ilvl="6" w:tplc="DCCE84BC" w:tentative="1">
      <w:start w:val="1"/>
      <w:numFmt w:val="decimal"/>
      <w:lvlText w:val="%7."/>
      <w:lvlJc w:val="left"/>
      <w:pPr>
        <w:ind w:left="5607" w:hanging="360"/>
      </w:pPr>
    </w:lvl>
    <w:lvl w:ilvl="7" w:tplc="98CA1968" w:tentative="1">
      <w:start w:val="1"/>
      <w:numFmt w:val="lowerLetter"/>
      <w:lvlText w:val="%8."/>
      <w:lvlJc w:val="left"/>
      <w:pPr>
        <w:ind w:left="6327" w:hanging="360"/>
      </w:pPr>
    </w:lvl>
    <w:lvl w:ilvl="8" w:tplc="3258A8A6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46EA3AB7"/>
    <w:multiLevelType w:val="hybridMultilevel"/>
    <w:tmpl w:val="37D8B1A8"/>
    <w:lvl w:ilvl="0" w:tplc="76006DC6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C73822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405D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B21F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C688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61EBB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C4EC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B208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EB406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C87062"/>
    <w:multiLevelType w:val="hybridMultilevel"/>
    <w:tmpl w:val="7E74B532"/>
    <w:lvl w:ilvl="0" w:tplc="0D6AECB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1F0478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E8A63E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3A286D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0BE96D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A28A2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0A8549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024B75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95E6DC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0551E38"/>
    <w:multiLevelType w:val="hybridMultilevel"/>
    <w:tmpl w:val="374E39A0"/>
    <w:lvl w:ilvl="0" w:tplc="CE9CE222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B6545A92">
      <w:start w:val="1"/>
      <w:numFmt w:val="lowerLetter"/>
      <w:lvlText w:val="%2."/>
      <w:lvlJc w:val="left"/>
      <w:pPr>
        <w:ind w:left="2007" w:hanging="360"/>
      </w:pPr>
    </w:lvl>
    <w:lvl w:ilvl="2" w:tplc="EF646484" w:tentative="1">
      <w:start w:val="1"/>
      <w:numFmt w:val="lowerRoman"/>
      <w:lvlText w:val="%3."/>
      <w:lvlJc w:val="right"/>
      <w:pPr>
        <w:ind w:left="2727" w:hanging="180"/>
      </w:pPr>
    </w:lvl>
    <w:lvl w:ilvl="3" w:tplc="820EE4CE" w:tentative="1">
      <w:start w:val="1"/>
      <w:numFmt w:val="decimal"/>
      <w:lvlText w:val="%4."/>
      <w:lvlJc w:val="left"/>
      <w:pPr>
        <w:ind w:left="3447" w:hanging="360"/>
      </w:pPr>
    </w:lvl>
    <w:lvl w:ilvl="4" w:tplc="4BA4309A" w:tentative="1">
      <w:start w:val="1"/>
      <w:numFmt w:val="lowerLetter"/>
      <w:lvlText w:val="%5."/>
      <w:lvlJc w:val="left"/>
      <w:pPr>
        <w:ind w:left="4167" w:hanging="360"/>
      </w:pPr>
    </w:lvl>
    <w:lvl w:ilvl="5" w:tplc="DFA6872C" w:tentative="1">
      <w:start w:val="1"/>
      <w:numFmt w:val="lowerRoman"/>
      <w:lvlText w:val="%6."/>
      <w:lvlJc w:val="right"/>
      <w:pPr>
        <w:ind w:left="4887" w:hanging="180"/>
      </w:pPr>
    </w:lvl>
    <w:lvl w:ilvl="6" w:tplc="29E0EABA" w:tentative="1">
      <w:start w:val="1"/>
      <w:numFmt w:val="decimal"/>
      <w:lvlText w:val="%7."/>
      <w:lvlJc w:val="left"/>
      <w:pPr>
        <w:ind w:left="5607" w:hanging="360"/>
      </w:pPr>
    </w:lvl>
    <w:lvl w:ilvl="7" w:tplc="8684E6A2" w:tentative="1">
      <w:start w:val="1"/>
      <w:numFmt w:val="lowerLetter"/>
      <w:lvlText w:val="%8."/>
      <w:lvlJc w:val="left"/>
      <w:pPr>
        <w:ind w:left="6327" w:hanging="360"/>
      </w:pPr>
    </w:lvl>
    <w:lvl w:ilvl="8" w:tplc="7458C200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1C41F03"/>
    <w:multiLevelType w:val="hybridMultilevel"/>
    <w:tmpl w:val="F2AC5F32"/>
    <w:lvl w:ilvl="0" w:tplc="DB38B756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011AA99C" w:tentative="1">
      <w:start w:val="1"/>
      <w:numFmt w:val="lowerLetter"/>
      <w:lvlText w:val="%2."/>
      <w:lvlJc w:val="left"/>
      <w:pPr>
        <w:ind w:left="2007" w:hanging="360"/>
      </w:pPr>
    </w:lvl>
    <w:lvl w:ilvl="2" w:tplc="6958D980" w:tentative="1">
      <w:start w:val="1"/>
      <w:numFmt w:val="lowerRoman"/>
      <w:lvlText w:val="%3."/>
      <w:lvlJc w:val="right"/>
      <w:pPr>
        <w:ind w:left="2727" w:hanging="180"/>
      </w:pPr>
    </w:lvl>
    <w:lvl w:ilvl="3" w:tplc="8AD6CB26" w:tentative="1">
      <w:start w:val="1"/>
      <w:numFmt w:val="decimal"/>
      <w:lvlText w:val="%4."/>
      <w:lvlJc w:val="left"/>
      <w:pPr>
        <w:ind w:left="3447" w:hanging="360"/>
      </w:pPr>
    </w:lvl>
    <w:lvl w:ilvl="4" w:tplc="EBEA08FA" w:tentative="1">
      <w:start w:val="1"/>
      <w:numFmt w:val="lowerLetter"/>
      <w:lvlText w:val="%5."/>
      <w:lvlJc w:val="left"/>
      <w:pPr>
        <w:ind w:left="4167" w:hanging="360"/>
      </w:pPr>
    </w:lvl>
    <w:lvl w:ilvl="5" w:tplc="D21280A4" w:tentative="1">
      <w:start w:val="1"/>
      <w:numFmt w:val="lowerRoman"/>
      <w:lvlText w:val="%6."/>
      <w:lvlJc w:val="right"/>
      <w:pPr>
        <w:ind w:left="4887" w:hanging="180"/>
      </w:pPr>
    </w:lvl>
    <w:lvl w:ilvl="6" w:tplc="A904A814" w:tentative="1">
      <w:start w:val="1"/>
      <w:numFmt w:val="decimal"/>
      <w:lvlText w:val="%7."/>
      <w:lvlJc w:val="left"/>
      <w:pPr>
        <w:ind w:left="5607" w:hanging="360"/>
      </w:pPr>
    </w:lvl>
    <w:lvl w:ilvl="7" w:tplc="98E64FFC" w:tentative="1">
      <w:start w:val="1"/>
      <w:numFmt w:val="lowerLetter"/>
      <w:lvlText w:val="%8."/>
      <w:lvlJc w:val="left"/>
      <w:pPr>
        <w:ind w:left="6327" w:hanging="360"/>
      </w:pPr>
    </w:lvl>
    <w:lvl w:ilvl="8" w:tplc="E318B656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60740AD7"/>
    <w:multiLevelType w:val="hybridMultilevel"/>
    <w:tmpl w:val="3528AB2C"/>
    <w:lvl w:ilvl="0" w:tplc="7FBCCA2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CAF254F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E48402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99AD1C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E76154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74A647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248D10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504AA3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ECCC48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1AC3EB3"/>
    <w:multiLevelType w:val="hybridMultilevel"/>
    <w:tmpl w:val="11B0C96A"/>
    <w:lvl w:ilvl="0" w:tplc="CFC4474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B0FE6D7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B34132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C6251E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C0C40B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6B82C4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214AC9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51605E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E7E0C8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CE0AE6"/>
    <w:multiLevelType w:val="hybridMultilevel"/>
    <w:tmpl w:val="702A621E"/>
    <w:lvl w:ilvl="0" w:tplc="8A0443FC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7F682EE4" w:tentative="1">
      <w:start w:val="1"/>
      <w:numFmt w:val="lowerLetter"/>
      <w:lvlText w:val="%2."/>
      <w:lvlJc w:val="left"/>
      <w:pPr>
        <w:ind w:left="2007" w:hanging="360"/>
      </w:pPr>
    </w:lvl>
    <w:lvl w:ilvl="2" w:tplc="6108E874" w:tentative="1">
      <w:start w:val="1"/>
      <w:numFmt w:val="lowerRoman"/>
      <w:lvlText w:val="%3."/>
      <w:lvlJc w:val="right"/>
      <w:pPr>
        <w:ind w:left="2727" w:hanging="180"/>
      </w:pPr>
    </w:lvl>
    <w:lvl w:ilvl="3" w:tplc="60EE03E6" w:tentative="1">
      <w:start w:val="1"/>
      <w:numFmt w:val="decimal"/>
      <w:lvlText w:val="%4."/>
      <w:lvlJc w:val="left"/>
      <w:pPr>
        <w:ind w:left="3447" w:hanging="360"/>
      </w:pPr>
    </w:lvl>
    <w:lvl w:ilvl="4" w:tplc="080863B0" w:tentative="1">
      <w:start w:val="1"/>
      <w:numFmt w:val="lowerLetter"/>
      <w:lvlText w:val="%5."/>
      <w:lvlJc w:val="left"/>
      <w:pPr>
        <w:ind w:left="4167" w:hanging="360"/>
      </w:pPr>
    </w:lvl>
    <w:lvl w:ilvl="5" w:tplc="F35E1D06" w:tentative="1">
      <w:start w:val="1"/>
      <w:numFmt w:val="lowerRoman"/>
      <w:lvlText w:val="%6."/>
      <w:lvlJc w:val="right"/>
      <w:pPr>
        <w:ind w:left="4887" w:hanging="180"/>
      </w:pPr>
    </w:lvl>
    <w:lvl w:ilvl="6" w:tplc="D0D07960" w:tentative="1">
      <w:start w:val="1"/>
      <w:numFmt w:val="decimal"/>
      <w:lvlText w:val="%7."/>
      <w:lvlJc w:val="left"/>
      <w:pPr>
        <w:ind w:left="5607" w:hanging="360"/>
      </w:pPr>
    </w:lvl>
    <w:lvl w:ilvl="7" w:tplc="DF9A9116" w:tentative="1">
      <w:start w:val="1"/>
      <w:numFmt w:val="lowerLetter"/>
      <w:lvlText w:val="%8."/>
      <w:lvlJc w:val="left"/>
      <w:pPr>
        <w:ind w:left="6327" w:hanging="360"/>
      </w:pPr>
    </w:lvl>
    <w:lvl w:ilvl="8" w:tplc="9934C87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653B4BA9"/>
    <w:multiLevelType w:val="hybridMultilevel"/>
    <w:tmpl w:val="99A61BBC"/>
    <w:lvl w:ilvl="0" w:tplc="74C04C46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7228D44A" w:tentative="1">
      <w:start w:val="1"/>
      <w:numFmt w:val="lowerLetter"/>
      <w:lvlText w:val="%2."/>
      <w:lvlJc w:val="left"/>
      <w:pPr>
        <w:ind w:left="2007" w:hanging="360"/>
      </w:pPr>
    </w:lvl>
    <w:lvl w:ilvl="2" w:tplc="DAA69584" w:tentative="1">
      <w:start w:val="1"/>
      <w:numFmt w:val="lowerRoman"/>
      <w:lvlText w:val="%3."/>
      <w:lvlJc w:val="right"/>
      <w:pPr>
        <w:ind w:left="2727" w:hanging="180"/>
      </w:pPr>
    </w:lvl>
    <w:lvl w:ilvl="3" w:tplc="6164B624" w:tentative="1">
      <w:start w:val="1"/>
      <w:numFmt w:val="decimal"/>
      <w:lvlText w:val="%4."/>
      <w:lvlJc w:val="left"/>
      <w:pPr>
        <w:ind w:left="3447" w:hanging="360"/>
      </w:pPr>
    </w:lvl>
    <w:lvl w:ilvl="4" w:tplc="0D40C88E" w:tentative="1">
      <w:start w:val="1"/>
      <w:numFmt w:val="lowerLetter"/>
      <w:lvlText w:val="%5."/>
      <w:lvlJc w:val="left"/>
      <w:pPr>
        <w:ind w:left="4167" w:hanging="360"/>
      </w:pPr>
    </w:lvl>
    <w:lvl w:ilvl="5" w:tplc="6DA49EE4" w:tentative="1">
      <w:start w:val="1"/>
      <w:numFmt w:val="lowerRoman"/>
      <w:lvlText w:val="%6."/>
      <w:lvlJc w:val="right"/>
      <w:pPr>
        <w:ind w:left="4887" w:hanging="180"/>
      </w:pPr>
    </w:lvl>
    <w:lvl w:ilvl="6" w:tplc="077C7F8E" w:tentative="1">
      <w:start w:val="1"/>
      <w:numFmt w:val="decimal"/>
      <w:lvlText w:val="%7."/>
      <w:lvlJc w:val="left"/>
      <w:pPr>
        <w:ind w:left="5607" w:hanging="360"/>
      </w:pPr>
    </w:lvl>
    <w:lvl w:ilvl="7" w:tplc="C980CCE8" w:tentative="1">
      <w:start w:val="1"/>
      <w:numFmt w:val="lowerLetter"/>
      <w:lvlText w:val="%8."/>
      <w:lvlJc w:val="left"/>
      <w:pPr>
        <w:ind w:left="6327" w:hanging="360"/>
      </w:pPr>
    </w:lvl>
    <w:lvl w:ilvl="8" w:tplc="78864E76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6A0D522A"/>
    <w:multiLevelType w:val="hybridMultilevel"/>
    <w:tmpl w:val="97A886DE"/>
    <w:lvl w:ilvl="0" w:tplc="9F2A8694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4060F810" w:tentative="1">
      <w:start w:val="1"/>
      <w:numFmt w:val="lowerLetter"/>
      <w:lvlText w:val="%2."/>
      <w:lvlJc w:val="left"/>
      <w:pPr>
        <w:ind w:left="2007" w:hanging="360"/>
      </w:pPr>
    </w:lvl>
    <w:lvl w:ilvl="2" w:tplc="2BDA97A6" w:tentative="1">
      <w:start w:val="1"/>
      <w:numFmt w:val="lowerRoman"/>
      <w:lvlText w:val="%3."/>
      <w:lvlJc w:val="right"/>
      <w:pPr>
        <w:ind w:left="2727" w:hanging="180"/>
      </w:pPr>
    </w:lvl>
    <w:lvl w:ilvl="3" w:tplc="3334CBB4" w:tentative="1">
      <w:start w:val="1"/>
      <w:numFmt w:val="decimal"/>
      <w:lvlText w:val="%4."/>
      <w:lvlJc w:val="left"/>
      <w:pPr>
        <w:ind w:left="3447" w:hanging="360"/>
      </w:pPr>
    </w:lvl>
    <w:lvl w:ilvl="4" w:tplc="455673D2" w:tentative="1">
      <w:start w:val="1"/>
      <w:numFmt w:val="lowerLetter"/>
      <w:lvlText w:val="%5."/>
      <w:lvlJc w:val="left"/>
      <w:pPr>
        <w:ind w:left="4167" w:hanging="360"/>
      </w:pPr>
    </w:lvl>
    <w:lvl w:ilvl="5" w:tplc="BC0A6482" w:tentative="1">
      <w:start w:val="1"/>
      <w:numFmt w:val="lowerRoman"/>
      <w:lvlText w:val="%6."/>
      <w:lvlJc w:val="right"/>
      <w:pPr>
        <w:ind w:left="4887" w:hanging="180"/>
      </w:pPr>
    </w:lvl>
    <w:lvl w:ilvl="6" w:tplc="58F65616" w:tentative="1">
      <w:start w:val="1"/>
      <w:numFmt w:val="decimal"/>
      <w:lvlText w:val="%7."/>
      <w:lvlJc w:val="left"/>
      <w:pPr>
        <w:ind w:left="5607" w:hanging="360"/>
      </w:pPr>
    </w:lvl>
    <w:lvl w:ilvl="7" w:tplc="FBE292B8" w:tentative="1">
      <w:start w:val="1"/>
      <w:numFmt w:val="lowerLetter"/>
      <w:lvlText w:val="%8."/>
      <w:lvlJc w:val="left"/>
      <w:pPr>
        <w:ind w:left="6327" w:hanging="360"/>
      </w:pPr>
    </w:lvl>
    <w:lvl w:ilvl="8" w:tplc="2BB2C996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6CE31269"/>
    <w:multiLevelType w:val="hybridMultilevel"/>
    <w:tmpl w:val="DA8CA894"/>
    <w:lvl w:ilvl="0" w:tplc="CFC8E5F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9BE2D3F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0DCD79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876214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624D65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5D20DC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BA240A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9C88CD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F96E16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62722412">
    <w:abstractNumId w:val="9"/>
  </w:num>
  <w:num w:numId="2" w16cid:durableId="531192585">
    <w:abstractNumId w:val="9"/>
  </w:num>
  <w:num w:numId="3" w16cid:durableId="688719978">
    <w:abstractNumId w:val="7"/>
  </w:num>
  <w:num w:numId="4" w16cid:durableId="1171917438">
    <w:abstractNumId w:val="7"/>
  </w:num>
  <w:num w:numId="5" w16cid:durableId="672685174">
    <w:abstractNumId w:val="6"/>
  </w:num>
  <w:num w:numId="6" w16cid:durableId="1706825671">
    <w:abstractNumId w:val="6"/>
  </w:num>
  <w:num w:numId="7" w16cid:durableId="1770201383">
    <w:abstractNumId w:val="5"/>
  </w:num>
  <w:num w:numId="8" w16cid:durableId="1738548521">
    <w:abstractNumId w:val="5"/>
  </w:num>
  <w:num w:numId="9" w16cid:durableId="1397968239">
    <w:abstractNumId w:val="4"/>
  </w:num>
  <w:num w:numId="10" w16cid:durableId="1356224145">
    <w:abstractNumId w:val="4"/>
  </w:num>
  <w:num w:numId="11" w16cid:durableId="1209873196">
    <w:abstractNumId w:val="8"/>
  </w:num>
  <w:num w:numId="12" w16cid:durableId="751051108">
    <w:abstractNumId w:val="8"/>
  </w:num>
  <w:num w:numId="13" w16cid:durableId="2082830049">
    <w:abstractNumId w:val="3"/>
  </w:num>
  <w:num w:numId="14" w16cid:durableId="1289431299">
    <w:abstractNumId w:val="3"/>
  </w:num>
  <w:num w:numId="15" w16cid:durableId="524294539">
    <w:abstractNumId w:val="2"/>
  </w:num>
  <w:num w:numId="16" w16cid:durableId="1410618520">
    <w:abstractNumId w:val="2"/>
  </w:num>
  <w:num w:numId="17" w16cid:durableId="125514317">
    <w:abstractNumId w:val="1"/>
  </w:num>
  <w:num w:numId="18" w16cid:durableId="1006057473">
    <w:abstractNumId w:val="1"/>
  </w:num>
  <w:num w:numId="19" w16cid:durableId="1985309738">
    <w:abstractNumId w:val="0"/>
  </w:num>
  <w:num w:numId="20" w16cid:durableId="1240602477">
    <w:abstractNumId w:val="0"/>
  </w:num>
  <w:num w:numId="21" w16cid:durableId="1107457784">
    <w:abstractNumId w:val="9"/>
  </w:num>
  <w:num w:numId="22" w16cid:durableId="1130856324">
    <w:abstractNumId w:val="7"/>
  </w:num>
  <w:num w:numId="23" w16cid:durableId="1727142814">
    <w:abstractNumId w:val="6"/>
  </w:num>
  <w:num w:numId="24" w16cid:durableId="111049305">
    <w:abstractNumId w:val="5"/>
  </w:num>
  <w:num w:numId="25" w16cid:durableId="956326280">
    <w:abstractNumId w:val="4"/>
  </w:num>
  <w:num w:numId="26" w16cid:durableId="1034235064">
    <w:abstractNumId w:val="8"/>
  </w:num>
  <w:num w:numId="27" w16cid:durableId="1232885594">
    <w:abstractNumId w:val="3"/>
  </w:num>
  <w:num w:numId="28" w16cid:durableId="217210116">
    <w:abstractNumId w:val="2"/>
  </w:num>
  <w:num w:numId="29" w16cid:durableId="476075216">
    <w:abstractNumId w:val="1"/>
  </w:num>
  <w:num w:numId="30" w16cid:durableId="1290739520">
    <w:abstractNumId w:val="0"/>
  </w:num>
  <w:num w:numId="31" w16cid:durableId="1160540923">
    <w:abstractNumId w:val="9"/>
  </w:num>
  <w:num w:numId="32" w16cid:durableId="1422262308">
    <w:abstractNumId w:val="7"/>
  </w:num>
  <w:num w:numId="33" w16cid:durableId="1530754230">
    <w:abstractNumId w:val="6"/>
  </w:num>
  <w:num w:numId="34" w16cid:durableId="1738626549">
    <w:abstractNumId w:val="5"/>
  </w:num>
  <w:num w:numId="35" w16cid:durableId="1809200120">
    <w:abstractNumId w:val="4"/>
  </w:num>
  <w:num w:numId="36" w16cid:durableId="1295679444">
    <w:abstractNumId w:val="8"/>
  </w:num>
  <w:num w:numId="37" w16cid:durableId="1416365839">
    <w:abstractNumId w:val="3"/>
  </w:num>
  <w:num w:numId="38" w16cid:durableId="561406607">
    <w:abstractNumId w:val="2"/>
  </w:num>
  <w:num w:numId="39" w16cid:durableId="2087878255">
    <w:abstractNumId w:val="1"/>
  </w:num>
  <w:num w:numId="40" w16cid:durableId="1058940524">
    <w:abstractNumId w:val="0"/>
  </w:num>
  <w:num w:numId="41" w16cid:durableId="1732461072">
    <w:abstractNumId w:val="15"/>
  </w:num>
  <w:num w:numId="42" w16cid:durableId="424232563">
    <w:abstractNumId w:val="24"/>
  </w:num>
  <w:num w:numId="43" w16cid:durableId="245194089">
    <w:abstractNumId w:val="20"/>
  </w:num>
  <w:num w:numId="44" w16cid:durableId="1645356480">
    <w:abstractNumId w:val="23"/>
  </w:num>
  <w:num w:numId="45" w16cid:durableId="1067457206">
    <w:abstractNumId w:val="28"/>
  </w:num>
  <w:num w:numId="46" w16cid:durableId="1937253909">
    <w:abstractNumId w:val="19"/>
  </w:num>
  <w:num w:numId="47" w16cid:durableId="387143503">
    <w:abstractNumId w:val="10"/>
  </w:num>
  <w:num w:numId="48" w16cid:durableId="1209608354">
    <w:abstractNumId w:val="12"/>
  </w:num>
  <w:num w:numId="49" w16cid:durableId="1964536448">
    <w:abstractNumId w:val="17"/>
  </w:num>
  <w:num w:numId="50" w16cid:durableId="1127548729">
    <w:abstractNumId w:val="21"/>
  </w:num>
  <w:num w:numId="51" w16cid:durableId="2059815274">
    <w:abstractNumId w:val="14"/>
  </w:num>
  <w:num w:numId="52" w16cid:durableId="766509828">
    <w:abstractNumId w:val="27"/>
  </w:num>
  <w:num w:numId="53" w16cid:durableId="2042438963">
    <w:abstractNumId w:val="22"/>
  </w:num>
  <w:num w:numId="54" w16cid:durableId="1556896433">
    <w:abstractNumId w:val="11"/>
  </w:num>
  <w:num w:numId="55" w16cid:durableId="1838155668">
    <w:abstractNumId w:val="26"/>
  </w:num>
  <w:num w:numId="56" w16cid:durableId="652832834">
    <w:abstractNumId w:val="25"/>
  </w:num>
  <w:num w:numId="57" w16cid:durableId="378357508">
    <w:abstractNumId w:val="16"/>
  </w:num>
  <w:num w:numId="58" w16cid:durableId="1113943591">
    <w:abstractNumId w:val="13"/>
  </w:num>
  <w:num w:numId="59" w16cid:durableId="1269462809">
    <w:abstractNumId w:val="18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KEY" w:val="AFET"/>
    <w:docVar w:name="INSTMNU" w:val=" 1"/>
    <w:docVar w:name="LastEditedSection" w:val=" 1"/>
    <w:docVar w:name="strDocTypeID" w:val="PR_INI_RecommCFSP"/>
    <w:docVar w:name="strSubDir" w:val="1329"/>
    <w:docVar w:name="TXTLANGUE" w:val="EN"/>
    <w:docVar w:name="TXTLANGUEMIN" w:val="en"/>
    <w:docVar w:name="TXTNRINI" w:val="2025/2167"/>
    <w:docVar w:name="TXTNRPE" w:val="778.304"/>
    <w:docVar w:name="TXTPEorAP" w:val="PE"/>
    <w:docVar w:name="TXTROUTE" w:val="PR\1329698EN.docx"/>
    <w:docVar w:name="TXTVERSION" w:val="01-00"/>
  </w:docVars>
  <w:rsids>
    <w:rsidRoot w:val="00896B9D"/>
    <w:rsid w:val="000005E5"/>
    <w:rsid w:val="0000194F"/>
    <w:rsid w:val="00001993"/>
    <w:rsid w:val="00005D56"/>
    <w:rsid w:val="0000601D"/>
    <w:rsid w:val="00010437"/>
    <w:rsid w:val="00011E6C"/>
    <w:rsid w:val="000249F8"/>
    <w:rsid w:val="0003404E"/>
    <w:rsid w:val="00047338"/>
    <w:rsid w:val="00051D6A"/>
    <w:rsid w:val="00053087"/>
    <w:rsid w:val="000573D8"/>
    <w:rsid w:val="00060690"/>
    <w:rsid w:val="00063E41"/>
    <w:rsid w:val="00095574"/>
    <w:rsid w:val="000C5772"/>
    <w:rsid w:val="000E0E59"/>
    <w:rsid w:val="000E3309"/>
    <w:rsid w:val="000E74AE"/>
    <w:rsid w:val="00130D7C"/>
    <w:rsid w:val="00142781"/>
    <w:rsid w:val="00144AD8"/>
    <w:rsid w:val="001473DA"/>
    <w:rsid w:val="001533B4"/>
    <w:rsid w:val="00153724"/>
    <w:rsid w:val="00160CE3"/>
    <w:rsid w:val="00160F77"/>
    <w:rsid w:val="001626C5"/>
    <w:rsid w:val="00172D15"/>
    <w:rsid w:val="001B22EB"/>
    <w:rsid w:val="001B28D9"/>
    <w:rsid w:val="001B71F5"/>
    <w:rsid w:val="001D7320"/>
    <w:rsid w:val="001E57B1"/>
    <w:rsid w:val="001E58B8"/>
    <w:rsid w:val="001F12C4"/>
    <w:rsid w:val="001F245B"/>
    <w:rsid w:val="00213E6B"/>
    <w:rsid w:val="00234B03"/>
    <w:rsid w:val="002435D4"/>
    <w:rsid w:val="0024591C"/>
    <w:rsid w:val="00267945"/>
    <w:rsid w:val="00283CFE"/>
    <w:rsid w:val="0028506D"/>
    <w:rsid w:val="00296EE3"/>
    <w:rsid w:val="002972DF"/>
    <w:rsid w:val="00297376"/>
    <w:rsid w:val="002A02CE"/>
    <w:rsid w:val="002D5B10"/>
    <w:rsid w:val="002E3E37"/>
    <w:rsid w:val="002F0B22"/>
    <w:rsid w:val="003103CD"/>
    <w:rsid w:val="0032649C"/>
    <w:rsid w:val="0034322A"/>
    <w:rsid w:val="00377DF6"/>
    <w:rsid w:val="00377FCF"/>
    <w:rsid w:val="00387276"/>
    <w:rsid w:val="00387C58"/>
    <w:rsid w:val="00392B01"/>
    <w:rsid w:val="00392F42"/>
    <w:rsid w:val="00395147"/>
    <w:rsid w:val="003953D8"/>
    <w:rsid w:val="003A4F37"/>
    <w:rsid w:val="003B082D"/>
    <w:rsid w:val="003B67C0"/>
    <w:rsid w:val="003D0074"/>
    <w:rsid w:val="003D3EDC"/>
    <w:rsid w:val="003D4380"/>
    <w:rsid w:val="003E7114"/>
    <w:rsid w:val="003F08E9"/>
    <w:rsid w:val="003F256C"/>
    <w:rsid w:val="003F70E3"/>
    <w:rsid w:val="00412608"/>
    <w:rsid w:val="004137F0"/>
    <w:rsid w:val="00421A09"/>
    <w:rsid w:val="00426224"/>
    <w:rsid w:val="0043008B"/>
    <w:rsid w:val="00434A68"/>
    <w:rsid w:val="0044257E"/>
    <w:rsid w:val="004543C4"/>
    <w:rsid w:val="00465C64"/>
    <w:rsid w:val="00473FC5"/>
    <w:rsid w:val="0048348D"/>
    <w:rsid w:val="00490D80"/>
    <w:rsid w:val="004970D8"/>
    <w:rsid w:val="004A05EC"/>
    <w:rsid w:val="004A388E"/>
    <w:rsid w:val="004A38C8"/>
    <w:rsid w:val="004A5141"/>
    <w:rsid w:val="004A6F8C"/>
    <w:rsid w:val="004C2629"/>
    <w:rsid w:val="004C286D"/>
    <w:rsid w:val="004D4354"/>
    <w:rsid w:val="004E27E4"/>
    <w:rsid w:val="004F72C4"/>
    <w:rsid w:val="00536232"/>
    <w:rsid w:val="00541D23"/>
    <w:rsid w:val="00546311"/>
    <w:rsid w:val="005566D7"/>
    <w:rsid w:val="00557050"/>
    <w:rsid w:val="005577F1"/>
    <w:rsid w:val="005725F7"/>
    <w:rsid w:val="005819EE"/>
    <w:rsid w:val="0059466B"/>
    <w:rsid w:val="005975FC"/>
    <w:rsid w:val="005B779C"/>
    <w:rsid w:val="005C3BEE"/>
    <w:rsid w:val="005D3013"/>
    <w:rsid w:val="005F23B4"/>
    <w:rsid w:val="005F6070"/>
    <w:rsid w:val="006001F6"/>
    <w:rsid w:val="0060431D"/>
    <w:rsid w:val="00607739"/>
    <w:rsid w:val="00625E57"/>
    <w:rsid w:val="00626655"/>
    <w:rsid w:val="0062719E"/>
    <w:rsid w:val="00627DF1"/>
    <w:rsid w:val="00633117"/>
    <w:rsid w:val="006419A6"/>
    <w:rsid w:val="00643211"/>
    <w:rsid w:val="00651090"/>
    <w:rsid w:val="00667763"/>
    <w:rsid w:val="006818D2"/>
    <w:rsid w:val="00683038"/>
    <w:rsid w:val="00685A3C"/>
    <w:rsid w:val="00686DFF"/>
    <w:rsid w:val="00686FAA"/>
    <w:rsid w:val="0069495A"/>
    <w:rsid w:val="00694D4D"/>
    <w:rsid w:val="0069777F"/>
    <w:rsid w:val="006A553C"/>
    <w:rsid w:val="006A68FC"/>
    <w:rsid w:val="006B01BF"/>
    <w:rsid w:val="006D4C8E"/>
    <w:rsid w:val="006E3120"/>
    <w:rsid w:val="006E363A"/>
    <w:rsid w:val="006F61F5"/>
    <w:rsid w:val="00707E50"/>
    <w:rsid w:val="0072726C"/>
    <w:rsid w:val="00732D57"/>
    <w:rsid w:val="0074671C"/>
    <w:rsid w:val="0076195E"/>
    <w:rsid w:val="007625C8"/>
    <w:rsid w:val="00763A34"/>
    <w:rsid w:val="0077210C"/>
    <w:rsid w:val="00772C05"/>
    <w:rsid w:val="00774633"/>
    <w:rsid w:val="00775A9B"/>
    <w:rsid w:val="007A767E"/>
    <w:rsid w:val="007C4764"/>
    <w:rsid w:val="007C6A0B"/>
    <w:rsid w:val="007E620A"/>
    <w:rsid w:val="007F4C66"/>
    <w:rsid w:val="00805EF3"/>
    <w:rsid w:val="0081489C"/>
    <w:rsid w:val="00853909"/>
    <w:rsid w:val="00855A58"/>
    <w:rsid w:val="0086407B"/>
    <w:rsid w:val="00865AB2"/>
    <w:rsid w:val="00865B36"/>
    <w:rsid w:val="0087069C"/>
    <w:rsid w:val="00875597"/>
    <w:rsid w:val="00883536"/>
    <w:rsid w:val="0089120A"/>
    <w:rsid w:val="00896B9D"/>
    <w:rsid w:val="008B6C3B"/>
    <w:rsid w:val="008C7018"/>
    <w:rsid w:val="008D0C21"/>
    <w:rsid w:val="008F4BBF"/>
    <w:rsid w:val="00902C4B"/>
    <w:rsid w:val="009062FC"/>
    <w:rsid w:val="00925B6B"/>
    <w:rsid w:val="009302EC"/>
    <w:rsid w:val="00931782"/>
    <w:rsid w:val="00932701"/>
    <w:rsid w:val="009340AC"/>
    <w:rsid w:val="009406F3"/>
    <w:rsid w:val="00943CB3"/>
    <w:rsid w:val="009508B0"/>
    <w:rsid w:val="00962E3D"/>
    <w:rsid w:val="009730DA"/>
    <w:rsid w:val="00991AC5"/>
    <w:rsid w:val="00997666"/>
    <w:rsid w:val="009B2241"/>
    <w:rsid w:val="009B3734"/>
    <w:rsid w:val="009F5985"/>
    <w:rsid w:val="00A039E1"/>
    <w:rsid w:val="00A144CA"/>
    <w:rsid w:val="00A15424"/>
    <w:rsid w:val="00A22B21"/>
    <w:rsid w:val="00A322E1"/>
    <w:rsid w:val="00A53025"/>
    <w:rsid w:val="00A53DAA"/>
    <w:rsid w:val="00A57D8B"/>
    <w:rsid w:val="00A57F66"/>
    <w:rsid w:val="00A66266"/>
    <w:rsid w:val="00A70E79"/>
    <w:rsid w:val="00A75514"/>
    <w:rsid w:val="00A845D6"/>
    <w:rsid w:val="00AC616B"/>
    <w:rsid w:val="00AD477F"/>
    <w:rsid w:val="00AD573F"/>
    <w:rsid w:val="00AD6B38"/>
    <w:rsid w:val="00AE45B8"/>
    <w:rsid w:val="00AE6E67"/>
    <w:rsid w:val="00AF2187"/>
    <w:rsid w:val="00B036A6"/>
    <w:rsid w:val="00B06E6D"/>
    <w:rsid w:val="00B10048"/>
    <w:rsid w:val="00B10167"/>
    <w:rsid w:val="00B16514"/>
    <w:rsid w:val="00B26C55"/>
    <w:rsid w:val="00B35D8A"/>
    <w:rsid w:val="00B377C6"/>
    <w:rsid w:val="00B4478B"/>
    <w:rsid w:val="00B6527B"/>
    <w:rsid w:val="00B6642B"/>
    <w:rsid w:val="00B73D89"/>
    <w:rsid w:val="00B92130"/>
    <w:rsid w:val="00B970FB"/>
    <w:rsid w:val="00BC1FA6"/>
    <w:rsid w:val="00BD0444"/>
    <w:rsid w:val="00BD6D13"/>
    <w:rsid w:val="00BE1DB6"/>
    <w:rsid w:val="00BE7750"/>
    <w:rsid w:val="00C0044A"/>
    <w:rsid w:val="00C073E1"/>
    <w:rsid w:val="00C117BE"/>
    <w:rsid w:val="00C140C2"/>
    <w:rsid w:val="00C21893"/>
    <w:rsid w:val="00C3019B"/>
    <w:rsid w:val="00C479C8"/>
    <w:rsid w:val="00C47D1A"/>
    <w:rsid w:val="00C516E8"/>
    <w:rsid w:val="00C5392B"/>
    <w:rsid w:val="00C54679"/>
    <w:rsid w:val="00C60AB9"/>
    <w:rsid w:val="00C63A6A"/>
    <w:rsid w:val="00C71E45"/>
    <w:rsid w:val="00C7235E"/>
    <w:rsid w:val="00C7360B"/>
    <w:rsid w:val="00C77381"/>
    <w:rsid w:val="00C832B5"/>
    <w:rsid w:val="00C85D0F"/>
    <w:rsid w:val="00C8672E"/>
    <w:rsid w:val="00C87792"/>
    <w:rsid w:val="00C9640A"/>
    <w:rsid w:val="00CA0DE5"/>
    <w:rsid w:val="00CB2AC0"/>
    <w:rsid w:val="00CB5D63"/>
    <w:rsid w:val="00CD51C8"/>
    <w:rsid w:val="00CE4FE3"/>
    <w:rsid w:val="00CF5B71"/>
    <w:rsid w:val="00D3002E"/>
    <w:rsid w:val="00D33E14"/>
    <w:rsid w:val="00D34438"/>
    <w:rsid w:val="00D349C1"/>
    <w:rsid w:val="00D43BB7"/>
    <w:rsid w:val="00D45E75"/>
    <w:rsid w:val="00D71F90"/>
    <w:rsid w:val="00D7697D"/>
    <w:rsid w:val="00D82112"/>
    <w:rsid w:val="00D860C1"/>
    <w:rsid w:val="00D926CF"/>
    <w:rsid w:val="00DA0EF9"/>
    <w:rsid w:val="00DA1BEE"/>
    <w:rsid w:val="00DB2384"/>
    <w:rsid w:val="00DB4B85"/>
    <w:rsid w:val="00DD2480"/>
    <w:rsid w:val="00E048E2"/>
    <w:rsid w:val="00E05579"/>
    <w:rsid w:val="00E15200"/>
    <w:rsid w:val="00E21D05"/>
    <w:rsid w:val="00E24484"/>
    <w:rsid w:val="00E24B95"/>
    <w:rsid w:val="00E25FF4"/>
    <w:rsid w:val="00E26C78"/>
    <w:rsid w:val="00E33C6D"/>
    <w:rsid w:val="00E34F46"/>
    <w:rsid w:val="00E36C96"/>
    <w:rsid w:val="00E37E2C"/>
    <w:rsid w:val="00E559D4"/>
    <w:rsid w:val="00E60BDA"/>
    <w:rsid w:val="00E95D19"/>
    <w:rsid w:val="00EA624D"/>
    <w:rsid w:val="00EB03EC"/>
    <w:rsid w:val="00EE2CBB"/>
    <w:rsid w:val="00F0065E"/>
    <w:rsid w:val="00F103AD"/>
    <w:rsid w:val="00F21803"/>
    <w:rsid w:val="00F25BEA"/>
    <w:rsid w:val="00F31C85"/>
    <w:rsid w:val="00F36B44"/>
    <w:rsid w:val="00F42C93"/>
    <w:rsid w:val="00F617BF"/>
    <w:rsid w:val="00F65426"/>
    <w:rsid w:val="00F77182"/>
    <w:rsid w:val="00F83205"/>
    <w:rsid w:val="00F8404A"/>
    <w:rsid w:val="00F866AE"/>
    <w:rsid w:val="00F932BC"/>
    <w:rsid w:val="00F97447"/>
    <w:rsid w:val="00FA5E98"/>
    <w:rsid w:val="00FA7E38"/>
    <w:rsid w:val="00FB26C5"/>
    <w:rsid w:val="00FC504F"/>
    <w:rsid w:val="00FC5F47"/>
    <w:rsid w:val="00FD4651"/>
    <w:rsid w:val="00FD5BD0"/>
    <w:rsid w:val="00FF6089"/>
    <w:rsid w:val="00FF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C13C0F"/>
  <w15:chartTrackingRefBased/>
  <w15:docId w15:val="{E3D28F8C-4775-406B-B52C-1FB134907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4B03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144CA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05D5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qFormat/>
    <w:pPr>
      <w:spacing w:after="240"/>
      <w:ind w:left="567" w:hanging="567"/>
    </w:pPr>
  </w:style>
  <w:style w:type="paragraph" w:customStyle="1" w:styleId="EPName">
    <w:name w:val="EPName"/>
    <w:basedOn w:val="Normal"/>
    <w:rsid w:val="009340AC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C47D1A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6E363A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C47D1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6D4C8E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semiHidden/>
  </w:style>
  <w:style w:type="table" w:styleId="TableGrid">
    <w:name w:val="Table Grid"/>
    <w:basedOn w:val="TableNormal"/>
    <w:rsid w:val="00C72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7235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7235E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7235E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340AC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340AC"/>
    <w:pPr>
      <w:jc w:val="right"/>
    </w:pPr>
  </w:style>
  <w:style w:type="paragraph" w:customStyle="1" w:styleId="EPFooter">
    <w:name w:val="EPFooter"/>
    <w:basedOn w:val="Normal"/>
    <w:rsid w:val="00C47D1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6D4C8E"/>
    <w:rPr>
      <w:sz w:val="24"/>
    </w:rPr>
  </w:style>
  <w:style w:type="paragraph" w:customStyle="1" w:styleId="NormalHangingLeft12a">
    <w:name w:val="NormalHangingLeft12a"/>
    <w:basedOn w:val="Normal"/>
    <w:rsid w:val="00F65426"/>
    <w:pPr>
      <w:spacing w:after="240"/>
      <w:ind w:left="1134" w:hanging="567"/>
    </w:pPr>
  </w:style>
  <w:style w:type="paragraph" w:customStyle="1" w:styleId="Normal12a">
    <w:name w:val="Normal12a"/>
    <w:basedOn w:val="Normal"/>
    <w:rsid w:val="00902C4B"/>
    <w:pPr>
      <w:spacing w:after="240"/>
    </w:pPr>
  </w:style>
  <w:style w:type="paragraph" w:customStyle="1" w:styleId="NormalHanging">
    <w:name w:val="NormalHanging"/>
    <w:basedOn w:val="Normal"/>
    <w:rsid w:val="00CB5D63"/>
    <w:pPr>
      <w:spacing w:after="240"/>
      <w:ind w:left="566" w:hanging="566"/>
    </w:pPr>
    <w:rPr>
      <w:szCs w:val="24"/>
      <w:lang w:eastAsia="en-US"/>
    </w:rPr>
  </w:style>
  <w:style w:type="character" w:styleId="FootnoteReference">
    <w:name w:val="footnote reference"/>
    <w:basedOn w:val="DefaultParagraphFont"/>
    <w:rsid w:val="00CB5D63"/>
    <w:rPr>
      <w:vertAlign w:val="superscript"/>
    </w:rPr>
  </w:style>
  <w:style w:type="paragraph" w:styleId="FootnoteText">
    <w:name w:val="footnote text"/>
    <w:basedOn w:val="Normal"/>
    <w:link w:val="FootnoteTextChar"/>
    <w:rsid w:val="00CB5D63"/>
    <w:rPr>
      <w:sz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CB5D63"/>
    <w:rPr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CB5D63"/>
    <w:rPr>
      <w:sz w:val="24"/>
    </w:rPr>
  </w:style>
  <w:style w:type="paragraph" w:customStyle="1" w:styleId="Action">
    <w:name w:val="Action"/>
    <w:basedOn w:val="Normal"/>
    <w:rsid w:val="0043008B"/>
    <w:pPr>
      <w:keepNext/>
      <w:keepLines/>
      <w:tabs>
        <w:tab w:val="left" w:pos="357"/>
      </w:tabs>
      <w:spacing w:after="240"/>
      <w:ind w:left="357" w:hanging="357"/>
    </w:pPr>
    <w:rPr>
      <w:snapToGrid w:val="0"/>
      <w:lang w:eastAsia="en-US"/>
    </w:rPr>
  </w:style>
  <w:style w:type="paragraph" w:customStyle="1" w:styleId="Normal12">
    <w:name w:val="Normal12"/>
    <w:basedOn w:val="Normal"/>
    <w:rsid w:val="0043008B"/>
    <w:pPr>
      <w:spacing w:after="240"/>
    </w:pPr>
    <w:rPr>
      <w:szCs w:val="24"/>
      <w:lang w:eastAsia="en-US"/>
    </w:rPr>
  </w:style>
  <w:style w:type="character" w:styleId="Hyperlink">
    <w:name w:val="Hyperlink"/>
    <w:basedOn w:val="DefaultParagraphFont"/>
    <w:rsid w:val="0043008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F245B"/>
    <w:pPr>
      <w:widowControl/>
      <w:ind w:left="720"/>
      <w:contextualSpacing/>
      <w:jc w:val="both"/>
    </w:pPr>
    <w:rPr>
      <w:rFonts w:eastAsiaTheme="minorHAnsi"/>
      <w:kern w:val="2"/>
      <w:szCs w:val="24"/>
      <w:lang w:eastAsia="en-US"/>
      <w14:ligatures w14:val="standardContextual"/>
    </w:rPr>
  </w:style>
  <w:style w:type="paragraph" w:styleId="Revision">
    <w:name w:val="Revision"/>
    <w:hidden/>
    <w:uiPriority w:val="99"/>
    <w:semiHidden/>
    <w:rsid w:val="00A70E79"/>
    <w:rPr>
      <w:sz w:val="24"/>
    </w:rPr>
  </w:style>
  <w:style w:type="character" w:styleId="CommentReference">
    <w:name w:val="annotation reference"/>
    <w:basedOn w:val="DefaultParagraphFont"/>
    <w:rsid w:val="00A70E79"/>
    <w:rPr>
      <w:sz w:val="16"/>
      <w:szCs w:val="16"/>
    </w:rPr>
  </w:style>
  <w:style w:type="paragraph" w:styleId="CommentText">
    <w:name w:val="annotation text"/>
    <w:basedOn w:val="Normal"/>
    <w:link w:val="CommentTextChar"/>
    <w:rsid w:val="00A70E7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70E7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70E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70E79"/>
    <w:rPr>
      <w:b/>
      <w:bCs/>
    </w:rPr>
  </w:style>
  <w:style w:type="paragraph" w:customStyle="1" w:styleId="Normal24a">
    <w:name w:val="Normal24a"/>
    <w:basedOn w:val="Normal"/>
    <w:rsid w:val="006A553C"/>
    <w:pPr>
      <w:spacing w:after="480"/>
    </w:pPr>
  </w:style>
  <w:style w:type="paragraph" w:customStyle="1" w:styleId="NormalBoldCenter">
    <w:name w:val="NormalBoldCenter"/>
    <w:basedOn w:val="Normal"/>
    <w:rsid w:val="006A553C"/>
    <w:pPr>
      <w:jc w:val="center"/>
    </w:pPr>
    <w:rPr>
      <w:b/>
    </w:rPr>
  </w:style>
  <w:style w:type="paragraph" w:customStyle="1" w:styleId="Footprint12b">
    <w:name w:val="Footprint12b"/>
    <w:basedOn w:val="Normal"/>
    <w:rsid w:val="006A553C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6A553C"/>
    <w:rPr>
      <w:szCs w:val="24"/>
    </w:rPr>
  </w:style>
  <w:style w:type="paragraph" w:styleId="Footer">
    <w:name w:val="footer"/>
    <w:basedOn w:val="Normal"/>
    <w:link w:val="FooterChar"/>
    <w:semiHidden/>
    <w:rsid w:val="00707E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707E5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europarl.europa.eu/data-protect/index.do" TargetMode="Externa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anart\AppData\Local\Temp\PR_INI_RecommCFS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69BCC-3923-4F5F-80D1-C7F076925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PR_INI_RecommCFSP.dotx</Template>
  <TotalTime>0</TotalTime>
  <Pages>9</Pages>
  <Words>2157</Words>
  <Characters>12819</Characters>
  <Application>Microsoft Office Word</Application>
  <DocSecurity>0</DocSecurity>
  <Lines>272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PR_INI_RecommCFSP</vt:lpstr>
    </vt:vector>
  </TitlesOfParts>
  <Company/>
  <LinksUpToDate>false</LinksUpToDate>
  <CharactersWithSpaces>14884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PR_INI_RecommCFSP</dc:title>
  <dc:creator>CANART Pascale</dc:creator>
  <cp:lastModifiedBy>FILIPOVA Gergana</cp:lastModifiedBy>
  <cp:revision>2</cp:revision>
  <cp:lastPrinted>2026-01-13T09:45:00Z</cp:lastPrinted>
  <dcterms:created xsi:type="dcterms:W3CDTF">2026-01-26T11:15:00Z</dcterms:created>
  <dcterms:modified xsi:type="dcterms:W3CDTF">2026-01-26T11:15:00Z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1329698</vt:lpwstr>
  </property>
  <property fmtid="{D5CDD505-2E9C-101B-9397-08002B2CF9AE}" pid="4" name="&lt;Model&gt;">
    <vt:lpwstr>PR_INI_RecommCFSP</vt:lpwstr>
  </property>
  <property fmtid="{D5CDD505-2E9C-101B-9397-08002B2CF9AE}" pid="5" name="&lt;ModelCod&gt;">
    <vt:lpwstr>\\eiciBRUpr1\pdocep$\DocEP\DOCS\General\PR\PR_NonLeg\INI\PR_INI_RecommCFSP.dotx(23/11/2023 19:35:01)</vt:lpwstr>
  </property>
  <property fmtid="{D5CDD505-2E9C-101B-9397-08002B2CF9AE}" pid="6" name="&lt;ModelTra&gt;">
    <vt:lpwstr>\\eiciBRUpr1\pdocep$\DocEP\TRANSFIL\EN\PR_INI_RecommCFSP.EN(14/08/2024 19:08:08)</vt:lpwstr>
  </property>
  <property fmtid="{D5CDD505-2E9C-101B-9397-08002B2CF9AE}" pid="7" name="&lt;Type&gt;">
    <vt:lpwstr>PR</vt:lpwstr>
  </property>
  <property fmtid="{D5CDD505-2E9C-101B-9397-08002B2CF9AE}" pid="8" name="Bookout">
    <vt:lpwstr>OK(HDG) - 2026/01/26 12:14</vt:lpwstr>
  </property>
  <property fmtid="{D5CDD505-2E9C-101B-9397-08002B2CF9AE}" pid="9" name="Created with">
    <vt:lpwstr>10.2.0 Build [20251001]</vt:lpwstr>
  </property>
  <property fmtid="{D5CDD505-2E9C-101B-9397-08002B2CF9AE}" pid="10" name="FooterPath">
    <vt:lpwstr>PR\1329698BG.docx</vt:lpwstr>
  </property>
  <property fmtid="{D5CDD505-2E9C-101B-9397-08002B2CF9AE}" pid="11" name="LastEdited with">
    <vt:lpwstr>10.2.1 Build [20251215]</vt:lpwstr>
  </property>
  <property fmtid="{D5CDD505-2E9C-101B-9397-08002B2CF9AE}" pid="12" name="PE number">
    <vt:lpwstr>778.304</vt:lpwstr>
  </property>
  <property fmtid="{D5CDD505-2E9C-101B-9397-08002B2CF9AE}" pid="13" name="SDLStudio">
    <vt:lpwstr/>
  </property>
  <property fmtid="{D5CDD505-2E9C-101B-9397-08002B2CF9AE}" pid="14" name="SendToEpades">
    <vt:lpwstr>OK - 2026/01/12 09:40</vt:lpwstr>
  </property>
</Properties>
</file>