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69495A" w:rsidRPr="008A21B1" w14:paraId="3F482414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EB572EA" w14:textId="77777777" w:rsidR="0069495A" w:rsidRPr="008A21B1" w:rsidRDefault="00896B9D" w:rsidP="00C85D0F">
            <w:pPr>
              <w:pStyle w:val="EPName"/>
            </w:pPr>
            <w:r w:rsidRPr="008A21B1">
              <w:t>Parlament Europejski</w:t>
            </w:r>
          </w:p>
          <w:p w14:paraId="12067884" w14:textId="52CD9FA2" w:rsidR="0069495A" w:rsidRPr="008A21B1" w:rsidRDefault="00DA0EF9" w:rsidP="00C85D0F">
            <w:pPr>
              <w:pStyle w:val="EPTerm"/>
            </w:pPr>
            <w:r w:rsidRPr="008A21B1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1D4A1D06" w14:textId="77777777" w:rsidR="0069495A" w:rsidRPr="008A21B1" w:rsidRDefault="0069495A" w:rsidP="00C85D0F">
            <w:pPr>
              <w:pStyle w:val="EPLogo"/>
            </w:pPr>
            <w:r w:rsidRPr="008A21B1">
              <w:rPr>
                <w:noProof/>
                <w:lang w:eastAsia="ja-JP"/>
              </w:rPr>
              <w:drawing>
                <wp:inline distT="0" distB="0" distL="0" distR="0" wp14:anchorId="04490857" wp14:editId="00D1A9F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9CF63F" w14:textId="77777777" w:rsidR="00C7235E" w:rsidRPr="008A21B1" w:rsidRDefault="00C7235E" w:rsidP="00C7235E">
      <w:pPr>
        <w:pStyle w:val="LineTop"/>
      </w:pPr>
    </w:p>
    <w:p w14:paraId="199FA6B5" w14:textId="6E77E09D" w:rsidR="00C7235E" w:rsidRPr="008A21B1" w:rsidRDefault="00C7235E" w:rsidP="00C7235E">
      <w:pPr>
        <w:pStyle w:val="EPBody"/>
      </w:pPr>
      <w:r w:rsidRPr="008A21B1">
        <w:rPr>
          <w:rStyle w:val="HideTWBExt"/>
        </w:rPr>
        <w:t>&lt;</w:t>
      </w:r>
      <w:r w:rsidRPr="008A21B1">
        <w:rPr>
          <w:rStyle w:val="HideTWBExt"/>
          <w:i w:val="0"/>
        </w:rPr>
        <w:t>Commission</w:t>
      </w:r>
      <w:r w:rsidRPr="008A21B1">
        <w:rPr>
          <w:rStyle w:val="HideTWBExt"/>
        </w:rPr>
        <w:t>&gt;</w:t>
      </w:r>
      <w:r w:rsidRPr="008A21B1">
        <w:rPr>
          <w:rStyle w:val="HideTWBInt"/>
        </w:rPr>
        <w:t>{AFET}</w:t>
      </w:r>
      <w:r w:rsidRPr="008A21B1">
        <w:t>Komisja Spraw Zagranicznych</w:t>
      </w:r>
      <w:r w:rsidRPr="008A21B1">
        <w:rPr>
          <w:rStyle w:val="HideTWBExt"/>
        </w:rPr>
        <w:t>&lt;/</w:t>
      </w:r>
      <w:r w:rsidRPr="008A21B1">
        <w:rPr>
          <w:rStyle w:val="HideTWBExt"/>
          <w:i w:val="0"/>
        </w:rPr>
        <w:t>Commission</w:t>
      </w:r>
      <w:r w:rsidRPr="008A21B1">
        <w:rPr>
          <w:rStyle w:val="HideTWBExt"/>
        </w:rPr>
        <w:t>&gt;</w:t>
      </w:r>
    </w:p>
    <w:p w14:paraId="1CCB1CBD" w14:textId="77777777" w:rsidR="00C7235E" w:rsidRPr="008A21B1" w:rsidRDefault="00C7235E" w:rsidP="00C7235E">
      <w:pPr>
        <w:pStyle w:val="LineBottom"/>
      </w:pPr>
    </w:p>
    <w:p w14:paraId="371A2DDE" w14:textId="260708DF" w:rsidR="00144AD8" w:rsidRPr="008A21B1" w:rsidRDefault="00144AD8">
      <w:pPr>
        <w:pStyle w:val="CoverReference"/>
      </w:pPr>
      <w:r w:rsidRPr="008A21B1">
        <w:rPr>
          <w:rStyle w:val="HideTWBExt"/>
          <w:b w:val="0"/>
        </w:rPr>
        <w:t>&lt;RefProc&gt;</w:t>
      </w:r>
      <w:r w:rsidRPr="008A21B1">
        <w:t>2025/2167</w:t>
      </w:r>
      <w:r w:rsidRPr="008A21B1">
        <w:rPr>
          <w:rStyle w:val="HideTWBExt"/>
          <w:b w:val="0"/>
        </w:rPr>
        <w:t>&lt;/RefProc&gt;&lt;RefTypeProc&gt;</w:t>
      </w:r>
      <w:r w:rsidRPr="008A21B1">
        <w:t>(INI)</w:t>
      </w:r>
      <w:r w:rsidRPr="008A21B1">
        <w:rPr>
          <w:rStyle w:val="HideTWBExt"/>
          <w:b w:val="0"/>
        </w:rPr>
        <w:t>&lt;/RefTypeProc&gt;</w:t>
      </w:r>
    </w:p>
    <w:p w14:paraId="025E61C3" w14:textId="6D2C4E6B" w:rsidR="00144AD8" w:rsidRPr="008A21B1" w:rsidRDefault="00144AD8">
      <w:pPr>
        <w:pStyle w:val="CoverDate"/>
      </w:pPr>
      <w:r w:rsidRPr="008A21B1">
        <w:rPr>
          <w:rStyle w:val="HideTWBExt"/>
        </w:rPr>
        <w:t>&lt;Date&gt;</w:t>
      </w:r>
      <w:r w:rsidRPr="008A21B1">
        <w:rPr>
          <w:rStyle w:val="HideTWBInt"/>
        </w:rPr>
        <w:t>{12/01/2026}</w:t>
      </w:r>
      <w:r w:rsidRPr="008A21B1">
        <w:t>12.1.2026</w:t>
      </w:r>
      <w:r w:rsidRPr="008A21B1">
        <w:rPr>
          <w:rStyle w:val="HideTWBExt"/>
        </w:rPr>
        <w:t>&lt;/Date&gt;</w:t>
      </w:r>
    </w:p>
    <w:p w14:paraId="79D92D95" w14:textId="77777777" w:rsidR="00144AD8" w:rsidRPr="008A21B1" w:rsidRDefault="00144AD8">
      <w:pPr>
        <w:pStyle w:val="CoverDocType24a"/>
      </w:pPr>
      <w:r w:rsidRPr="008A21B1">
        <w:rPr>
          <w:rStyle w:val="HideTWBExt"/>
          <w:b w:val="0"/>
        </w:rPr>
        <w:t>&lt;TitreType&gt;</w:t>
      </w:r>
      <w:r w:rsidRPr="008A21B1">
        <w:t>PROJEKT SPRAWOZDANIA</w:t>
      </w:r>
      <w:r w:rsidRPr="008A21B1">
        <w:rPr>
          <w:rStyle w:val="HideTWBExt"/>
          <w:b w:val="0"/>
        </w:rPr>
        <w:t>&lt;/TitreType&gt;</w:t>
      </w:r>
    </w:p>
    <w:p w14:paraId="1BB6B2BB" w14:textId="645BEB4E" w:rsidR="00144AD8" w:rsidRPr="008A21B1" w:rsidRDefault="00144AD8">
      <w:pPr>
        <w:pStyle w:val="CoverNormal"/>
      </w:pPr>
      <w:r w:rsidRPr="008A21B1">
        <w:rPr>
          <w:rStyle w:val="HideTWBExt"/>
        </w:rPr>
        <w:t>&lt;Titre&gt;</w:t>
      </w:r>
      <w:r w:rsidRPr="008A21B1">
        <w:t>w sprawie zalecenia Parlamentu Europejskiego dla Rady, dla Komisji i dla wiceprzewodniczącej Komisji / wysokiej przedstawicielki Unii do spraw zagranicznych i polityki bezpieczeństwa w sprawie 81. sesji Zgromadzenia Ogólnego Narodów Zjednoczonych</w:t>
      </w:r>
      <w:r w:rsidRPr="008A21B1">
        <w:rPr>
          <w:rStyle w:val="HideTWBExt"/>
        </w:rPr>
        <w:t>&lt;/Titre&gt;</w:t>
      </w:r>
    </w:p>
    <w:p w14:paraId="4AF3753E" w14:textId="41CBDD9C" w:rsidR="00144AD8" w:rsidRPr="008A21B1" w:rsidRDefault="00144AD8">
      <w:pPr>
        <w:pStyle w:val="CoverNormal24a"/>
      </w:pPr>
      <w:r w:rsidRPr="008A21B1">
        <w:rPr>
          <w:rStyle w:val="HideTWBExt"/>
        </w:rPr>
        <w:t>&lt;DocRef&gt;</w:t>
      </w:r>
      <w:r w:rsidRPr="008A21B1">
        <w:t>(2025/2167(INI))</w:t>
      </w:r>
      <w:r w:rsidRPr="008A21B1">
        <w:rPr>
          <w:rStyle w:val="HideTWBExt"/>
        </w:rPr>
        <w:t>&lt;/DocRef&gt;</w:t>
      </w:r>
    </w:p>
    <w:p w14:paraId="78E5A609" w14:textId="73B29EEC" w:rsidR="00144AD8" w:rsidRPr="008A21B1" w:rsidRDefault="00144AD8">
      <w:pPr>
        <w:pStyle w:val="CoverNormal24a"/>
      </w:pPr>
      <w:r w:rsidRPr="008A21B1">
        <w:rPr>
          <w:rStyle w:val="HideTWBExt"/>
        </w:rPr>
        <w:t>&lt;Commission&gt;</w:t>
      </w:r>
      <w:r w:rsidRPr="008A21B1">
        <w:rPr>
          <w:rStyle w:val="HideTWBInt"/>
        </w:rPr>
        <w:t>{AFET}</w:t>
      </w:r>
      <w:r w:rsidRPr="008A21B1">
        <w:t>Komisja Spraw Zagranicznych</w:t>
      </w:r>
      <w:r w:rsidRPr="008A21B1">
        <w:rPr>
          <w:rStyle w:val="HideTWBExt"/>
        </w:rPr>
        <w:t>&lt;/Commission&gt;</w:t>
      </w:r>
    </w:p>
    <w:p w14:paraId="1D1F914C" w14:textId="1EB644D0" w:rsidR="00144AD8" w:rsidRPr="008A21B1" w:rsidRDefault="00896B9D">
      <w:pPr>
        <w:pStyle w:val="CoverNormal24a"/>
      </w:pPr>
      <w:r w:rsidRPr="008A21B1">
        <w:t xml:space="preserve">Sprawozdawca: </w:t>
      </w:r>
      <w:r w:rsidRPr="008A21B1">
        <w:rPr>
          <w:rStyle w:val="HideTWBExt"/>
        </w:rPr>
        <w:t>&lt;Depute&gt;</w:t>
      </w:r>
      <w:r w:rsidRPr="008A21B1">
        <w:t>Andrey Kovatchev</w:t>
      </w:r>
      <w:r w:rsidRPr="008A21B1">
        <w:rPr>
          <w:rStyle w:val="HideTWBExt"/>
        </w:rPr>
        <w:t>&lt;/Depute&gt;</w:t>
      </w:r>
    </w:p>
    <w:p w14:paraId="5F15C4FC" w14:textId="77777777" w:rsidR="00627DF1" w:rsidRPr="008A21B1" w:rsidRDefault="00627DF1" w:rsidP="00627DF1">
      <w:pPr>
        <w:pStyle w:val="CoverNormal"/>
      </w:pPr>
    </w:p>
    <w:p w14:paraId="6132D01C" w14:textId="77777777" w:rsidR="00144AD8" w:rsidRPr="008A21B1" w:rsidRDefault="00144AD8" w:rsidP="009340AC">
      <w:pPr>
        <w:widowControl/>
        <w:tabs>
          <w:tab w:val="center" w:pos="4677"/>
        </w:tabs>
      </w:pPr>
      <w:r w:rsidRPr="008A21B1">
        <w:br w:type="page"/>
      </w:r>
      <w:r w:rsidRPr="008A21B1">
        <w:lastRenderedPageBreak/>
        <w:t>PR_INI_RecommCFSP</w:t>
      </w:r>
    </w:p>
    <w:p w14:paraId="7566B6D5" w14:textId="77777777" w:rsidR="00144AD8" w:rsidRPr="008A21B1" w:rsidRDefault="00896B9D">
      <w:pPr>
        <w:pStyle w:val="TOCHeading"/>
      </w:pPr>
      <w:r w:rsidRPr="008A21B1">
        <w:t>SPIS STREŚCI</w:t>
      </w:r>
    </w:p>
    <w:p w14:paraId="00810278" w14:textId="77777777" w:rsidR="00144AD8" w:rsidRPr="008A21B1" w:rsidRDefault="00896B9D">
      <w:pPr>
        <w:pStyle w:val="TOCPage"/>
      </w:pPr>
      <w:r w:rsidRPr="008A21B1">
        <w:t>Strona</w:t>
      </w:r>
    </w:p>
    <w:p w14:paraId="1DD18CBF" w14:textId="7B3E4837" w:rsidR="008A21B1" w:rsidRDefault="00144AD8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 w:rsidRPr="008A21B1">
        <w:fldChar w:fldCharType="begin"/>
      </w:r>
      <w:r w:rsidRPr="008A21B1">
        <w:instrText xml:space="preserve"> TOC \t "PageHeading</w:instrText>
      </w:r>
      <w:r w:rsidR="00774633" w:rsidRPr="008A21B1">
        <w:instrText>;</w:instrText>
      </w:r>
      <w:r w:rsidRPr="008A21B1">
        <w:instrText xml:space="preserve">1" </w:instrText>
      </w:r>
      <w:r w:rsidRPr="008A21B1">
        <w:fldChar w:fldCharType="separate"/>
      </w:r>
      <w:r w:rsidR="008A21B1">
        <w:rPr>
          <w:noProof/>
        </w:rPr>
        <w:t>PROJEKT ZALECENIA PARLAMENTU EUROPEJSKIEGO</w:t>
      </w:r>
      <w:r w:rsidR="008A21B1">
        <w:rPr>
          <w:noProof/>
        </w:rPr>
        <w:tab/>
      </w:r>
      <w:r w:rsidR="008A21B1">
        <w:rPr>
          <w:noProof/>
        </w:rPr>
        <w:fldChar w:fldCharType="begin"/>
      </w:r>
      <w:r w:rsidR="008A21B1">
        <w:rPr>
          <w:noProof/>
        </w:rPr>
        <w:instrText xml:space="preserve"> PAGEREF _Toc220399107 \h </w:instrText>
      </w:r>
      <w:r w:rsidR="008A21B1">
        <w:rPr>
          <w:noProof/>
        </w:rPr>
      </w:r>
      <w:r w:rsidR="008A21B1">
        <w:rPr>
          <w:noProof/>
        </w:rPr>
        <w:fldChar w:fldCharType="separate"/>
      </w:r>
      <w:r w:rsidR="008A21B1">
        <w:rPr>
          <w:noProof/>
        </w:rPr>
        <w:t>3</w:t>
      </w:r>
      <w:r w:rsidR="008A21B1">
        <w:rPr>
          <w:noProof/>
        </w:rPr>
        <w:fldChar w:fldCharType="end"/>
      </w:r>
    </w:p>
    <w:p w14:paraId="0B114678" w14:textId="0D84480D" w:rsidR="008A21B1" w:rsidRDefault="008A21B1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UZASADNIENIE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_Toc220399108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14:paraId="30C91D38" w14:textId="1CA18E96" w:rsidR="008A21B1" w:rsidRDefault="008A21B1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ZAŁĄCZNIK: WYKAZ PODMIOTÓW, OD KTÓRYCH SPRAWOZDAWCA OTRZYMAŁ INFORMACJE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_Toc220399109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14:paraId="50AC1BC9" w14:textId="2E72CCF4" w:rsidR="00627DF1" w:rsidRPr="008A21B1" w:rsidRDefault="00144AD8" w:rsidP="00865AB2">
      <w:r w:rsidRPr="008A21B1">
        <w:fldChar w:fldCharType="end"/>
      </w:r>
    </w:p>
    <w:p w14:paraId="75B2D45E" w14:textId="77777777" w:rsidR="00144AD8" w:rsidRPr="008A21B1" w:rsidRDefault="00144AD8">
      <w:pPr>
        <w:pStyle w:val="PageHeading"/>
      </w:pPr>
      <w:r w:rsidRPr="008A21B1">
        <w:br w:type="page"/>
      </w:r>
      <w:bookmarkStart w:id="0" w:name="_Toc220399107"/>
      <w:r w:rsidRPr="008A21B1">
        <w:lastRenderedPageBreak/>
        <w:t>PROJEKT ZALECENIA PARLAMENTU EUROPEJSKIEGO</w:t>
      </w:r>
      <w:bookmarkEnd w:id="0"/>
    </w:p>
    <w:p w14:paraId="688A1EFF" w14:textId="28729EAD" w:rsidR="00144AD8" w:rsidRPr="008A21B1" w:rsidRDefault="00607739" w:rsidP="00F77182">
      <w:pPr>
        <w:pStyle w:val="NormalBold"/>
        <w:jc w:val="both"/>
      </w:pPr>
      <w:r w:rsidRPr="008A21B1">
        <w:t>dla Rady, dla Komisji i dla wiceprzewodniczącej Komisji / wysokiej przedstawicielki Unii do spraw zagranicznych i polityki bezpieczeństwa w sprawie 81. sesji Zgromadzenia Ogólnego Narodów Zjednoczonych</w:t>
      </w:r>
    </w:p>
    <w:p w14:paraId="15D3F86D" w14:textId="0CF5C449" w:rsidR="00144AD8" w:rsidRPr="008A21B1" w:rsidRDefault="00896B9D" w:rsidP="00F77182">
      <w:pPr>
        <w:pStyle w:val="NormalBold"/>
        <w:jc w:val="both"/>
      </w:pPr>
      <w:r w:rsidRPr="008A21B1">
        <w:t>(2025/2167(INI))</w:t>
      </w:r>
    </w:p>
    <w:p w14:paraId="7FEE34A0" w14:textId="77777777" w:rsidR="00144AD8" w:rsidRPr="008A21B1" w:rsidRDefault="00896B9D" w:rsidP="007E620A">
      <w:pPr>
        <w:pStyle w:val="EPComma"/>
      </w:pPr>
      <w:r w:rsidRPr="008A21B1">
        <w:rPr>
          <w:i/>
          <w:iCs/>
        </w:rPr>
        <w:t>Parlament Europejski</w:t>
      </w:r>
      <w:r w:rsidRPr="008A21B1">
        <w:t>,</w:t>
      </w:r>
    </w:p>
    <w:p w14:paraId="2B05A967" w14:textId="77777777" w:rsidR="00CB5D63" w:rsidRPr="008A21B1" w:rsidRDefault="00CB5D63" w:rsidP="007E620A">
      <w:pPr>
        <w:pStyle w:val="NormalHanging12a"/>
      </w:pPr>
      <w:r w:rsidRPr="008A21B1">
        <w:t>–</w:t>
      </w:r>
      <w:r w:rsidRPr="008A21B1">
        <w:tab/>
        <w:t xml:space="preserve">uwzględniając </w:t>
      </w:r>
      <w:r w:rsidRPr="008A21B1">
        <w:rPr>
          <w:snapToGrid w:val="0"/>
        </w:rPr>
        <w:t>Kartę</w:t>
      </w:r>
      <w:r w:rsidRPr="008A21B1">
        <w:t xml:space="preserve"> Narodów Zjednoczonych,</w:t>
      </w:r>
    </w:p>
    <w:p w14:paraId="13408E0A" w14:textId="77777777" w:rsidR="00CB5D63" w:rsidRPr="008A21B1" w:rsidRDefault="00CB5D63" w:rsidP="007E620A">
      <w:pPr>
        <w:pStyle w:val="NormalHanging12a"/>
      </w:pPr>
      <w:r w:rsidRPr="008A21B1">
        <w:t>–</w:t>
      </w:r>
      <w:r w:rsidRPr="008A21B1">
        <w:tab/>
        <w:t>uwzględniając Traktat o Unii Europejskiej (TUE), w szczególności jego art. 21, 34 i 36,</w:t>
      </w:r>
    </w:p>
    <w:p w14:paraId="73E8C19F" w14:textId="5375180A" w:rsidR="003D3EDC" w:rsidRPr="008A21B1" w:rsidRDefault="003D3EDC" w:rsidP="007E620A">
      <w:pPr>
        <w:pStyle w:val="NormalHanging12a"/>
      </w:pPr>
      <w:r w:rsidRPr="008A21B1">
        <w:t>–</w:t>
      </w:r>
      <w:r w:rsidRPr="008A21B1">
        <w:tab/>
        <w:t>uwzględniając Traktat o funkcjonowaniu Unii Europejskiej (TFUE), w szczególności jego art. 208, 214 i 220,</w:t>
      </w:r>
    </w:p>
    <w:p w14:paraId="2E95E343" w14:textId="503E1768" w:rsidR="00CB5D63" w:rsidRPr="008A21B1" w:rsidRDefault="00CB5D63" w:rsidP="007E620A">
      <w:pPr>
        <w:pStyle w:val="NormalHanging12a"/>
      </w:pPr>
      <w:r w:rsidRPr="008A21B1">
        <w:t>–</w:t>
      </w:r>
      <w:r w:rsidRPr="008A21B1">
        <w:tab/>
        <w:t>uwzględniając 80. sesję Zgromadzenia Ogólnego Narodów Zjednoczonych,</w:t>
      </w:r>
    </w:p>
    <w:p w14:paraId="1B1668ED" w14:textId="66B4A186" w:rsidR="0043008B" w:rsidRPr="008A21B1" w:rsidRDefault="0043008B" w:rsidP="007E620A">
      <w:pPr>
        <w:pStyle w:val="NormalHanging12a"/>
      </w:pPr>
      <w:r w:rsidRPr="008A21B1">
        <w:t>–</w:t>
      </w:r>
      <w:r w:rsidRPr="008A21B1">
        <w:tab/>
        <w:t>uwzględniając rezolucję Zgromadzenia Ogólnego ONZ nr 79/318 z 18 lipca 2025 r. w sprawie inicjatywy ONZ-80,</w:t>
      </w:r>
    </w:p>
    <w:p w14:paraId="753BC4CF" w14:textId="68112933" w:rsidR="004C286D" w:rsidRPr="008A21B1" w:rsidRDefault="0060431D" w:rsidP="007E620A">
      <w:pPr>
        <w:pStyle w:val="NormalHanging12a"/>
      </w:pPr>
      <w:r w:rsidRPr="008A21B1">
        <w:t>–</w:t>
      </w:r>
      <w:r w:rsidRPr="008A21B1">
        <w:tab/>
        <w:t>uwzględniając rezolucję Zgromadzenia Ogólnego ONZ ES-11/7 z 24 lutego 2025 r., w sprawie poczynienia postępów na rzecz pełnego, sprawiedliwego i trwałego pokoju w Ukrainie,</w:t>
      </w:r>
    </w:p>
    <w:p w14:paraId="25341E96" w14:textId="6606A8A6" w:rsidR="00A57D8B" w:rsidRPr="008A21B1" w:rsidRDefault="00A57D8B" w:rsidP="007E620A">
      <w:pPr>
        <w:pStyle w:val="NormalHanging12a"/>
      </w:pPr>
      <w:r w:rsidRPr="008A21B1">
        <w:t>–</w:t>
      </w:r>
      <w:r w:rsidRPr="008A21B1">
        <w:tab/>
        <w:t>uwzględniając rezolucję Zgromadzenia Ogólnego ONZ nr 79/174 z 17 grudnia 2024 r. w sprawie wolności religii i przekonań,</w:t>
      </w:r>
    </w:p>
    <w:p w14:paraId="416D6F47" w14:textId="0F916D7E" w:rsidR="009508B0" w:rsidRPr="008A21B1" w:rsidRDefault="009508B0" w:rsidP="007E620A">
      <w:pPr>
        <w:pStyle w:val="NormalHanging12a"/>
      </w:pPr>
      <w:r w:rsidRPr="008A21B1">
        <w:t>–</w:t>
      </w:r>
      <w:r w:rsidRPr="008A21B1">
        <w:tab/>
        <w:t>uwzględniając rezolucję Zgromadzenia Ogólnego ONZ nr 79/1 z 22 września 2024 r. w sprawie Paktu dla przyszłości,</w:t>
      </w:r>
    </w:p>
    <w:p w14:paraId="2DD4E091" w14:textId="6EB90CC9" w:rsidR="003B67C0" w:rsidRPr="008A21B1" w:rsidRDefault="003B67C0" w:rsidP="007E620A">
      <w:pPr>
        <w:pStyle w:val="NormalHanging12a"/>
      </w:pPr>
      <w:r w:rsidRPr="008A21B1">
        <w:t>–</w:t>
      </w:r>
      <w:r w:rsidRPr="008A21B1">
        <w:tab/>
      </w:r>
      <w:r w:rsidRPr="008A21B1">
        <w:rPr>
          <w:snapToGrid w:val="0"/>
        </w:rPr>
        <w:t>uwzględniając rezolucję Zgromadzenia Ogólnego ONZ nr 65/276 z</w:t>
      </w:r>
      <w:r w:rsidRPr="008A21B1">
        <w:t xml:space="preserve"> </w:t>
      </w:r>
      <w:r w:rsidRPr="008A21B1">
        <w:rPr>
          <w:snapToGrid w:val="0"/>
        </w:rPr>
        <w:t>10 maja 2011 r. w sprawie udziału Unii Europejskiej w pracach Organizacji Narodów Zjednoczonych</w:t>
      </w:r>
      <w:r w:rsidRPr="008A21B1">
        <w:t>,</w:t>
      </w:r>
    </w:p>
    <w:p w14:paraId="7E76ED99" w14:textId="1C995626" w:rsidR="00A75514" w:rsidRPr="008A21B1" w:rsidRDefault="00A75514" w:rsidP="007E620A">
      <w:pPr>
        <w:pStyle w:val="NormalHanging12a"/>
        <w:rPr>
          <w:snapToGrid w:val="0"/>
          <w:szCs w:val="24"/>
        </w:rPr>
      </w:pPr>
      <w:r w:rsidRPr="008A21B1">
        <w:t>–</w:t>
      </w:r>
      <w:r w:rsidRPr="008A21B1">
        <w:tab/>
      </w:r>
      <w:r w:rsidRPr="008A21B1">
        <w:rPr>
          <w:snapToGrid w:val="0"/>
        </w:rPr>
        <w:t>uwzględniając sprawozdanie sekretarza generalnego ONZ z 18 września 2025 r. pt. „Shifting Paradigms: United to Deliver” [Zmiana paradygmatu: zjednoczeni we wdrażaniu],</w:t>
      </w:r>
    </w:p>
    <w:p w14:paraId="734C1E22" w14:textId="25FFFCC3" w:rsidR="0048348D" w:rsidRPr="008A21B1" w:rsidRDefault="0048348D" w:rsidP="007E620A">
      <w:pPr>
        <w:pStyle w:val="NormalHanging12a"/>
      </w:pPr>
      <w:r w:rsidRPr="008A21B1">
        <w:t>–</w:t>
      </w:r>
      <w:r w:rsidRPr="008A21B1">
        <w:tab/>
      </w:r>
      <w:r w:rsidRPr="008A21B1">
        <w:rPr>
          <w:snapToGrid w:val="0"/>
        </w:rPr>
        <w:t>uwzględniając sprawozdanie sekretarza generalnego ONZ z 4 września 2025 r. w sprawie</w:t>
      </w:r>
      <w:r w:rsidRPr="008A21B1">
        <w:t xml:space="preserve"> zmienionych szacunków dotyczących proponowanego budżetu programowego na 2026 r. oraz rachunku wsparcia dla operacji pokojowych na lata 2025–2026, </w:t>
      </w:r>
    </w:p>
    <w:p w14:paraId="4317D0E5" w14:textId="5C727B7D" w:rsidR="00A75514" w:rsidRPr="008A21B1" w:rsidRDefault="00A75514" w:rsidP="007E620A">
      <w:pPr>
        <w:pStyle w:val="NormalHanging12a"/>
      </w:pPr>
      <w:r w:rsidRPr="008A21B1">
        <w:t>–</w:t>
      </w:r>
      <w:r w:rsidRPr="008A21B1">
        <w:tab/>
      </w:r>
      <w:r w:rsidRPr="008A21B1">
        <w:rPr>
          <w:snapToGrid w:val="0"/>
        </w:rPr>
        <w:t>uwzględniając sprawozdanie sekretarza generalnego ONZ z</w:t>
      </w:r>
      <w:r w:rsidRPr="008A21B1">
        <w:t xml:space="preserve"> 31 lipca 2025 r. na temat przeglądu wykonania mandatu,</w:t>
      </w:r>
    </w:p>
    <w:p w14:paraId="473C3BB5" w14:textId="6376F6B6" w:rsidR="00CB5D63" w:rsidRPr="008A21B1" w:rsidRDefault="00CB5D63" w:rsidP="007E620A">
      <w:pPr>
        <w:widowControl/>
        <w:spacing w:after="240"/>
        <w:ind w:left="567" w:hanging="567"/>
        <w:rPr>
          <w:snapToGrid w:val="0"/>
          <w:szCs w:val="24"/>
        </w:rPr>
      </w:pPr>
      <w:r w:rsidRPr="008A21B1">
        <w:t>–</w:t>
      </w:r>
      <w:r w:rsidRPr="008A21B1">
        <w:tab/>
      </w:r>
      <w:r w:rsidRPr="008A21B1">
        <w:rPr>
          <w:snapToGrid w:val="0"/>
        </w:rPr>
        <w:t>uwzględniając swoje zalecenie dla Rady z 9 czerwca 2021 r. w sprawie 75. i 76. sesji Zgromadzenia Ogólnego Narodów Zjednoczonych</w:t>
      </w:r>
      <w:r w:rsidRPr="008A21B1">
        <w:rPr>
          <w:rStyle w:val="FootnoteReference"/>
          <w:snapToGrid w:val="0"/>
          <w:szCs w:val="24"/>
        </w:rPr>
        <w:footnoteReference w:id="1"/>
      </w:r>
      <w:r w:rsidRPr="008A21B1">
        <w:rPr>
          <w:snapToGrid w:val="0"/>
        </w:rPr>
        <w:t>,</w:t>
      </w:r>
    </w:p>
    <w:p w14:paraId="2FABC281" w14:textId="65E38779" w:rsidR="00925B6B" w:rsidRPr="008A21B1" w:rsidRDefault="00925B6B" w:rsidP="007E620A">
      <w:pPr>
        <w:widowControl/>
        <w:spacing w:after="240"/>
        <w:ind w:left="567" w:hanging="567"/>
        <w:rPr>
          <w:szCs w:val="24"/>
        </w:rPr>
      </w:pPr>
      <w:r w:rsidRPr="008A21B1">
        <w:lastRenderedPageBreak/>
        <w:t>–</w:t>
      </w:r>
      <w:r w:rsidRPr="008A21B1">
        <w:tab/>
      </w:r>
      <w:r w:rsidRPr="008A21B1">
        <w:rPr>
          <w:snapToGrid w:val="0"/>
        </w:rPr>
        <w:t>uwzględniając konkluzje Rady z 20 października 2025 r. pt. „Ulepszenie partnerstwa strategicznego UE–ONZ na rzecz pokoju i bezpieczeństwa: wspólne priorytety 2025–2028”,</w:t>
      </w:r>
    </w:p>
    <w:p w14:paraId="55555FE9" w14:textId="4351C285" w:rsidR="00CB5D63" w:rsidRPr="008A21B1" w:rsidRDefault="00CB5D63" w:rsidP="007E620A">
      <w:pPr>
        <w:pStyle w:val="NormalHanging12a"/>
      </w:pPr>
      <w:r w:rsidRPr="008A21B1">
        <w:t>–</w:t>
      </w:r>
      <w:r w:rsidRPr="008A21B1">
        <w:tab/>
      </w:r>
      <w:r w:rsidRPr="008A21B1">
        <w:rPr>
          <w:snapToGrid w:val="0"/>
        </w:rPr>
        <w:t>uwzględniając konkluzje Rady z 23 czerwca 2025 r. w sprawie</w:t>
      </w:r>
      <w:r w:rsidRPr="008A21B1">
        <w:t xml:space="preserve"> priorytetów UE na forum ONZ podczas 80. sesji Zgromadzenia Ogólnego ONZ (wrzesień 2025 r. – wrzesień 2026 r.), </w:t>
      </w:r>
    </w:p>
    <w:p w14:paraId="0044F81C" w14:textId="7DA7E6D2" w:rsidR="001F12C4" w:rsidRPr="008A21B1" w:rsidRDefault="001F12C4" w:rsidP="007E620A">
      <w:pPr>
        <w:pStyle w:val="NormalHanging12a"/>
      </w:pPr>
      <w:r w:rsidRPr="008A21B1">
        <w:t>–</w:t>
      </w:r>
      <w:r w:rsidRPr="008A21B1">
        <w:tab/>
        <w:t>uwzględniając konkluzje Rady z 27 stycznia 2025 r. w sprawie priorytetów UE na rok 2025 na forach ONZ zajmujących się prawami człowieka,</w:t>
      </w:r>
    </w:p>
    <w:p w14:paraId="2B5FA9A9" w14:textId="2D4F0465" w:rsidR="00991AC5" w:rsidRPr="008A21B1" w:rsidRDefault="00991AC5" w:rsidP="007E620A">
      <w:pPr>
        <w:pStyle w:val="NormalHanging12a"/>
      </w:pPr>
      <w:r w:rsidRPr="008A21B1">
        <w:t>–</w:t>
      </w:r>
      <w:r w:rsidRPr="008A21B1">
        <w:tab/>
        <w:t>uwzględniając konkluzje Rady Europejskiej z 20 marca 2025 r.,</w:t>
      </w:r>
    </w:p>
    <w:p w14:paraId="102E8155" w14:textId="77777777" w:rsidR="00144AD8" w:rsidRPr="008A21B1" w:rsidRDefault="00144AD8" w:rsidP="007E620A">
      <w:pPr>
        <w:pStyle w:val="NormalHanging12a"/>
      </w:pPr>
      <w:r w:rsidRPr="008A21B1">
        <w:t>–</w:t>
      </w:r>
      <w:r w:rsidRPr="008A21B1">
        <w:tab/>
        <w:t>uwzględniając art. 121 Regulaminu,</w:t>
      </w:r>
    </w:p>
    <w:p w14:paraId="63245DD6" w14:textId="324FD0F6" w:rsidR="00144AD8" w:rsidRPr="008A21B1" w:rsidRDefault="00144AD8" w:rsidP="007E620A">
      <w:pPr>
        <w:pStyle w:val="NormalHanging12a"/>
      </w:pPr>
      <w:r w:rsidRPr="008A21B1">
        <w:t>–</w:t>
      </w:r>
      <w:r w:rsidRPr="008A21B1">
        <w:tab/>
        <w:t>uwzględniając sprawozdanie Komisji Spraw Zagranicznych (A10</w:t>
      </w:r>
      <w:r w:rsidRPr="008A21B1">
        <w:noBreakHyphen/>
        <w:t>0000/2025),</w:t>
      </w:r>
    </w:p>
    <w:p w14:paraId="5FD7E115" w14:textId="147AE241" w:rsidR="00011E6C" w:rsidRPr="008A21B1" w:rsidRDefault="00707E50" w:rsidP="00707E50">
      <w:pPr>
        <w:pStyle w:val="NormalHanging"/>
        <w:ind w:left="720" w:hanging="720"/>
      </w:pPr>
      <w:r w:rsidRPr="008A21B1">
        <w:t>A.</w:t>
      </w:r>
      <w:r w:rsidRPr="008A21B1">
        <w:tab/>
        <w:t>mając na uwadze, że w obecnej sytuacji geopolitycznej kluczowe znaczenie ma utrzymanie i wzmocnienie międzynarodowego porządku opartego na zasadach oraz zapewnienie skutecznego funkcjonowania organizacji międzyrządowych;</w:t>
      </w:r>
    </w:p>
    <w:p w14:paraId="3BF73C1F" w14:textId="7DFAF7D5" w:rsidR="00011E6C" w:rsidRPr="008A21B1" w:rsidRDefault="00707E50" w:rsidP="00707E50">
      <w:pPr>
        <w:pStyle w:val="NormalHanging"/>
        <w:ind w:left="720" w:hanging="720"/>
      </w:pPr>
      <w:r w:rsidRPr="008A21B1">
        <w:t>B.</w:t>
      </w:r>
      <w:r w:rsidRPr="008A21B1">
        <w:tab/>
        <w:t>mając na uwadze, że system wielostronny stoi w obliczu rosnących zagrożeń, takich jak rosyjskie ataki na światową strukturę pokoju i bezpieczeństwa, w tym na Radę Bezpieczeństwa ONZ, rosnące wpływy Chin i przekształcenie udziału USA w organizacjach międzynarodowych, a także cięcia w finansowaniu mające wpływ na kluczowe obszary, takie jak pomoc humanitarna, edukacja, zdrowie i budowanie pokoju;</w:t>
      </w:r>
    </w:p>
    <w:p w14:paraId="3CD97845" w14:textId="2A16BE41" w:rsidR="00267945" w:rsidRPr="008A21B1" w:rsidRDefault="00707E50" w:rsidP="00707E50">
      <w:pPr>
        <w:pStyle w:val="NormalHanging12a"/>
        <w:ind w:left="720" w:hanging="720"/>
      </w:pPr>
      <w:r w:rsidRPr="008A21B1">
        <w:t>1.</w:t>
      </w:r>
      <w:r w:rsidRPr="008A21B1">
        <w:tab/>
        <w:t>zaleca Radzie, Komisji i wiceprzewodniczącej Komisji / wysokiej przedstawicielce Unii do spraw zagranicznych i polityki bezpieczeństwa:</w:t>
      </w:r>
    </w:p>
    <w:p w14:paraId="32C26D86" w14:textId="5EF16221" w:rsidR="004D4354" w:rsidRPr="008A21B1" w:rsidRDefault="001F245B" w:rsidP="007E620A">
      <w:pPr>
        <w:spacing w:after="240"/>
        <w:rPr>
          <w:b/>
          <w:i/>
          <w:iCs/>
          <w:szCs w:val="24"/>
        </w:rPr>
      </w:pPr>
      <w:r w:rsidRPr="008A21B1">
        <w:rPr>
          <w:b/>
          <w:i/>
        </w:rPr>
        <w:t>Ochrona i wzmacnianie multilateralizmu</w:t>
      </w:r>
    </w:p>
    <w:p w14:paraId="16A303F7" w14:textId="7D5DC937" w:rsidR="004D4354" w:rsidRPr="008A21B1" w:rsidRDefault="00707E50" w:rsidP="00707E50">
      <w:pPr>
        <w:pStyle w:val="NormalHangingLeft12a"/>
        <w:ind w:left="1287" w:hanging="720"/>
      </w:pPr>
      <w:r w:rsidRPr="008A21B1">
        <w:t>a)</w:t>
      </w:r>
      <w:r w:rsidRPr="008A21B1">
        <w:tab/>
        <w:t>dalsze wspieranie skutecznego multilateralizmu (którego centralnym elementem jest ONZ), propagowanie i bronienie prawa międzynarodowego oraz stanie na straży postanowień i zasad Karty Narodów Zjednoczonych, w tym suwerenności, integralności terytorialnej, niezależności politycznej, samostanowienia oraz ochrony praw człowieka i podstawowych wolności;</w:t>
      </w:r>
    </w:p>
    <w:p w14:paraId="3161A4DD" w14:textId="0DFEA71D" w:rsidR="00CB5D63" w:rsidRPr="008A21B1" w:rsidRDefault="00707E50" w:rsidP="00707E50">
      <w:pPr>
        <w:pStyle w:val="NormalHangingLeft12a"/>
        <w:ind w:left="1287" w:hanging="720"/>
      </w:pPr>
      <w:r w:rsidRPr="008A21B1">
        <w:t>b)</w:t>
      </w:r>
      <w:r w:rsidRPr="008A21B1">
        <w:tab/>
        <w:t>niezmienne bronienie poszanowania, ochrony i przestrzegania powszechnych praw człowieka, demokracji, godności ludzkiej, równości i praworządności, zgodnie z konkluzjami Rady z 2025 r. w sprawie priorytetów UE na forach ONZ zajmujących się prawami człowieka;</w:t>
      </w:r>
    </w:p>
    <w:p w14:paraId="39B7F912" w14:textId="61EE4CA1" w:rsidR="00011E6C" w:rsidRPr="008A21B1" w:rsidRDefault="00707E50" w:rsidP="00707E50">
      <w:pPr>
        <w:pStyle w:val="NormalHangingLeft12a"/>
        <w:ind w:left="1287" w:hanging="720"/>
      </w:pPr>
      <w:r w:rsidRPr="008A21B1">
        <w:t>c)</w:t>
      </w:r>
      <w:r w:rsidRPr="008A21B1">
        <w:tab/>
        <w:t>potwierdzenie zasadniczej roli organizacji wielostronnych jako niezbędnych platform rozwiązywania konfliktów i globalnego zarządzania;</w:t>
      </w:r>
    </w:p>
    <w:p w14:paraId="57692846" w14:textId="32684974" w:rsidR="00C9640A" w:rsidRPr="008A21B1" w:rsidRDefault="00C9640A" w:rsidP="007E620A">
      <w:pPr>
        <w:spacing w:after="240"/>
        <w:rPr>
          <w:b/>
          <w:i/>
          <w:iCs/>
          <w:szCs w:val="24"/>
        </w:rPr>
      </w:pPr>
      <w:r w:rsidRPr="008A21B1">
        <w:rPr>
          <w:b/>
          <w:i/>
        </w:rPr>
        <w:t>Reforma systemu Narodów Zjednoczonych</w:t>
      </w:r>
    </w:p>
    <w:p w14:paraId="55C8ECAD" w14:textId="5510905D" w:rsidR="00011E6C" w:rsidRPr="008A21B1" w:rsidRDefault="00707E50" w:rsidP="00707E50">
      <w:pPr>
        <w:pStyle w:val="NormalHangingLeft12a"/>
        <w:ind w:left="1287" w:hanging="720"/>
      </w:pPr>
      <w:bookmarkStart w:id="1" w:name="_Hlk215756362"/>
      <w:r w:rsidRPr="008A21B1">
        <w:t>d)</w:t>
      </w:r>
      <w:r w:rsidRPr="008A21B1">
        <w:tab/>
        <w:t xml:space="preserve">wspieranie ambitnych reform systemu ONZ i realizowanie programu reform </w:t>
      </w:r>
      <w:r w:rsidRPr="008A21B1">
        <w:lastRenderedPageBreak/>
        <w:t>ONZ-80, aby zapewnić bardziej skuteczną, wydajną, przejrzystą, zrównoważoną finansowo i reaktywną ONZ, która jest w stanie sprostać obecnym i pojawiającym się globalnym wyzwaniom;</w:t>
      </w:r>
    </w:p>
    <w:p w14:paraId="643309EA" w14:textId="22332311" w:rsidR="00C516E8" w:rsidRPr="008A21B1" w:rsidRDefault="00707E50" w:rsidP="00707E50">
      <w:pPr>
        <w:pStyle w:val="NormalHangingLeft12a"/>
        <w:ind w:left="1287" w:hanging="720"/>
      </w:pPr>
      <w:r w:rsidRPr="008A21B1">
        <w:t>e)</w:t>
      </w:r>
      <w:r w:rsidRPr="008A21B1">
        <w:tab/>
        <w:t xml:space="preserve">opowiedzenie się za kompleksową reformą Rady Bezpieczeństwa ONZ, aby uczynić ją bardziej skuteczną, inkluzywną, przejrzystą, demokratyczną i rozliczalną, dopilnowując, by lepiej odzwierciedlała współczesne realia globalne, a także ustanawiając warunki ścisłego ograniczania korzystania z prawa weta, gdy blokuje ono niezbędne działania ONZ, z myślą o jego pełnym wycofaniu w przyszłości; </w:t>
      </w:r>
    </w:p>
    <w:p w14:paraId="1FC407C8" w14:textId="5691E3AF" w:rsidR="00C5392B" w:rsidRPr="008A21B1" w:rsidRDefault="00707E50" w:rsidP="00707E50">
      <w:pPr>
        <w:pStyle w:val="NormalHangingLeft12a"/>
        <w:ind w:left="1287" w:hanging="720"/>
      </w:pPr>
      <w:bookmarkStart w:id="2" w:name="_Hlk215756386"/>
      <w:bookmarkEnd w:id="1"/>
      <w:r w:rsidRPr="008A21B1">
        <w:t>f)</w:t>
      </w:r>
      <w:r w:rsidRPr="008A21B1">
        <w:tab/>
        <w:t>zachęcanie państw członkowskich do koordynowania działań w ramach organów i agencji ONZ oraz do działania na rzecz reformy systemu specjalnych sprawozdawców ONZ; przyjęcie procedur skutecznego eliminowania wszelkich potencjalnych przypadków stronniczości i nieefektywności, które mogą zagrozić mandatowi agencji ONZ, poprzez zapewnienie odpowiedniego weryfikowania i kontrolowania pracowników oraz, w stosownych przypadkach, usuwania ich ze stanowiska;</w:t>
      </w:r>
    </w:p>
    <w:bookmarkEnd w:id="2"/>
    <w:p w14:paraId="46167E13" w14:textId="2C35BD7F" w:rsidR="00A845D6" w:rsidRPr="008A21B1" w:rsidRDefault="00707E50" w:rsidP="00707E50">
      <w:pPr>
        <w:pStyle w:val="NormalHangingLeft12a"/>
        <w:ind w:left="1287" w:hanging="720"/>
      </w:pPr>
      <w:r w:rsidRPr="008A21B1">
        <w:t>g)</w:t>
      </w:r>
      <w:r w:rsidRPr="008A21B1">
        <w:tab/>
        <w:t>dalsze zacieśnianie współpracy z partnerami, takimi jak Stany Zjednoczone, w celu budowania konsensusu i wspierania skutecznego ładu wielostronnego;</w:t>
      </w:r>
    </w:p>
    <w:p w14:paraId="1E792CBD" w14:textId="270B61DE" w:rsidR="00CB5D63" w:rsidRPr="008A21B1" w:rsidRDefault="00707E50" w:rsidP="00707E50">
      <w:pPr>
        <w:pStyle w:val="NormalHangingLeft12a"/>
        <w:ind w:left="1287" w:hanging="720"/>
      </w:pPr>
      <w:r w:rsidRPr="008A21B1">
        <w:t>h)</w:t>
      </w:r>
      <w:r w:rsidRPr="008A21B1">
        <w:tab/>
        <w:t>przypomnienie o odpowiedzialności Rady Bezpieczeństwa ONZ za utrzymanie międzynarodowego pokoju i bezpieczeństwa oraz za zapewnienie rozliczalności za naruszenia prawa międzynarodowego, a także zastanowienie się, jak można wzmocnić rolę Zgromadzenia Ogólnego Narodów Zjednoczonych (ZO ONZ) w tej dziedzinie poprzez zastosowanie systemu głosowania większością kwalifikowaną na wzór UE, w ramach którego rezolucje ZO ONZ przyjęte większością dwóch trzecich głosów członków reprezentujących dwie trzecie ludności uznaje się za wiążące;</w:t>
      </w:r>
    </w:p>
    <w:p w14:paraId="4A69B522" w14:textId="77777777" w:rsidR="00E25FF4" w:rsidRPr="008A21B1" w:rsidRDefault="00E25FF4" w:rsidP="007E620A">
      <w:pPr>
        <w:pStyle w:val="NormalHangingLeft12a"/>
        <w:ind w:left="0" w:firstLine="0"/>
      </w:pPr>
      <w:r w:rsidRPr="008A21B1">
        <w:rPr>
          <w:b/>
          <w:i/>
        </w:rPr>
        <w:t>Pokój i bezpieczeństwo</w:t>
      </w:r>
      <w:bookmarkStart w:id="3" w:name="_Hlk215761387"/>
    </w:p>
    <w:p w14:paraId="653EDFF7" w14:textId="6C466526" w:rsidR="00E25FF4" w:rsidRPr="008A21B1" w:rsidRDefault="00707E50" w:rsidP="00707E50">
      <w:pPr>
        <w:pStyle w:val="NormalHangingLeft12a"/>
        <w:ind w:left="1287" w:hanging="720"/>
      </w:pPr>
      <w:r w:rsidRPr="008A21B1">
        <w:t>i)</w:t>
      </w:r>
      <w:r w:rsidRPr="008A21B1">
        <w:tab/>
        <w:t xml:space="preserve">ponowne potępienie nielegalnej wojny napastniczej Rosji przeciwko Ukrainie i jej ataków na światową architekturę pokoju i bezpieczeństwa, w tym instrumenty Rady Bezpieczeństwa ONZ; opowiadanie się za całkowitym zawieszeniem broni w celu złagodzenia cierpień ludności cywilnej oraz za kompleksowym, sprawiedliwym i trwałym pokojem dla Ukrainy, w tym za solidnymi gwarancjami bezpieczeństwa opartymi na Karcie Narodów Zjednoczonych i prawie międzynarodowym, przy jednoczesnym zapewnieniu pełnej odpowiedzialności za zbrodnie wojenne; wspieranie ONZ w określaniu mechanizmów prawnych umożliwiających wykorzystanie zamrożonych rosyjskich aktywów na odbudowę Ukrainy bez nakładania obciążeń finansowych na państwa członkowskie UE; </w:t>
      </w:r>
      <w:bookmarkStart w:id="4" w:name="_Hlk215655429"/>
      <w:bookmarkEnd w:id="3"/>
    </w:p>
    <w:p w14:paraId="4A680AC2" w14:textId="0CC6E4BD" w:rsidR="00C77381" w:rsidRPr="008A21B1" w:rsidRDefault="00707E50" w:rsidP="00707E50">
      <w:pPr>
        <w:pStyle w:val="NormalHangingLeft12a"/>
        <w:ind w:left="1287" w:hanging="720"/>
      </w:pPr>
      <w:r w:rsidRPr="008A21B1">
        <w:t>j)</w:t>
      </w:r>
      <w:r w:rsidRPr="008A21B1">
        <w:tab/>
        <w:t xml:space="preserve">wyrażenie zaniepokojenia ryzykiem nasilenia konfrontacji na Bliskim Wschodzie oraz destabilizującą rolą odgrywaną przez Iran i jego regionalnych popleczników; zintensyfikowanie wysiłków dyplomatycznych na forach wielostronnych i dążenie do ściślejszej współpracy z partnerami UE w regionie w celu wsparcia deeskalacji, odbudowy i konstruktywnego dialogu; wezwanie wszystkich podmiotów do wypełnienia zobowiązań wynikających z prawa </w:t>
      </w:r>
      <w:r w:rsidRPr="008A21B1">
        <w:lastRenderedPageBreak/>
        <w:t>międzynarodowego w celu osiągnięcia sprawiedliwego, kompleksowego i trwałego pokoju opartego na rozwiązaniu dwupaństwowym;</w:t>
      </w:r>
    </w:p>
    <w:bookmarkEnd w:id="4"/>
    <w:p w14:paraId="7D032C10" w14:textId="6436D099" w:rsidR="00CB5D63" w:rsidRPr="008A21B1" w:rsidRDefault="00707E50" w:rsidP="00707E50">
      <w:pPr>
        <w:pStyle w:val="NormalHangingLeft12a"/>
        <w:ind w:left="1287" w:hanging="720"/>
      </w:pPr>
      <w:r w:rsidRPr="008A21B1">
        <w:t>k)</w:t>
      </w:r>
      <w:r w:rsidRPr="008A21B1">
        <w:tab/>
        <w:t>podejmowanie działań dyplomatycznych, aby zapobiec dalszej eskalacji napięć w Cieśninie Tajwańskiej i na Morzu Południowochińskim, oraz sprzeciwienie się wszelkim jednostronnym zmianom status quo; współpracowanie z partnerami o podobnych poglądach w celu wzmocnienia stabilności w regionie; podkreślenie, że rezolucja ONZ nr 2758 nie określa zwierzchnictwa Chińskiej Republiki Ludowej nad Tajwanem, oraz zwiększenie wsparcia dla znaczącego udziału Tajwanu w organizacjach międzynarodowych;</w:t>
      </w:r>
    </w:p>
    <w:p w14:paraId="2D7F87D4" w14:textId="1FF73C9D" w:rsidR="00D71F90" w:rsidRPr="008A21B1" w:rsidRDefault="00707E50" w:rsidP="00707E50">
      <w:pPr>
        <w:pStyle w:val="NormalHangingLeft12a"/>
        <w:ind w:left="1287" w:hanging="720"/>
      </w:pPr>
      <w:r w:rsidRPr="008A21B1">
        <w:t>l)</w:t>
      </w:r>
      <w:r w:rsidRPr="008A21B1">
        <w:tab/>
        <w:t>dalszą współpracę z ONZ w celu sprostania globalnym wyzwaniom w zakresie bezpieczeństwa poprzez zapobieganie konfliktom, mediację, budowanie pokoju i zarządzanie kryzysowe, zgodnie ze strategicznym partnerstwem UE–ONZ na rzecz pokoju i bezpieczeństwa; uznanie zasadniczej roli operacji pokojowych ONZ i wykorzystanie przeglądu przyszłego funkcjonowania tych operacji, aby zapewnić ich dostosowanie do dzisiejszego krajobrazu bezpieczeństwa;</w:t>
      </w:r>
    </w:p>
    <w:p w14:paraId="2D9BD3B7" w14:textId="31CCC510" w:rsidR="00C516E8" w:rsidRPr="008A21B1" w:rsidRDefault="00707E50" w:rsidP="00707E50">
      <w:pPr>
        <w:pStyle w:val="NormalHangingLeft12a"/>
        <w:ind w:left="1287" w:hanging="720"/>
      </w:pPr>
      <w:r w:rsidRPr="008A21B1">
        <w:t>m)</w:t>
      </w:r>
      <w:r w:rsidRPr="008A21B1">
        <w:tab/>
        <w:t>uznanie poważnych zagrożeń wynikających z nowego wyścigu zbrojeń i osłabienia globalnych wysiłków na rzecz rozbrojenia, co jest w dużej mierze spowodowane zwiększaniem potencjału jądrowego przez Rosję, Chiny i Koreę Północną; dalsze zabezpieczanie i wzmacnianie wielostronnych ram regulujących nieproliferację i kontrolę zbrojeń, a także ram regulujących wywóz broni oraz towarów i technologii podwójnego zastosowania; promowanie i wzmacnianie wielostronnych instrumentów przeciwko produkcji, gromadzeniu i stosowaniu broni chemicznej i biologicznej;</w:t>
      </w:r>
    </w:p>
    <w:p w14:paraId="4BABFD43" w14:textId="7525D0CE" w:rsidR="00C9640A" w:rsidRPr="008A21B1" w:rsidRDefault="00C9640A" w:rsidP="007E620A">
      <w:pPr>
        <w:spacing w:after="240"/>
        <w:rPr>
          <w:b/>
          <w:i/>
          <w:iCs/>
          <w:szCs w:val="24"/>
        </w:rPr>
      </w:pPr>
      <w:r w:rsidRPr="008A21B1">
        <w:rPr>
          <w:b/>
          <w:i/>
        </w:rPr>
        <w:t>Zrównoważony rozwój i prawa człowieka</w:t>
      </w:r>
    </w:p>
    <w:p w14:paraId="045DF0F7" w14:textId="57146157" w:rsidR="00EE2CBB" w:rsidRPr="008A21B1" w:rsidRDefault="00707E50" w:rsidP="00707E50">
      <w:pPr>
        <w:pStyle w:val="NormalHangingLeft12a"/>
        <w:ind w:left="1287" w:hanging="720"/>
      </w:pPr>
      <w:bookmarkStart w:id="5" w:name="_Hlk218760648"/>
      <w:r w:rsidRPr="008A21B1">
        <w:t>n)</w:t>
      </w:r>
      <w:r w:rsidRPr="008A21B1">
        <w:tab/>
        <w:t xml:space="preserve">dalsze włączanie podejścia opartego na prawach człowieka do zrównoważonego rozwoju; podkreślenie wiodącej roli UE jako największego na świecie darczyńcy oficjalnej pomocy rozwojowej; </w:t>
      </w:r>
      <w:bookmarkEnd w:id="5"/>
      <w:r w:rsidRPr="008A21B1">
        <w:t>dalsze wykorzystywanie strategii Global Gateway jako zrównoważonej, przejrzystej, demokratycznej i opartej na wartościach alternatywy dla konkurencyjnych inicjatyw infrastrukturalnych oraz takiej alternatywy, która przyczynia się do osiągnięcia celów zrównoważonego rozwoju poprzez wspieranie wzajemnego wzrostu, działalności gospodarczej i tworzenia miejsc pracy w krajach partnerskich, przy jednoczesnym wzmacnianiu strategicznej autonomii, pozycji geopolitycznej i globalnej wiarygodności UE;</w:t>
      </w:r>
    </w:p>
    <w:p w14:paraId="5438355B" w14:textId="7F742CE4" w:rsidR="00BD6D13" w:rsidRPr="008A21B1" w:rsidRDefault="00707E50" w:rsidP="00707E50">
      <w:pPr>
        <w:pStyle w:val="NormalHangingLeft12a"/>
        <w:ind w:left="1287" w:hanging="720"/>
      </w:pPr>
      <w:bookmarkStart w:id="6" w:name="_Hlk218760711"/>
      <w:r w:rsidRPr="008A21B1">
        <w:t>o)</w:t>
      </w:r>
      <w:r w:rsidRPr="008A21B1">
        <w:tab/>
        <w:t xml:space="preserve">jednoznaczne potwierdzenie, że wszystkie prawa człowieka zapisane w konwencjach ONZ muszą być w pełni przestrzegane; wezwanie ONZ do potępienia globalnych tendencji podważających te prawa, w tym rosnącej marginalizacji praw człowieka i kurczącej się przestrzeni dla społeczeństwa obywatelskiego; </w:t>
      </w:r>
    </w:p>
    <w:bookmarkEnd w:id="6"/>
    <w:p w14:paraId="21D22D52" w14:textId="7D83D88D" w:rsidR="00B970FB" w:rsidRPr="008A21B1" w:rsidRDefault="00707E50" w:rsidP="00707E50">
      <w:pPr>
        <w:pStyle w:val="NormalHangingLeft12a"/>
        <w:ind w:left="1287" w:hanging="720"/>
      </w:pPr>
      <w:r w:rsidRPr="008A21B1">
        <w:t>p)</w:t>
      </w:r>
      <w:r w:rsidRPr="008A21B1">
        <w:tab/>
        <w:t xml:space="preserve">priorytetowe traktowanie walki z dezinformacją szerzoną za pomocą algorytmów przez duże platformy internetowe, coraz częstsze stosowanie dużych modeli językowych bez odpowiednich zabezpieczeń, ich wykorzystywanie przez działające w złej wierze podmioty zagraniczne oraz niewywiązywanie się przez giganty technologiczne z obowiązków wynikających </w:t>
      </w:r>
      <w:r w:rsidRPr="008A21B1">
        <w:lastRenderedPageBreak/>
        <w:t>z obowiązujących przepisów w tej dziedzinie, co zagraża demokracji i procesom wyborczym;</w:t>
      </w:r>
    </w:p>
    <w:p w14:paraId="34ED70FA" w14:textId="78F9EEF8" w:rsidR="00297376" w:rsidRPr="008A21B1" w:rsidRDefault="00707E50" w:rsidP="00707E50">
      <w:pPr>
        <w:pStyle w:val="NormalHangingLeft12a"/>
        <w:ind w:left="1287" w:hanging="720"/>
      </w:pPr>
      <w:r w:rsidRPr="008A21B1">
        <w:t>q)</w:t>
      </w:r>
      <w:r w:rsidRPr="008A21B1">
        <w:tab/>
        <w:t>wzmocnienie propagowania wolności religii i przekonań oraz zaapelowanie o bardziej zdecydowane środki ochrony mniejszości religijnych i innych mniejszości, w tym wspólnot chrześcijańskich;</w:t>
      </w:r>
    </w:p>
    <w:p w14:paraId="1C449424" w14:textId="144D6D2B" w:rsidR="0043008B" w:rsidRPr="008A21B1" w:rsidRDefault="00707E50" w:rsidP="00707E50">
      <w:pPr>
        <w:pStyle w:val="NormalHangingLeft12a"/>
        <w:ind w:left="1287" w:hanging="720"/>
      </w:pPr>
      <w:bookmarkStart w:id="7" w:name="_Hlk218761193"/>
      <w:r w:rsidRPr="008A21B1">
        <w:t>r)</w:t>
      </w:r>
      <w:r w:rsidRPr="008A21B1">
        <w:tab/>
        <w:t>wzmocnienie zaangażowania UE na rzecz promowania – wraz z partnerami – zdrowia na świecie;</w:t>
      </w:r>
      <w:bookmarkEnd w:id="7"/>
    </w:p>
    <w:p w14:paraId="62756D3F" w14:textId="77777777" w:rsidR="007E620A" w:rsidRPr="008A21B1" w:rsidRDefault="007E620A" w:rsidP="007E620A">
      <w:pPr>
        <w:pStyle w:val="NormalHanging12a"/>
        <w:jc w:val="center"/>
      </w:pPr>
      <w:r w:rsidRPr="008A21B1">
        <w:t>°</w:t>
      </w:r>
    </w:p>
    <w:p w14:paraId="4DED0452" w14:textId="77777777" w:rsidR="007E620A" w:rsidRPr="008A21B1" w:rsidRDefault="007E620A" w:rsidP="007E620A">
      <w:pPr>
        <w:pStyle w:val="NormalHanging12a"/>
        <w:jc w:val="center"/>
      </w:pPr>
      <w:r w:rsidRPr="008A21B1">
        <w:t>°</w:t>
      </w:r>
      <w:r w:rsidRPr="008A21B1">
        <w:tab/>
        <w:t>°</w:t>
      </w:r>
    </w:p>
    <w:p w14:paraId="5372BEDA" w14:textId="375AAA2A" w:rsidR="00D34438" w:rsidRPr="008A21B1" w:rsidRDefault="00707E50" w:rsidP="00707E50">
      <w:pPr>
        <w:pStyle w:val="NormalHanging12a"/>
        <w:ind w:left="720" w:hanging="720"/>
      </w:pPr>
      <w:r w:rsidRPr="008A21B1">
        <w:t>2.</w:t>
      </w:r>
      <w:r w:rsidRPr="008A21B1">
        <w:tab/>
        <w:t>zobowiązuje swoją przewodniczącą do przekazania niniejszego zalecenia Radzie, Komisji oraz wiceprzewodniczącej Komisji / wysokiej przedstawicielce Unii do spraw zagranicznych i polityki bezpieczeństwa.</w:t>
      </w:r>
    </w:p>
    <w:p w14:paraId="2037F360" w14:textId="77777777" w:rsidR="00D34438" w:rsidRPr="008A21B1" w:rsidRDefault="00D34438">
      <w:pPr>
        <w:widowControl/>
      </w:pPr>
      <w:r w:rsidRPr="008A21B1">
        <w:br w:type="page"/>
      </w:r>
    </w:p>
    <w:p w14:paraId="535787FC" w14:textId="77777777" w:rsidR="00902C4B" w:rsidRPr="008A21B1" w:rsidRDefault="00896B9D" w:rsidP="00902C4B">
      <w:pPr>
        <w:pStyle w:val="PageHeading"/>
      </w:pPr>
      <w:bookmarkStart w:id="8" w:name="_Toc220399108"/>
      <w:r w:rsidRPr="008A21B1">
        <w:lastRenderedPageBreak/>
        <w:t>UZASADNIENIE</w:t>
      </w:r>
      <w:bookmarkEnd w:id="8"/>
    </w:p>
    <w:p w14:paraId="618B9E3F" w14:textId="6D7B958D" w:rsidR="00CD51C8" w:rsidRPr="008A21B1" w:rsidRDefault="00AE6E67" w:rsidP="0028506D">
      <w:pPr>
        <w:widowControl/>
      </w:pPr>
      <w:r w:rsidRPr="008A21B1">
        <w:t xml:space="preserve">W związku z rosnącą niestabilnością na świecie, licznymi konfliktami i kryzysami oraz rosnącymi zagrożeniami dla systemu wielostronnego kluczowe znaczenie ma utrzymanie i wzmocnienie międzynarodowego porządku opartego na zasadach oraz zapewnienie skutecznego funkcjonowania organizacji międzyrządowych. W sprawozdaniu podkreślono, że trzeba wspierać skuteczny wielostronny porządek oparty na zasadach, którego centralnym elementem jest ONZ, promować i chronić prawo międzynarodowe oraz stać na straży postanowień i zasad Karty Narodów Zjednoczonych, a jednocześnie dążyć do bardziej skutecznej, efektywnej, przejrzystej, zrównoważonej finansowo i zdolnej do reagowania ONZ, która jest w stanie sprostać obecnym i pojawiającym się globalnym wyzwaniom. </w:t>
      </w:r>
    </w:p>
    <w:p w14:paraId="52428A89" w14:textId="77777777" w:rsidR="00CD51C8" w:rsidRPr="008A21B1" w:rsidRDefault="00CD51C8" w:rsidP="0028506D">
      <w:pPr>
        <w:widowControl/>
      </w:pPr>
    </w:p>
    <w:p w14:paraId="44BAD538" w14:textId="56A398F0" w:rsidR="00CD51C8" w:rsidRPr="008A21B1" w:rsidRDefault="00CD51C8" w:rsidP="0028506D">
      <w:pPr>
        <w:widowControl/>
      </w:pPr>
      <w:r w:rsidRPr="008A21B1">
        <w:t>W sprawozdaniu przypomniano o zaangażowaniu UE na rzecz praw człowieka, zrównoważonego rozwoju i współpracy wielostronnej, a także podkreślono wiodącą rolę UE w pomocy rozwojowej, jej wsparcie dla celów zrównoważonego rozwoju oraz potrzebę przeciwdziałania dezinformacji, ochrony podstawowych wolności i stania na straży wolności religii lub przekonań. Podkreślono również znaczenie modernizacji mandatów i praktyk ONZ, aby zapewnić skuteczność, bezstronność i wiarygodność w całym systemie.</w:t>
      </w:r>
    </w:p>
    <w:p w14:paraId="68BE0D95" w14:textId="77777777" w:rsidR="00CD51C8" w:rsidRPr="008A21B1" w:rsidRDefault="00CD51C8" w:rsidP="0028506D">
      <w:pPr>
        <w:widowControl/>
      </w:pPr>
    </w:p>
    <w:p w14:paraId="1ABA0D31" w14:textId="4E92972A" w:rsidR="00AE6E67" w:rsidRPr="008A21B1" w:rsidRDefault="00AE6E67" w:rsidP="0028506D">
      <w:pPr>
        <w:widowControl/>
      </w:pPr>
      <w:r w:rsidRPr="008A21B1">
        <w:t>Opowiedziano się za wykorzystaniem wielostronnej współpracy w celu lepszego sprostania obecnym wyzwaniom, takim jak utrzymanie międzynarodowego pokoju i bezpieczeństwa, zwalczanie rozprzestrzeniania broni masowego rażenia, wspieranie zrównoważonego rozwoju i propagowanie praw człowieka na całym świecie.</w:t>
      </w:r>
    </w:p>
    <w:p w14:paraId="77EABB3A" w14:textId="77777777" w:rsidR="00AE6E67" w:rsidRPr="008A21B1" w:rsidRDefault="00AE6E67" w:rsidP="00CD51C8">
      <w:pPr>
        <w:widowControl/>
        <w:jc w:val="both"/>
      </w:pPr>
    </w:p>
    <w:p w14:paraId="478D2956" w14:textId="77777777" w:rsidR="0043008B" w:rsidRPr="008A21B1" w:rsidRDefault="0043008B">
      <w:pPr>
        <w:widowControl/>
        <w:rPr>
          <w:szCs w:val="24"/>
        </w:rPr>
      </w:pPr>
      <w:r w:rsidRPr="008A21B1">
        <w:br w:type="page"/>
      </w:r>
    </w:p>
    <w:p w14:paraId="0B5B70B9" w14:textId="77777777" w:rsidR="006A553C" w:rsidRPr="008A21B1" w:rsidRDefault="006A553C" w:rsidP="006A553C">
      <w:pPr>
        <w:pStyle w:val="PageHeading"/>
        <w:rPr>
          <w:noProof/>
        </w:rPr>
      </w:pPr>
      <w:bookmarkStart w:id="9" w:name="_Toc215475374"/>
      <w:bookmarkStart w:id="10" w:name="FootprintPageRR"/>
      <w:bookmarkStart w:id="11" w:name="_Toc220399109"/>
      <w:r w:rsidRPr="008A21B1">
        <w:lastRenderedPageBreak/>
        <w:t>ZAŁĄCZNIK: WYKAZ PODMIOTÓW, OD KTÓRYCH SPRAWOZDAWCA OTRZYMAŁ INFORMACJE</w:t>
      </w:r>
      <w:bookmarkEnd w:id="9"/>
      <w:bookmarkEnd w:id="11"/>
    </w:p>
    <w:p w14:paraId="4E0023E0" w14:textId="4C3D3EB1" w:rsidR="006A553C" w:rsidRPr="008A21B1" w:rsidRDefault="006A553C" w:rsidP="006A553C">
      <w:pPr>
        <w:pStyle w:val="Normal24a"/>
        <w:jc w:val="center"/>
      </w:pPr>
    </w:p>
    <w:p w14:paraId="766D2AD4" w14:textId="77777777" w:rsidR="006A553C" w:rsidRPr="008A21B1" w:rsidRDefault="006A553C" w:rsidP="006A553C">
      <w:pPr>
        <w:pStyle w:val="Normal24a"/>
        <w:spacing w:after="240"/>
      </w:pPr>
      <w:r w:rsidRPr="008A21B1">
        <w:rPr>
          <w:rStyle w:val="HideTWBExt"/>
        </w:rPr>
        <w:t>&lt;FootprintIntro&gt;</w:t>
      </w:r>
      <w:r w:rsidRPr="008A21B1">
        <w:t>Zgodnie z art. 8 załącznika I do Regulaminu sprawozdawca oświadcza, że ujął w swoim sprawozdaniu informacje dotyczące kwestii związanych z tematem, które otrzymał podczas sporządzania projektu sprawozdania od następujących przedstawicieli grup interesu objętych zakresem porozumienia międzyinstytucjonalnego w sprawie obowiązkowego rejestru służącego przejrzystości</w:t>
      </w:r>
      <w:r w:rsidRPr="008A21B1">
        <w:rPr>
          <w:rStyle w:val="FootnoteReference"/>
        </w:rPr>
        <w:footnoteReference w:id="2"/>
      </w:r>
      <w:r w:rsidRPr="008A21B1">
        <w:t xml:space="preserve"> lub od następujących przedstawicieli organów publicznych państw trzecich, w tym ich misji dyplomatycznych i ambasad:</w:t>
      </w:r>
      <w:r w:rsidRPr="008A21B1">
        <w:rPr>
          <w:rStyle w:val="HideTWBExt"/>
        </w:rPr>
        <w:t>&lt;/FootprintIntro&gt;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6A553C" w:rsidRPr="008A21B1" w14:paraId="07719690" w14:textId="77777777" w:rsidTr="00053087">
        <w:tc>
          <w:tcPr>
            <w:tcW w:w="9060" w:type="dxa"/>
            <w:shd w:val="clear" w:color="auto" w:fill="auto"/>
          </w:tcPr>
          <w:p w14:paraId="5510FAC7" w14:textId="6F45BE2D" w:rsidR="006A553C" w:rsidRPr="008A21B1" w:rsidRDefault="006A553C" w:rsidP="00053087">
            <w:pPr>
              <w:pStyle w:val="NormalBoldCenter"/>
            </w:pPr>
            <w:r w:rsidRPr="008A21B1">
              <w:t>1. Przedstawiciele grup interesu objęci zakresem porozumienia międzyinstytucjonalnego w sprawie obowiązkowego rejestru służącego przejrzystości</w:t>
            </w:r>
          </w:p>
        </w:tc>
      </w:tr>
      <w:tr w:rsidR="006A553C" w:rsidRPr="008A21B1" w14:paraId="2B1887ED" w14:textId="77777777" w:rsidTr="00053087">
        <w:tc>
          <w:tcPr>
            <w:tcW w:w="9060" w:type="dxa"/>
            <w:shd w:val="clear" w:color="auto" w:fill="auto"/>
          </w:tcPr>
          <w:p w14:paraId="2BA9C5DD" w14:textId="5287FA16" w:rsidR="006A553C" w:rsidRPr="008A21B1" w:rsidRDefault="00465C64" w:rsidP="00053087">
            <w:pPr>
              <w:pStyle w:val="NormalSingle"/>
            </w:pPr>
            <w:r w:rsidRPr="008A21B1">
              <w:t xml:space="preserve"> </w:t>
            </w:r>
          </w:p>
        </w:tc>
      </w:tr>
      <w:tr w:rsidR="006A553C" w:rsidRPr="008A21B1" w14:paraId="53CE38BF" w14:textId="77777777" w:rsidTr="00053087">
        <w:tc>
          <w:tcPr>
            <w:tcW w:w="9060" w:type="dxa"/>
            <w:shd w:val="clear" w:color="auto" w:fill="auto"/>
          </w:tcPr>
          <w:p w14:paraId="6723645D" w14:textId="1A2AFD5A" w:rsidR="006A553C" w:rsidRPr="008A21B1" w:rsidRDefault="006A553C" w:rsidP="00053087">
            <w:pPr>
              <w:pStyle w:val="NormalBoldCenter"/>
            </w:pPr>
            <w:r w:rsidRPr="008A21B1">
              <w:t>2. Przedstawiciele organów publicznych państw trzecich, w tym ich misji dyplomatycznych i ambasad</w:t>
            </w:r>
          </w:p>
        </w:tc>
      </w:tr>
      <w:tr w:rsidR="006A553C" w:rsidRPr="008A21B1" w14:paraId="787AABEA" w14:textId="77777777" w:rsidTr="00053087">
        <w:tc>
          <w:tcPr>
            <w:tcW w:w="9060" w:type="dxa"/>
            <w:shd w:val="clear" w:color="auto" w:fill="auto"/>
          </w:tcPr>
          <w:p w14:paraId="2963E5FC" w14:textId="0B0BA17F" w:rsidR="006A553C" w:rsidRPr="008A21B1" w:rsidRDefault="00465C64" w:rsidP="00053087">
            <w:r w:rsidRPr="008A21B1">
              <w:t xml:space="preserve"> </w:t>
            </w:r>
          </w:p>
        </w:tc>
      </w:tr>
    </w:tbl>
    <w:p w14:paraId="15223921" w14:textId="756DA8B5" w:rsidR="006A553C" w:rsidRPr="008A21B1" w:rsidRDefault="006A553C" w:rsidP="006A553C">
      <w:pPr>
        <w:pStyle w:val="Footprint12b"/>
      </w:pPr>
      <w:r w:rsidRPr="008A21B1">
        <w:t>Powyższy wykaz został sporządzony na wyłączną odpowiedzialność sprawozdawcy.</w:t>
      </w:r>
    </w:p>
    <w:p w14:paraId="5CF66A0C" w14:textId="62141922" w:rsidR="006A553C" w:rsidRPr="008A21B1" w:rsidRDefault="006A553C" w:rsidP="006A553C">
      <w:pPr>
        <w:pStyle w:val="Footprint12b"/>
      </w:pPr>
      <w:r w:rsidRPr="008A21B1">
        <w:t>Gdy osoby fizyczne są wymienione w wykazie z imienia i nazwiska, zidentyfikowane poprzez swoją funkcję lub wymienione z imienia i nazwiska wraz z podaniem ich funkcji, sprawozdawca oświadcza, że przedstawił tym osobom fizycznym Oświadczenie o ochronie prywatności w Parlamencie Europejskim nr 484 (</w:t>
      </w:r>
      <w:hyperlink r:id="rId9" w:history="1">
        <w:r w:rsidRPr="008A21B1">
          <w:rPr>
            <w:rStyle w:val="Hyperlink"/>
          </w:rPr>
          <w:t>https://www.europarl.europa.eu/data-protect/index.do</w:t>
        </w:r>
      </w:hyperlink>
      <w:r w:rsidRPr="008A21B1">
        <w:t>), w którym określono warunki mające zastosowanie do przetwarzania danych osobowych tych osób oraz prawa związane z takim przetwarzaniem.</w:t>
      </w:r>
    </w:p>
    <w:p w14:paraId="744F3E00" w14:textId="77777777" w:rsidR="006A553C" w:rsidRPr="008A21B1" w:rsidRDefault="006A553C" w:rsidP="006A553C">
      <w:pPr>
        <w:pStyle w:val="Footprint12b"/>
      </w:pPr>
    </w:p>
    <w:p w14:paraId="1F0A7891" w14:textId="77777777" w:rsidR="006A553C" w:rsidRPr="008A21B1" w:rsidRDefault="006A553C" w:rsidP="006A553C"/>
    <w:bookmarkEnd w:id="10"/>
    <w:p w14:paraId="6FC0222C" w14:textId="77777777" w:rsidR="006A553C" w:rsidRPr="008A21B1" w:rsidRDefault="006A553C" w:rsidP="006A553C"/>
    <w:sectPr w:rsidR="006A553C" w:rsidRPr="008A21B1" w:rsidSect="0045276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18BE14" w14:textId="77777777" w:rsidR="00387276" w:rsidRPr="00452766" w:rsidRDefault="00387276">
      <w:r w:rsidRPr="00452766">
        <w:separator/>
      </w:r>
    </w:p>
  </w:endnote>
  <w:endnote w:type="continuationSeparator" w:id="0">
    <w:p w14:paraId="6CF125BE" w14:textId="77777777" w:rsidR="00387276" w:rsidRPr="00452766" w:rsidRDefault="00387276">
      <w:r w:rsidRPr="0045276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6FD02" w14:textId="77777777" w:rsidR="00452766" w:rsidRPr="00452766" w:rsidRDefault="00452766" w:rsidP="00452766">
    <w:pPr>
      <w:pStyle w:val="EPFooter"/>
    </w:pPr>
    <w:r w:rsidRPr="00452766">
      <w:t>PE</w:t>
    </w:r>
    <w:r w:rsidRPr="00452766">
      <w:rPr>
        <w:rStyle w:val="HideTWBExt"/>
      </w:rPr>
      <w:t>&lt;NoPE&gt;</w:t>
    </w:r>
    <w:r w:rsidRPr="00452766">
      <w:t>778.304</w:t>
    </w:r>
    <w:r w:rsidRPr="00452766">
      <w:rPr>
        <w:rStyle w:val="HideTWBExt"/>
      </w:rPr>
      <w:t>&lt;/NoPE&gt;&lt;Version&gt;</w:t>
    </w:r>
    <w:r w:rsidRPr="00452766">
      <w:t>v01-00</w:t>
    </w:r>
    <w:r w:rsidRPr="00452766">
      <w:rPr>
        <w:rStyle w:val="HideTWBExt"/>
      </w:rPr>
      <w:t>&lt;/Version&gt;</w:t>
    </w:r>
    <w:r w:rsidRPr="00452766">
      <w:tab/>
    </w:r>
    <w:r w:rsidRPr="00452766">
      <w:fldChar w:fldCharType="begin"/>
    </w:r>
    <w:r w:rsidRPr="00452766">
      <w:instrText xml:space="preserve"> PAGE  \* MERGEFORMAT </w:instrText>
    </w:r>
    <w:r w:rsidRPr="00452766">
      <w:fldChar w:fldCharType="separate"/>
    </w:r>
    <w:r w:rsidRPr="00452766">
      <w:rPr>
        <w:noProof/>
      </w:rPr>
      <w:t>2</w:t>
    </w:r>
    <w:r w:rsidRPr="00452766">
      <w:fldChar w:fldCharType="end"/>
    </w:r>
    <w:r w:rsidRPr="00452766">
      <w:t>/</w:t>
    </w:r>
    <w:fldSimple w:instr=" NUMPAGES  \* MERGEFORMAT ">
      <w:r w:rsidRPr="00452766">
        <w:rPr>
          <w:noProof/>
        </w:rPr>
        <w:t>1</w:t>
      </w:r>
    </w:fldSimple>
    <w:r w:rsidRPr="00452766">
      <w:tab/>
    </w:r>
    <w:r w:rsidRPr="00452766">
      <w:rPr>
        <w:rStyle w:val="HideTWBExt"/>
      </w:rPr>
      <w:t>&lt;PathFdR&gt;</w:t>
    </w:r>
    <w:r w:rsidRPr="00452766">
      <w:t>PR\1329698PL.docx</w:t>
    </w:r>
    <w:r w:rsidRPr="00452766">
      <w:rPr>
        <w:rStyle w:val="HideTWBExt"/>
      </w:rPr>
      <w:t>&lt;/PathFdR&gt;</w:t>
    </w:r>
  </w:p>
  <w:p w14:paraId="0F9BF890" w14:textId="7F0CBB69" w:rsidR="00144AD8" w:rsidRPr="00452766" w:rsidRDefault="00452766" w:rsidP="00452766">
    <w:pPr>
      <w:pStyle w:val="EPFooter2"/>
    </w:pPr>
    <w:r w:rsidRPr="00452766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B942D" w14:textId="77777777" w:rsidR="00452766" w:rsidRPr="00452766" w:rsidRDefault="00452766" w:rsidP="00452766">
    <w:pPr>
      <w:pStyle w:val="EPFooter"/>
    </w:pPr>
    <w:r w:rsidRPr="00452766">
      <w:rPr>
        <w:rStyle w:val="HideTWBExt"/>
      </w:rPr>
      <w:t>&lt;PathFdR&gt;</w:t>
    </w:r>
    <w:r w:rsidRPr="00452766">
      <w:t>PR\1329698PL.docx</w:t>
    </w:r>
    <w:r w:rsidRPr="00452766">
      <w:rPr>
        <w:rStyle w:val="HideTWBExt"/>
      </w:rPr>
      <w:t>&lt;/PathFdR&gt;</w:t>
    </w:r>
    <w:r w:rsidRPr="00452766">
      <w:tab/>
    </w:r>
    <w:r w:rsidRPr="00452766">
      <w:fldChar w:fldCharType="begin"/>
    </w:r>
    <w:r w:rsidRPr="00452766">
      <w:instrText xml:space="preserve"> PAGE  \* MERGEFORMAT </w:instrText>
    </w:r>
    <w:r w:rsidRPr="00452766">
      <w:fldChar w:fldCharType="separate"/>
    </w:r>
    <w:r w:rsidRPr="00452766">
      <w:rPr>
        <w:noProof/>
      </w:rPr>
      <w:t>8</w:t>
    </w:r>
    <w:r w:rsidRPr="00452766">
      <w:fldChar w:fldCharType="end"/>
    </w:r>
    <w:r w:rsidRPr="00452766">
      <w:t>/</w:t>
    </w:r>
    <w:fldSimple w:instr=" NUMPAGES  \* MERGEFORMAT ">
      <w:r w:rsidRPr="00452766">
        <w:rPr>
          <w:noProof/>
        </w:rPr>
        <w:t>1</w:t>
      </w:r>
    </w:fldSimple>
    <w:r w:rsidRPr="00452766">
      <w:tab/>
      <w:t>PE</w:t>
    </w:r>
    <w:r w:rsidRPr="00452766">
      <w:rPr>
        <w:rStyle w:val="HideTWBExt"/>
      </w:rPr>
      <w:t>&lt;NoPE&gt;</w:t>
    </w:r>
    <w:r w:rsidRPr="00452766">
      <w:t>778.304</w:t>
    </w:r>
    <w:r w:rsidRPr="00452766">
      <w:rPr>
        <w:rStyle w:val="HideTWBExt"/>
      </w:rPr>
      <w:t>&lt;/NoPE&gt;&lt;Version&gt;</w:t>
    </w:r>
    <w:r w:rsidRPr="00452766">
      <w:t>v01-00</w:t>
    </w:r>
    <w:r w:rsidRPr="00452766">
      <w:rPr>
        <w:rStyle w:val="HideTWBExt"/>
      </w:rPr>
      <w:t>&lt;/Version&gt;</w:t>
    </w:r>
  </w:p>
  <w:p w14:paraId="37E62B14" w14:textId="2A323376" w:rsidR="00144AD8" w:rsidRPr="00452766" w:rsidRDefault="00452766" w:rsidP="00452766">
    <w:pPr>
      <w:pStyle w:val="EPFooter2"/>
    </w:pPr>
    <w:r w:rsidRPr="00452766">
      <w:tab/>
    </w:r>
    <w:r w:rsidRPr="00452766">
      <w:tab/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50DDD" w14:textId="77777777" w:rsidR="00452766" w:rsidRPr="00452766" w:rsidRDefault="00452766" w:rsidP="00452766">
    <w:pPr>
      <w:pStyle w:val="EPFooter"/>
    </w:pPr>
    <w:r w:rsidRPr="00452766">
      <w:rPr>
        <w:rStyle w:val="HideTWBExt"/>
      </w:rPr>
      <w:t>&lt;PathFdR&gt;</w:t>
    </w:r>
    <w:r w:rsidRPr="00452766">
      <w:t>PR\1329698PL.docx</w:t>
    </w:r>
    <w:r w:rsidRPr="00452766">
      <w:rPr>
        <w:rStyle w:val="HideTWBExt"/>
      </w:rPr>
      <w:t>&lt;/PathFdR&gt;</w:t>
    </w:r>
    <w:r w:rsidRPr="00452766">
      <w:tab/>
    </w:r>
    <w:r w:rsidRPr="00452766">
      <w:tab/>
      <w:t>PE</w:t>
    </w:r>
    <w:r w:rsidRPr="00452766">
      <w:rPr>
        <w:rStyle w:val="HideTWBExt"/>
      </w:rPr>
      <w:t>&lt;NoPE&gt;</w:t>
    </w:r>
    <w:r w:rsidRPr="00452766">
      <w:t>778.304</w:t>
    </w:r>
    <w:r w:rsidRPr="00452766">
      <w:rPr>
        <w:rStyle w:val="HideTWBExt"/>
      </w:rPr>
      <w:t>&lt;/NoPE&gt;&lt;Version&gt;</w:t>
    </w:r>
    <w:r w:rsidRPr="00452766">
      <w:t>v01-00</w:t>
    </w:r>
    <w:r w:rsidRPr="00452766">
      <w:rPr>
        <w:rStyle w:val="HideTWBExt"/>
      </w:rPr>
      <w:t>&lt;/Version&gt;</w:t>
    </w:r>
  </w:p>
  <w:p w14:paraId="074A8343" w14:textId="07FD8A5F" w:rsidR="00144AD8" w:rsidRPr="00452766" w:rsidRDefault="00452766" w:rsidP="00452766">
    <w:pPr>
      <w:pStyle w:val="EPFooter2"/>
    </w:pPr>
    <w:r w:rsidRPr="00452766">
      <w:t>PL</w:t>
    </w:r>
    <w:r w:rsidRPr="00452766">
      <w:tab/>
    </w:r>
    <w:r w:rsidRPr="00452766">
      <w:rPr>
        <w:b w:val="0"/>
        <w:i/>
        <w:color w:val="C0C0C0"/>
        <w:sz w:val="22"/>
      </w:rPr>
      <w:t>Zjednoczona w różnorodności</w:t>
    </w:r>
    <w:r w:rsidRPr="00452766">
      <w:tab/>
      <w:t>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A131CD" w14:textId="77777777" w:rsidR="00387276" w:rsidRPr="00452766" w:rsidRDefault="00387276">
      <w:r w:rsidRPr="00452766">
        <w:separator/>
      </w:r>
    </w:p>
  </w:footnote>
  <w:footnote w:type="continuationSeparator" w:id="0">
    <w:p w14:paraId="60A82B87" w14:textId="77777777" w:rsidR="00387276" w:rsidRPr="00452766" w:rsidRDefault="00387276">
      <w:r w:rsidRPr="00452766">
        <w:continuationSeparator/>
      </w:r>
    </w:p>
  </w:footnote>
  <w:footnote w:id="1">
    <w:p w14:paraId="27F2DDCB" w14:textId="3E239178" w:rsidR="00CB5D63" w:rsidRPr="00452766" w:rsidRDefault="00CB5D63" w:rsidP="00CB5D63">
      <w:pPr>
        <w:pStyle w:val="FootnoteText"/>
      </w:pPr>
      <w:r w:rsidRPr="00452766">
        <w:rPr>
          <w:rStyle w:val="FootnoteReference"/>
        </w:rPr>
        <w:footnoteRef/>
      </w:r>
      <w:r w:rsidRPr="00452766">
        <w:t xml:space="preserve"> Dz.U. C 67 z 8.2.2022, s. 150.</w:t>
      </w:r>
    </w:p>
    <w:p w14:paraId="2B3375EF" w14:textId="77777777" w:rsidR="00CB5D63" w:rsidRPr="00452766" w:rsidRDefault="00CB5D63" w:rsidP="00CB5D63">
      <w:pPr>
        <w:pStyle w:val="FootnoteText"/>
      </w:pPr>
    </w:p>
  </w:footnote>
  <w:footnote w:id="2">
    <w:p w14:paraId="38EBE779" w14:textId="1E733E6B" w:rsidR="006A553C" w:rsidRPr="00452766" w:rsidRDefault="006A553C" w:rsidP="006A553C">
      <w:pPr>
        <w:pStyle w:val="FootnoteText"/>
      </w:pPr>
      <w:r w:rsidRPr="00452766">
        <w:rPr>
          <w:rStyle w:val="FootnoteReference"/>
        </w:rPr>
        <w:footnoteRef/>
      </w:r>
      <w:r w:rsidRPr="00452766">
        <w:t xml:space="preserve"> Porozumienie międzyinstytucjonalne z 20 maja 2021 r. pomiędzy Parlamentem Europejskim, Radą Unii Europejskiej i Komisją Europejską w sprawie obowiązkowego rejestru służącego przejrzystości (Dz.U. L 207 z 11.6.2021, s. 1, ELI: </w:t>
      </w:r>
      <w:hyperlink r:id="rId1" w:history="1">
        <w:r w:rsidRPr="00452766">
          <w:rPr>
            <w:rStyle w:val="Hyperlink"/>
          </w:rPr>
          <w:t>http://data.europa.eu/eli/agree_interinstit/2021/611/oj</w:t>
        </w:r>
      </w:hyperlink>
      <w:r w:rsidRPr="00452766"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5FB9A" w14:textId="77777777" w:rsidR="008A21B1" w:rsidRDefault="008A21B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53FFB" w14:textId="77777777" w:rsidR="008A21B1" w:rsidRDefault="008A21B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D608A" w14:textId="77777777" w:rsidR="008A21B1" w:rsidRDefault="008A21B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6E2372"/>
    <w:multiLevelType w:val="hybridMultilevel"/>
    <w:tmpl w:val="F9ACD274"/>
    <w:lvl w:ilvl="0" w:tplc="586EE6E8">
      <w:start w:val="8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081534E0"/>
    <w:multiLevelType w:val="hybridMultilevel"/>
    <w:tmpl w:val="88ACA568"/>
    <w:lvl w:ilvl="0" w:tplc="CDB42726">
      <w:start w:val="1"/>
      <w:numFmt w:val="lowerLetter"/>
      <w:lvlText w:val="(%1)"/>
      <w:lvlJc w:val="left"/>
      <w:pPr>
        <w:ind w:left="128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16061AC5"/>
    <w:multiLevelType w:val="hybridMultilevel"/>
    <w:tmpl w:val="BFDA7E54"/>
    <w:lvl w:ilvl="0" w:tplc="CDB42726">
      <w:start w:val="1"/>
      <w:numFmt w:val="lowerLetter"/>
      <w:lvlText w:val="(%1)"/>
      <w:lvlJc w:val="left"/>
      <w:pPr>
        <w:ind w:left="128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23E12039"/>
    <w:multiLevelType w:val="hybridMultilevel"/>
    <w:tmpl w:val="9C1C805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3F7C68"/>
    <w:multiLevelType w:val="hybridMultilevel"/>
    <w:tmpl w:val="0C2A2A3A"/>
    <w:lvl w:ilvl="0" w:tplc="CDB42726">
      <w:start w:val="1"/>
      <w:numFmt w:val="lowerLetter"/>
      <w:lvlText w:val="(%1)"/>
      <w:lvlJc w:val="left"/>
      <w:pPr>
        <w:ind w:left="128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33225ED5"/>
    <w:multiLevelType w:val="hybridMultilevel"/>
    <w:tmpl w:val="9342D0FE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59730FC"/>
    <w:multiLevelType w:val="hybridMultilevel"/>
    <w:tmpl w:val="CE2E70A4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FA1899"/>
    <w:multiLevelType w:val="hybridMultilevel"/>
    <w:tmpl w:val="60F40840"/>
    <w:lvl w:ilvl="0" w:tplc="CDB42726">
      <w:start w:val="1"/>
      <w:numFmt w:val="lowerLetter"/>
      <w:lvlText w:val="(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43A318F3"/>
    <w:multiLevelType w:val="hybridMultilevel"/>
    <w:tmpl w:val="B78A967E"/>
    <w:lvl w:ilvl="0" w:tplc="08090017">
      <w:start w:val="1"/>
      <w:numFmt w:val="lowerLetter"/>
      <w:lvlText w:val="%1)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46EA3AB7"/>
    <w:multiLevelType w:val="hybridMultilevel"/>
    <w:tmpl w:val="37D8B1A8"/>
    <w:lvl w:ilvl="0" w:tplc="483EE552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C87062"/>
    <w:multiLevelType w:val="hybridMultilevel"/>
    <w:tmpl w:val="7E74B532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0551E38"/>
    <w:multiLevelType w:val="hybridMultilevel"/>
    <w:tmpl w:val="374E39A0"/>
    <w:lvl w:ilvl="0" w:tplc="CDB42726">
      <w:start w:val="1"/>
      <w:numFmt w:val="lowerLetter"/>
      <w:lvlText w:val="(%1)"/>
      <w:lvlJc w:val="left"/>
      <w:pPr>
        <w:ind w:left="1287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51C41F03"/>
    <w:multiLevelType w:val="hybridMultilevel"/>
    <w:tmpl w:val="F2AC5F32"/>
    <w:lvl w:ilvl="0" w:tplc="CDB42726">
      <w:start w:val="1"/>
      <w:numFmt w:val="lowerLetter"/>
      <w:lvlText w:val="(%1)"/>
      <w:lvlJc w:val="left"/>
      <w:pPr>
        <w:ind w:left="128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60740AD7"/>
    <w:multiLevelType w:val="hybridMultilevel"/>
    <w:tmpl w:val="3528AB2C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1AC3EB3"/>
    <w:multiLevelType w:val="hybridMultilevel"/>
    <w:tmpl w:val="11B0C96A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4CE0AE6"/>
    <w:multiLevelType w:val="hybridMultilevel"/>
    <w:tmpl w:val="702A621E"/>
    <w:lvl w:ilvl="0" w:tplc="CDB42726">
      <w:start w:val="1"/>
      <w:numFmt w:val="lowerLetter"/>
      <w:lvlText w:val="(%1)"/>
      <w:lvlJc w:val="left"/>
      <w:pPr>
        <w:ind w:left="128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653B4BA9"/>
    <w:multiLevelType w:val="hybridMultilevel"/>
    <w:tmpl w:val="99A61BBC"/>
    <w:lvl w:ilvl="0" w:tplc="CDB42726">
      <w:start w:val="1"/>
      <w:numFmt w:val="lowerLetter"/>
      <w:lvlText w:val="(%1)"/>
      <w:lvlJc w:val="left"/>
      <w:pPr>
        <w:ind w:left="128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6A0D522A"/>
    <w:multiLevelType w:val="hybridMultilevel"/>
    <w:tmpl w:val="97A886DE"/>
    <w:lvl w:ilvl="0" w:tplc="CDB42726">
      <w:start w:val="1"/>
      <w:numFmt w:val="lowerLetter"/>
      <w:lvlText w:val="(%1)"/>
      <w:lvlJc w:val="left"/>
      <w:pPr>
        <w:ind w:left="128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6CE31269"/>
    <w:multiLevelType w:val="hybridMultilevel"/>
    <w:tmpl w:val="DA8CA894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62722412">
    <w:abstractNumId w:val="9"/>
  </w:num>
  <w:num w:numId="2" w16cid:durableId="531192585">
    <w:abstractNumId w:val="9"/>
  </w:num>
  <w:num w:numId="3" w16cid:durableId="688719978">
    <w:abstractNumId w:val="7"/>
  </w:num>
  <w:num w:numId="4" w16cid:durableId="1171917438">
    <w:abstractNumId w:val="7"/>
  </w:num>
  <w:num w:numId="5" w16cid:durableId="672685174">
    <w:abstractNumId w:val="6"/>
  </w:num>
  <w:num w:numId="6" w16cid:durableId="1706825671">
    <w:abstractNumId w:val="6"/>
  </w:num>
  <w:num w:numId="7" w16cid:durableId="1770201383">
    <w:abstractNumId w:val="5"/>
  </w:num>
  <w:num w:numId="8" w16cid:durableId="1738548521">
    <w:abstractNumId w:val="5"/>
  </w:num>
  <w:num w:numId="9" w16cid:durableId="1397968239">
    <w:abstractNumId w:val="4"/>
  </w:num>
  <w:num w:numId="10" w16cid:durableId="1356224145">
    <w:abstractNumId w:val="4"/>
  </w:num>
  <w:num w:numId="11" w16cid:durableId="1209873196">
    <w:abstractNumId w:val="8"/>
  </w:num>
  <w:num w:numId="12" w16cid:durableId="751051108">
    <w:abstractNumId w:val="8"/>
  </w:num>
  <w:num w:numId="13" w16cid:durableId="2082830049">
    <w:abstractNumId w:val="3"/>
  </w:num>
  <w:num w:numId="14" w16cid:durableId="1289431299">
    <w:abstractNumId w:val="3"/>
  </w:num>
  <w:num w:numId="15" w16cid:durableId="524294539">
    <w:abstractNumId w:val="2"/>
  </w:num>
  <w:num w:numId="16" w16cid:durableId="1410618520">
    <w:abstractNumId w:val="2"/>
  </w:num>
  <w:num w:numId="17" w16cid:durableId="125514317">
    <w:abstractNumId w:val="1"/>
  </w:num>
  <w:num w:numId="18" w16cid:durableId="1006057473">
    <w:abstractNumId w:val="1"/>
  </w:num>
  <w:num w:numId="19" w16cid:durableId="1985309738">
    <w:abstractNumId w:val="0"/>
  </w:num>
  <w:num w:numId="20" w16cid:durableId="1240602477">
    <w:abstractNumId w:val="0"/>
  </w:num>
  <w:num w:numId="21" w16cid:durableId="1107457784">
    <w:abstractNumId w:val="9"/>
  </w:num>
  <w:num w:numId="22" w16cid:durableId="1130856324">
    <w:abstractNumId w:val="7"/>
  </w:num>
  <w:num w:numId="23" w16cid:durableId="1727142814">
    <w:abstractNumId w:val="6"/>
  </w:num>
  <w:num w:numId="24" w16cid:durableId="111049305">
    <w:abstractNumId w:val="5"/>
  </w:num>
  <w:num w:numId="25" w16cid:durableId="956326280">
    <w:abstractNumId w:val="4"/>
  </w:num>
  <w:num w:numId="26" w16cid:durableId="1034235064">
    <w:abstractNumId w:val="8"/>
  </w:num>
  <w:num w:numId="27" w16cid:durableId="1232885594">
    <w:abstractNumId w:val="3"/>
  </w:num>
  <w:num w:numId="28" w16cid:durableId="217210116">
    <w:abstractNumId w:val="2"/>
  </w:num>
  <w:num w:numId="29" w16cid:durableId="476075216">
    <w:abstractNumId w:val="1"/>
  </w:num>
  <w:num w:numId="30" w16cid:durableId="1290739520">
    <w:abstractNumId w:val="0"/>
  </w:num>
  <w:num w:numId="31" w16cid:durableId="1160540923">
    <w:abstractNumId w:val="9"/>
  </w:num>
  <w:num w:numId="32" w16cid:durableId="1422262308">
    <w:abstractNumId w:val="7"/>
  </w:num>
  <w:num w:numId="33" w16cid:durableId="1530754230">
    <w:abstractNumId w:val="6"/>
  </w:num>
  <w:num w:numId="34" w16cid:durableId="1738626549">
    <w:abstractNumId w:val="5"/>
  </w:num>
  <w:num w:numId="35" w16cid:durableId="1809200120">
    <w:abstractNumId w:val="4"/>
  </w:num>
  <w:num w:numId="36" w16cid:durableId="1295679444">
    <w:abstractNumId w:val="8"/>
  </w:num>
  <w:num w:numId="37" w16cid:durableId="1416365839">
    <w:abstractNumId w:val="3"/>
  </w:num>
  <w:num w:numId="38" w16cid:durableId="561406607">
    <w:abstractNumId w:val="2"/>
  </w:num>
  <w:num w:numId="39" w16cid:durableId="2087878255">
    <w:abstractNumId w:val="1"/>
  </w:num>
  <w:num w:numId="40" w16cid:durableId="1058940524">
    <w:abstractNumId w:val="0"/>
  </w:num>
  <w:num w:numId="41" w16cid:durableId="1732461072">
    <w:abstractNumId w:val="15"/>
  </w:num>
  <w:num w:numId="42" w16cid:durableId="424232563">
    <w:abstractNumId w:val="24"/>
  </w:num>
  <w:num w:numId="43" w16cid:durableId="245194089">
    <w:abstractNumId w:val="20"/>
  </w:num>
  <w:num w:numId="44" w16cid:durableId="1645356480">
    <w:abstractNumId w:val="23"/>
  </w:num>
  <w:num w:numId="45" w16cid:durableId="1067457206">
    <w:abstractNumId w:val="28"/>
  </w:num>
  <w:num w:numId="46" w16cid:durableId="1937253909">
    <w:abstractNumId w:val="19"/>
  </w:num>
  <w:num w:numId="47" w16cid:durableId="387143503">
    <w:abstractNumId w:val="10"/>
  </w:num>
  <w:num w:numId="48" w16cid:durableId="1209608354">
    <w:abstractNumId w:val="12"/>
  </w:num>
  <w:num w:numId="49" w16cid:durableId="1964536448">
    <w:abstractNumId w:val="17"/>
  </w:num>
  <w:num w:numId="50" w16cid:durableId="1127548729">
    <w:abstractNumId w:val="21"/>
  </w:num>
  <w:num w:numId="51" w16cid:durableId="2059815274">
    <w:abstractNumId w:val="14"/>
  </w:num>
  <w:num w:numId="52" w16cid:durableId="766509828">
    <w:abstractNumId w:val="27"/>
  </w:num>
  <w:num w:numId="53" w16cid:durableId="2042438963">
    <w:abstractNumId w:val="22"/>
  </w:num>
  <w:num w:numId="54" w16cid:durableId="1556896433">
    <w:abstractNumId w:val="11"/>
  </w:num>
  <w:num w:numId="55" w16cid:durableId="1838155668">
    <w:abstractNumId w:val="26"/>
  </w:num>
  <w:num w:numId="56" w16cid:durableId="652832834">
    <w:abstractNumId w:val="25"/>
  </w:num>
  <w:num w:numId="57" w16cid:durableId="378357508">
    <w:abstractNumId w:val="16"/>
  </w:num>
  <w:num w:numId="58" w16cid:durableId="1113943591">
    <w:abstractNumId w:val="13"/>
  </w:num>
  <w:num w:numId="59" w16cid:durableId="1269462809">
    <w:abstractNumId w:val="18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14337"/>
  </w:hdrShapeDefaults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KEY" w:val="AFET"/>
    <w:docVar w:name="INSTMNU" w:val=" 1"/>
    <w:docVar w:name="LastEditedSection" w:val=" 1"/>
    <w:docVar w:name="strDocTypeID" w:val="PR_INI_RecommCFSP"/>
    <w:docVar w:name="strSubDir" w:val="1329"/>
    <w:docVar w:name="TXTLANGUE" w:val="EN"/>
    <w:docVar w:name="TXTLANGUEMIN" w:val="en"/>
    <w:docVar w:name="TXTNRINI" w:val="2025/2167"/>
    <w:docVar w:name="TXTNRPE" w:val="778.304"/>
    <w:docVar w:name="TXTPEorAP" w:val="PE"/>
    <w:docVar w:name="TXTROUTE" w:val="PR\1329698EN.docx"/>
    <w:docVar w:name="TXTVERSION" w:val="01-00"/>
  </w:docVars>
  <w:rsids>
    <w:rsidRoot w:val="00896B9D"/>
    <w:rsid w:val="000005E5"/>
    <w:rsid w:val="0000194F"/>
    <w:rsid w:val="00001993"/>
    <w:rsid w:val="00005D56"/>
    <w:rsid w:val="0000601D"/>
    <w:rsid w:val="00010437"/>
    <w:rsid w:val="00011E6C"/>
    <w:rsid w:val="000249F8"/>
    <w:rsid w:val="0003404E"/>
    <w:rsid w:val="00047338"/>
    <w:rsid w:val="00051D6A"/>
    <w:rsid w:val="000573D8"/>
    <w:rsid w:val="00060690"/>
    <w:rsid w:val="00063E41"/>
    <w:rsid w:val="00095574"/>
    <w:rsid w:val="000C5772"/>
    <w:rsid w:val="000E0E59"/>
    <w:rsid w:val="000E3309"/>
    <w:rsid w:val="000E74AE"/>
    <w:rsid w:val="00130D7C"/>
    <w:rsid w:val="00144AD8"/>
    <w:rsid w:val="001473DA"/>
    <w:rsid w:val="001533B4"/>
    <w:rsid w:val="00153724"/>
    <w:rsid w:val="00160CE3"/>
    <w:rsid w:val="00160F77"/>
    <w:rsid w:val="001626C5"/>
    <w:rsid w:val="00172D15"/>
    <w:rsid w:val="001B22EB"/>
    <w:rsid w:val="001B28D9"/>
    <w:rsid w:val="001B71F5"/>
    <w:rsid w:val="001D7320"/>
    <w:rsid w:val="001E57B1"/>
    <w:rsid w:val="001E58B8"/>
    <w:rsid w:val="001F12C4"/>
    <w:rsid w:val="001F245B"/>
    <w:rsid w:val="00213E6B"/>
    <w:rsid w:val="00234B03"/>
    <w:rsid w:val="002435D4"/>
    <w:rsid w:val="0024591C"/>
    <w:rsid w:val="00267945"/>
    <w:rsid w:val="00283CFE"/>
    <w:rsid w:val="0028506D"/>
    <w:rsid w:val="00296EE3"/>
    <w:rsid w:val="002972DF"/>
    <w:rsid w:val="00297376"/>
    <w:rsid w:val="002A02CE"/>
    <w:rsid w:val="002D5B10"/>
    <w:rsid w:val="002E3E37"/>
    <w:rsid w:val="002F0B22"/>
    <w:rsid w:val="003103CD"/>
    <w:rsid w:val="0032649C"/>
    <w:rsid w:val="0034322A"/>
    <w:rsid w:val="00377DF6"/>
    <w:rsid w:val="00387276"/>
    <w:rsid w:val="00387C58"/>
    <w:rsid w:val="00392B01"/>
    <w:rsid w:val="00392F42"/>
    <w:rsid w:val="00395147"/>
    <w:rsid w:val="003953D8"/>
    <w:rsid w:val="003A4F37"/>
    <w:rsid w:val="003B082D"/>
    <w:rsid w:val="003B67C0"/>
    <w:rsid w:val="003D0074"/>
    <w:rsid w:val="003D3EDC"/>
    <w:rsid w:val="003D4380"/>
    <w:rsid w:val="003E7114"/>
    <w:rsid w:val="003F08E9"/>
    <w:rsid w:val="003F256C"/>
    <w:rsid w:val="003F70E3"/>
    <w:rsid w:val="00412608"/>
    <w:rsid w:val="004137F0"/>
    <w:rsid w:val="00421A09"/>
    <w:rsid w:val="00426224"/>
    <w:rsid w:val="0043008B"/>
    <w:rsid w:val="00434A68"/>
    <w:rsid w:val="0044257E"/>
    <w:rsid w:val="00452766"/>
    <w:rsid w:val="004543C4"/>
    <w:rsid w:val="00465C64"/>
    <w:rsid w:val="00473FC5"/>
    <w:rsid w:val="0048348D"/>
    <w:rsid w:val="00490D80"/>
    <w:rsid w:val="004970D8"/>
    <w:rsid w:val="004A05EC"/>
    <w:rsid w:val="004A388E"/>
    <w:rsid w:val="004A38C8"/>
    <w:rsid w:val="004A5141"/>
    <w:rsid w:val="004A6F8C"/>
    <w:rsid w:val="004C2629"/>
    <w:rsid w:val="004C286D"/>
    <w:rsid w:val="004D4354"/>
    <w:rsid w:val="004E27E4"/>
    <w:rsid w:val="004F72C4"/>
    <w:rsid w:val="00536232"/>
    <w:rsid w:val="00541D23"/>
    <w:rsid w:val="00546311"/>
    <w:rsid w:val="005566D7"/>
    <w:rsid w:val="00557050"/>
    <w:rsid w:val="005577F1"/>
    <w:rsid w:val="005725F7"/>
    <w:rsid w:val="005819EE"/>
    <w:rsid w:val="0059466B"/>
    <w:rsid w:val="005975FC"/>
    <w:rsid w:val="005B779C"/>
    <w:rsid w:val="005C3BEE"/>
    <w:rsid w:val="005D3013"/>
    <w:rsid w:val="005F23B4"/>
    <w:rsid w:val="005F6070"/>
    <w:rsid w:val="006001F6"/>
    <w:rsid w:val="0060431D"/>
    <w:rsid w:val="00607739"/>
    <w:rsid w:val="00625E57"/>
    <w:rsid w:val="00626655"/>
    <w:rsid w:val="0062719E"/>
    <w:rsid w:val="00627DF1"/>
    <w:rsid w:val="00633117"/>
    <w:rsid w:val="006419A6"/>
    <w:rsid w:val="00643211"/>
    <w:rsid w:val="00651090"/>
    <w:rsid w:val="00667763"/>
    <w:rsid w:val="00683038"/>
    <w:rsid w:val="00685A3C"/>
    <w:rsid w:val="00686DFF"/>
    <w:rsid w:val="00686FAA"/>
    <w:rsid w:val="0069495A"/>
    <w:rsid w:val="00694D4D"/>
    <w:rsid w:val="0069777F"/>
    <w:rsid w:val="006A553C"/>
    <w:rsid w:val="006A68FC"/>
    <w:rsid w:val="006B01BF"/>
    <w:rsid w:val="006D4C8E"/>
    <w:rsid w:val="006E3120"/>
    <w:rsid w:val="006E363A"/>
    <w:rsid w:val="006F61F5"/>
    <w:rsid w:val="00707E50"/>
    <w:rsid w:val="0072726C"/>
    <w:rsid w:val="00732D57"/>
    <w:rsid w:val="0074671C"/>
    <w:rsid w:val="0076195E"/>
    <w:rsid w:val="007625C8"/>
    <w:rsid w:val="00763A34"/>
    <w:rsid w:val="0077210C"/>
    <w:rsid w:val="00772C05"/>
    <w:rsid w:val="00774633"/>
    <w:rsid w:val="00775A9B"/>
    <w:rsid w:val="007A767E"/>
    <w:rsid w:val="007C4764"/>
    <w:rsid w:val="007C6A0B"/>
    <w:rsid w:val="007E620A"/>
    <w:rsid w:val="007F4C66"/>
    <w:rsid w:val="00805EF3"/>
    <w:rsid w:val="0081489C"/>
    <w:rsid w:val="00853909"/>
    <w:rsid w:val="00855A58"/>
    <w:rsid w:val="0086407B"/>
    <w:rsid w:val="00865AB2"/>
    <w:rsid w:val="00865B36"/>
    <w:rsid w:val="0087069C"/>
    <w:rsid w:val="00875597"/>
    <w:rsid w:val="00883536"/>
    <w:rsid w:val="0089120A"/>
    <w:rsid w:val="00896B9D"/>
    <w:rsid w:val="008A21B1"/>
    <w:rsid w:val="008B6C3B"/>
    <w:rsid w:val="008C7018"/>
    <w:rsid w:val="008D0C21"/>
    <w:rsid w:val="008F4BBF"/>
    <w:rsid w:val="00902C4B"/>
    <w:rsid w:val="009062FC"/>
    <w:rsid w:val="00925B6B"/>
    <w:rsid w:val="009302EC"/>
    <w:rsid w:val="00931782"/>
    <w:rsid w:val="00932701"/>
    <w:rsid w:val="009340AC"/>
    <w:rsid w:val="009406F3"/>
    <w:rsid w:val="00943CB3"/>
    <w:rsid w:val="009508B0"/>
    <w:rsid w:val="00962E3D"/>
    <w:rsid w:val="009730DA"/>
    <w:rsid w:val="00991AC5"/>
    <w:rsid w:val="00997666"/>
    <w:rsid w:val="009B2241"/>
    <w:rsid w:val="009B3734"/>
    <w:rsid w:val="009F5985"/>
    <w:rsid w:val="00A039E1"/>
    <w:rsid w:val="00A144CA"/>
    <w:rsid w:val="00A15424"/>
    <w:rsid w:val="00A22B21"/>
    <w:rsid w:val="00A322E1"/>
    <w:rsid w:val="00A53025"/>
    <w:rsid w:val="00A53DAA"/>
    <w:rsid w:val="00A57D8B"/>
    <w:rsid w:val="00A57F66"/>
    <w:rsid w:val="00A66266"/>
    <w:rsid w:val="00A70E79"/>
    <w:rsid w:val="00A75514"/>
    <w:rsid w:val="00A845D6"/>
    <w:rsid w:val="00AC616B"/>
    <w:rsid w:val="00AD477F"/>
    <w:rsid w:val="00AD573F"/>
    <w:rsid w:val="00AD6B38"/>
    <w:rsid w:val="00AE45B8"/>
    <w:rsid w:val="00AE6E67"/>
    <w:rsid w:val="00AF2187"/>
    <w:rsid w:val="00B036A6"/>
    <w:rsid w:val="00B06E6D"/>
    <w:rsid w:val="00B10048"/>
    <w:rsid w:val="00B10167"/>
    <w:rsid w:val="00B16514"/>
    <w:rsid w:val="00B26C55"/>
    <w:rsid w:val="00B35D8A"/>
    <w:rsid w:val="00B4478B"/>
    <w:rsid w:val="00B6527B"/>
    <w:rsid w:val="00B6642B"/>
    <w:rsid w:val="00B73D89"/>
    <w:rsid w:val="00B92130"/>
    <w:rsid w:val="00B970FB"/>
    <w:rsid w:val="00BA0A44"/>
    <w:rsid w:val="00BC1FA6"/>
    <w:rsid w:val="00BD0444"/>
    <w:rsid w:val="00BD6D13"/>
    <w:rsid w:val="00BE1DB6"/>
    <w:rsid w:val="00BE7750"/>
    <w:rsid w:val="00C0044A"/>
    <w:rsid w:val="00C073E1"/>
    <w:rsid w:val="00C117BE"/>
    <w:rsid w:val="00C140C2"/>
    <w:rsid w:val="00C21893"/>
    <w:rsid w:val="00C3019B"/>
    <w:rsid w:val="00C479C8"/>
    <w:rsid w:val="00C47D1A"/>
    <w:rsid w:val="00C516E8"/>
    <w:rsid w:val="00C5392B"/>
    <w:rsid w:val="00C54679"/>
    <w:rsid w:val="00C60AB9"/>
    <w:rsid w:val="00C63A6A"/>
    <w:rsid w:val="00C71E45"/>
    <w:rsid w:val="00C7235E"/>
    <w:rsid w:val="00C7360B"/>
    <w:rsid w:val="00C77381"/>
    <w:rsid w:val="00C832B5"/>
    <w:rsid w:val="00C8672E"/>
    <w:rsid w:val="00C87792"/>
    <w:rsid w:val="00C9640A"/>
    <w:rsid w:val="00CA0DE5"/>
    <w:rsid w:val="00CB2AC0"/>
    <w:rsid w:val="00CB5D63"/>
    <w:rsid w:val="00CD51C8"/>
    <w:rsid w:val="00CE4FE3"/>
    <w:rsid w:val="00CF5B71"/>
    <w:rsid w:val="00D3002E"/>
    <w:rsid w:val="00D33E14"/>
    <w:rsid w:val="00D34438"/>
    <w:rsid w:val="00D349C1"/>
    <w:rsid w:val="00D43BB7"/>
    <w:rsid w:val="00D45E75"/>
    <w:rsid w:val="00D71F90"/>
    <w:rsid w:val="00D7697D"/>
    <w:rsid w:val="00D82112"/>
    <w:rsid w:val="00D860C1"/>
    <w:rsid w:val="00D926CF"/>
    <w:rsid w:val="00DA0EF9"/>
    <w:rsid w:val="00DA1BEE"/>
    <w:rsid w:val="00DB2384"/>
    <w:rsid w:val="00DB4B85"/>
    <w:rsid w:val="00DD2480"/>
    <w:rsid w:val="00E048E2"/>
    <w:rsid w:val="00E05579"/>
    <w:rsid w:val="00E15200"/>
    <w:rsid w:val="00E21D05"/>
    <w:rsid w:val="00E24484"/>
    <w:rsid w:val="00E24B95"/>
    <w:rsid w:val="00E25FF4"/>
    <w:rsid w:val="00E26C78"/>
    <w:rsid w:val="00E33C6D"/>
    <w:rsid w:val="00E34F46"/>
    <w:rsid w:val="00E36C96"/>
    <w:rsid w:val="00E37E2C"/>
    <w:rsid w:val="00E559D4"/>
    <w:rsid w:val="00E60BDA"/>
    <w:rsid w:val="00EA624D"/>
    <w:rsid w:val="00EB03EC"/>
    <w:rsid w:val="00EE2CBB"/>
    <w:rsid w:val="00EE63D1"/>
    <w:rsid w:val="00F0065E"/>
    <w:rsid w:val="00F103AD"/>
    <w:rsid w:val="00F21803"/>
    <w:rsid w:val="00F25BEA"/>
    <w:rsid w:val="00F31C85"/>
    <w:rsid w:val="00F36B44"/>
    <w:rsid w:val="00F42C93"/>
    <w:rsid w:val="00F617BF"/>
    <w:rsid w:val="00F65426"/>
    <w:rsid w:val="00F77182"/>
    <w:rsid w:val="00F83205"/>
    <w:rsid w:val="00F8404A"/>
    <w:rsid w:val="00F866AE"/>
    <w:rsid w:val="00F932BC"/>
    <w:rsid w:val="00F97447"/>
    <w:rsid w:val="00FA5E98"/>
    <w:rsid w:val="00FA7E38"/>
    <w:rsid w:val="00FB26C5"/>
    <w:rsid w:val="00FC504F"/>
    <w:rsid w:val="00FC5F47"/>
    <w:rsid w:val="00FD4651"/>
    <w:rsid w:val="00FD5BD0"/>
    <w:rsid w:val="00FF6089"/>
    <w:rsid w:val="00FF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6DC9D247"/>
  <w15:chartTrackingRefBased/>
  <w15:docId w15:val="{E3D28F8C-4775-406B-B52C-1FB134907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34B03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A144CA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005D56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link w:val="NormalHanging12aChar"/>
    <w:qFormat/>
    <w:pPr>
      <w:spacing w:after="240"/>
      <w:ind w:left="567" w:hanging="567"/>
    </w:pPr>
  </w:style>
  <w:style w:type="paragraph" w:customStyle="1" w:styleId="EPName">
    <w:name w:val="EPName"/>
    <w:basedOn w:val="Normal"/>
    <w:rsid w:val="009340AC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C47D1A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6E363A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C47D1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6D4C8E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semiHidden/>
  </w:style>
  <w:style w:type="table" w:styleId="TableGrid">
    <w:name w:val="Table Grid"/>
    <w:basedOn w:val="TableNormal"/>
    <w:rsid w:val="00C723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C7235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C7235E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C7235E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9340AC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9340AC"/>
    <w:pPr>
      <w:jc w:val="right"/>
    </w:pPr>
  </w:style>
  <w:style w:type="paragraph" w:customStyle="1" w:styleId="EPFooter">
    <w:name w:val="EPFooter"/>
    <w:basedOn w:val="Normal"/>
    <w:rsid w:val="00C47D1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6D4C8E"/>
    <w:rPr>
      <w:sz w:val="24"/>
    </w:rPr>
  </w:style>
  <w:style w:type="paragraph" w:customStyle="1" w:styleId="NormalHangingLeft12a">
    <w:name w:val="NormalHangingLeft12a"/>
    <w:basedOn w:val="Normal"/>
    <w:rsid w:val="00F65426"/>
    <w:pPr>
      <w:spacing w:after="240"/>
      <w:ind w:left="1134" w:hanging="567"/>
    </w:pPr>
  </w:style>
  <w:style w:type="paragraph" w:customStyle="1" w:styleId="Normal12a">
    <w:name w:val="Normal12a"/>
    <w:basedOn w:val="Normal"/>
    <w:rsid w:val="00902C4B"/>
    <w:pPr>
      <w:spacing w:after="240"/>
    </w:pPr>
  </w:style>
  <w:style w:type="paragraph" w:customStyle="1" w:styleId="NormalHanging">
    <w:name w:val="NormalHanging"/>
    <w:basedOn w:val="Normal"/>
    <w:rsid w:val="00CB5D63"/>
    <w:pPr>
      <w:spacing w:after="240"/>
      <w:ind w:left="566" w:hanging="566"/>
    </w:pPr>
    <w:rPr>
      <w:szCs w:val="24"/>
      <w:lang w:eastAsia="en-US"/>
    </w:rPr>
  </w:style>
  <w:style w:type="character" w:styleId="FootnoteReference">
    <w:name w:val="footnote reference"/>
    <w:basedOn w:val="DefaultParagraphFont"/>
    <w:rsid w:val="00CB5D63"/>
    <w:rPr>
      <w:vertAlign w:val="superscript"/>
    </w:rPr>
  </w:style>
  <w:style w:type="paragraph" w:styleId="FootnoteText">
    <w:name w:val="footnote text"/>
    <w:basedOn w:val="Normal"/>
    <w:link w:val="FootnoteTextChar"/>
    <w:rsid w:val="00CB5D63"/>
    <w:rPr>
      <w:sz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rsid w:val="00CB5D63"/>
    <w:rPr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rsid w:val="00CB5D63"/>
    <w:rPr>
      <w:sz w:val="24"/>
    </w:rPr>
  </w:style>
  <w:style w:type="paragraph" w:customStyle="1" w:styleId="Action">
    <w:name w:val="Action"/>
    <w:basedOn w:val="Normal"/>
    <w:rsid w:val="0043008B"/>
    <w:pPr>
      <w:keepNext/>
      <w:keepLines/>
      <w:tabs>
        <w:tab w:val="left" w:pos="357"/>
      </w:tabs>
      <w:spacing w:after="240"/>
      <w:ind w:left="357" w:hanging="357"/>
    </w:pPr>
    <w:rPr>
      <w:snapToGrid w:val="0"/>
      <w:lang w:eastAsia="en-US"/>
    </w:rPr>
  </w:style>
  <w:style w:type="paragraph" w:customStyle="1" w:styleId="Normal12">
    <w:name w:val="Normal12"/>
    <w:basedOn w:val="Normal"/>
    <w:rsid w:val="0043008B"/>
    <w:pPr>
      <w:spacing w:after="240"/>
    </w:pPr>
    <w:rPr>
      <w:szCs w:val="24"/>
      <w:lang w:eastAsia="en-US"/>
    </w:rPr>
  </w:style>
  <w:style w:type="character" w:styleId="Hyperlink">
    <w:name w:val="Hyperlink"/>
    <w:basedOn w:val="DefaultParagraphFont"/>
    <w:rsid w:val="0043008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F245B"/>
    <w:pPr>
      <w:widowControl/>
      <w:ind w:left="720"/>
      <w:contextualSpacing/>
      <w:jc w:val="both"/>
    </w:pPr>
    <w:rPr>
      <w:rFonts w:eastAsiaTheme="minorHAnsi"/>
      <w:kern w:val="2"/>
      <w:szCs w:val="24"/>
      <w:lang w:eastAsia="en-US"/>
      <w14:ligatures w14:val="standardContextual"/>
    </w:rPr>
  </w:style>
  <w:style w:type="paragraph" w:styleId="Revision">
    <w:name w:val="Revision"/>
    <w:hidden/>
    <w:uiPriority w:val="99"/>
    <w:semiHidden/>
    <w:rsid w:val="00A70E79"/>
    <w:rPr>
      <w:sz w:val="24"/>
    </w:rPr>
  </w:style>
  <w:style w:type="character" w:styleId="CommentReference">
    <w:name w:val="annotation reference"/>
    <w:basedOn w:val="DefaultParagraphFont"/>
    <w:rsid w:val="00A70E79"/>
    <w:rPr>
      <w:sz w:val="16"/>
      <w:szCs w:val="16"/>
    </w:rPr>
  </w:style>
  <w:style w:type="paragraph" w:styleId="CommentText">
    <w:name w:val="annotation text"/>
    <w:basedOn w:val="Normal"/>
    <w:link w:val="CommentTextChar"/>
    <w:rsid w:val="00A70E7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70E79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70E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70E79"/>
    <w:rPr>
      <w:b/>
      <w:bCs/>
    </w:rPr>
  </w:style>
  <w:style w:type="paragraph" w:customStyle="1" w:styleId="Normal24a">
    <w:name w:val="Normal24a"/>
    <w:basedOn w:val="Normal"/>
    <w:rsid w:val="006A553C"/>
    <w:pPr>
      <w:spacing w:after="480"/>
    </w:pPr>
  </w:style>
  <w:style w:type="paragraph" w:customStyle="1" w:styleId="NormalBoldCenter">
    <w:name w:val="NormalBoldCenter"/>
    <w:basedOn w:val="Normal"/>
    <w:rsid w:val="006A553C"/>
    <w:pPr>
      <w:jc w:val="center"/>
    </w:pPr>
    <w:rPr>
      <w:b/>
    </w:rPr>
  </w:style>
  <w:style w:type="paragraph" w:customStyle="1" w:styleId="Footprint12b">
    <w:name w:val="Footprint12b"/>
    <w:basedOn w:val="Normal"/>
    <w:rsid w:val="006A553C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6A553C"/>
    <w:rPr>
      <w:szCs w:val="24"/>
    </w:rPr>
  </w:style>
  <w:style w:type="paragraph" w:styleId="Footer">
    <w:name w:val="footer"/>
    <w:basedOn w:val="Normal"/>
    <w:link w:val="FooterChar"/>
    <w:semiHidden/>
    <w:rsid w:val="00707E5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707E50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1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3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0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europarl.europa.eu/data-protect/index.do" TargetMode="External"/><Relationship Id="rId14" Type="http://schemas.openxmlformats.org/officeDocument/2006/relationships/header" Target="head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instit/2021/611/oj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anart\AppData\Local\Temp\PR_INI_RecommCFSP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A69BCC-3923-4F5F-80D1-C7F076925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PR_INI_RecommCFSP.dotx</Template>
  <TotalTime>1</TotalTime>
  <Pages>9</Pages>
  <Words>1818</Words>
  <Characters>12892</Characters>
  <Application>Microsoft Office Word</Application>
  <DocSecurity>0</DocSecurity>
  <Lines>252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PR_INI_RecommCFSP</vt:lpstr>
    </vt:vector>
  </TitlesOfParts>
  <Company/>
  <LinksUpToDate>false</LinksUpToDate>
  <CharactersWithSpaces>14620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PR_INI_RecommCFSP</dc:title>
  <dc:subject/>
  <dc:creator>CANART Pascale</dc:creator>
  <cp:keywords/>
  <dc:description/>
  <cp:lastModifiedBy>PERNAK Anna</cp:lastModifiedBy>
  <cp:revision>2</cp:revision>
  <cp:lastPrinted>2026-01-13T09:45:00Z</cp:lastPrinted>
  <dcterms:created xsi:type="dcterms:W3CDTF">2026-01-27T08:38:00Z</dcterms:created>
  <dcterms:modified xsi:type="dcterms:W3CDTF">2026-01-27T08:38:00Z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Created with">
    <vt:lpwstr>10.2.0 Build [20251001]</vt:lpwstr>
  </property>
  <property fmtid="{D5CDD505-2E9C-101B-9397-08002B2CF9AE}" pid="4" name="LastEdited with">
    <vt:lpwstr>10.2.1 Build [20251215]</vt:lpwstr>
  </property>
  <property fmtid="{D5CDD505-2E9C-101B-9397-08002B2CF9AE}" pid="5" name="&lt;FdR&gt;">
    <vt:lpwstr>1329698</vt:lpwstr>
  </property>
  <property fmtid="{D5CDD505-2E9C-101B-9397-08002B2CF9AE}" pid="6" name="&lt;Type&gt;">
    <vt:lpwstr>PR</vt:lpwstr>
  </property>
  <property fmtid="{D5CDD505-2E9C-101B-9397-08002B2CF9AE}" pid="7" name="&lt;ModelCod&gt;">
    <vt:lpwstr>\\eiciBRUpr1\pdocep$\DocEP\DOCS\General\PR\PR_NonLeg\INI\PR_INI_RecommCFSP.dotx(23/11/2023 19:35:01)</vt:lpwstr>
  </property>
  <property fmtid="{D5CDD505-2E9C-101B-9397-08002B2CF9AE}" pid="8" name="&lt;ModelTra&gt;">
    <vt:lpwstr>\\eiciBRUpr1\pdocep$\DocEP\TRANSFIL\EN\PR_INI_RecommCFSP.EN(14/08/2024 19:08:08)</vt:lpwstr>
  </property>
  <property fmtid="{D5CDD505-2E9C-101B-9397-08002B2CF9AE}" pid="9" name="&lt;Model&gt;">
    <vt:lpwstr>PR_INI_RecommCFSP</vt:lpwstr>
  </property>
  <property fmtid="{D5CDD505-2E9C-101B-9397-08002B2CF9AE}" pid="10" name="FooterPath">
    <vt:lpwstr>PR\1329698PL.docx</vt:lpwstr>
  </property>
  <property fmtid="{D5CDD505-2E9C-101B-9397-08002B2CF9AE}" pid="11" name="PE number">
    <vt:lpwstr>778.304</vt:lpwstr>
  </property>
  <property fmtid="{D5CDD505-2E9C-101B-9397-08002B2CF9AE}" pid="12" name="SendToEpades">
    <vt:lpwstr>OK - 2026/01/12 09:40</vt:lpwstr>
  </property>
  <property fmtid="{D5CDD505-2E9C-101B-9397-08002B2CF9AE}" pid="13" name="Bookout">
    <vt:lpwstr>OK - 2026/01/27 09:38</vt:lpwstr>
  </property>
  <property fmtid="{D5CDD505-2E9C-101B-9397-08002B2CF9AE}" pid="14" name="SDLStudio">
    <vt:lpwstr/>
  </property>
</Properties>
</file>