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532A8" w14:paraId="0DB6367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F07D64" w14:textId="77777777" w:rsidR="00C93A60" w:rsidRPr="008C3DB1" w:rsidRDefault="008434ED" w:rsidP="00C85D0F">
            <w:pPr>
              <w:pStyle w:val="EPName"/>
            </w:pPr>
            <w:r>
              <w:t>Parlament Ewropew</w:t>
            </w:r>
          </w:p>
          <w:p w14:paraId="03075101" w14:textId="77777777" w:rsidR="00C93A60" w:rsidRPr="008C3DB1" w:rsidRDefault="008434ED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ABB4797" w14:textId="77777777" w:rsidR="00C93A60" w:rsidRPr="008C3DB1" w:rsidRDefault="008434ED" w:rsidP="00C85D0F">
            <w:pPr>
              <w:pStyle w:val="EPLogo"/>
            </w:pPr>
            <w:r w:rsidRPr="008C3DB1">
              <w:rPr>
                <w:noProof/>
                <w:lang w:eastAsia="ja-JP"/>
              </w:rPr>
              <w:drawing>
                <wp:inline distT="0" distB="0" distL="0" distR="0" wp14:anchorId="7C1E5F5A" wp14:editId="343CE9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552098" w14:textId="77777777" w:rsidR="00E3537C" w:rsidRPr="008C3DB1" w:rsidRDefault="00E3537C" w:rsidP="00E3537C">
      <w:pPr>
        <w:pStyle w:val="LineTop"/>
      </w:pPr>
    </w:p>
    <w:p w14:paraId="36D03020" w14:textId="77777777" w:rsidR="00E3537C" w:rsidRPr="008C3DB1" w:rsidRDefault="008434ED" w:rsidP="00E3537C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color w:val="auto"/>
        </w:rPr>
        <w:t>{AFET}</w:t>
      </w:r>
      <w:r>
        <w:t>Kumitat għall-Affarijiet Barranin</w:t>
      </w:r>
      <w:r>
        <w:rPr>
          <w:rStyle w:val="HideTWBExt"/>
          <w:i w:val="0"/>
        </w:rPr>
        <w:t>&lt;/Commission&gt;</w:t>
      </w:r>
    </w:p>
    <w:p w14:paraId="6BD30B59" w14:textId="77777777" w:rsidR="00E3537C" w:rsidRPr="008C3DB1" w:rsidRDefault="00E3537C" w:rsidP="00E3537C">
      <w:pPr>
        <w:pStyle w:val="LineBottom"/>
      </w:pPr>
    </w:p>
    <w:p w14:paraId="1A67395D" w14:textId="77777777" w:rsidR="00100069" w:rsidRPr="008C3DB1" w:rsidRDefault="008434ED">
      <w:pPr>
        <w:pStyle w:val="CoverReference"/>
      </w:pPr>
      <w:r>
        <w:rPr>
          <w:rStyle w:val="HideTWBExt"/>
          <w:b w:val="0"/>
        </w:rPr>
        <w:t>&lt;RefProc&gt;</w:t>
      </w:r>
      <w:r>
        <w:t>2025/2252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14:paraId="05106B26" w14:textId="77777777" w:rsidR="00100069" w:rsidRPr="008C3DB1" w:rsidRDefault="008434E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{06/03/2026}</w:t>
      </w:r>
      <w:r>
        <w:t>6.3.2026</w:t>
      </w:r>
      <w:r>
        <w:rPr>
          <w:rStyle w:val="HideTWBExt"/>
        </w:rPr>
        <w:t>&lt;/Date&gt;</w:t>
      </w:r>
    </w:p>
    <w:p w14:paraId="61EB336B" w14:textId="77777777" w:rsidR="00100069" w:rsidRPr="008C3DB1" w:rsidRDefault="008434ED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14:paraId="17208CEE" w14:textId="77777777" w:rsidR="00100069" w:rsidRPr="008C3DB1" w:rsidRDefault="008434ED">
      <w:pPr>
        <w:pStyle w:val="CoverNormal"/>
      </w:pPr>
      <w:r>
        <w:rPr>
          <w:rStyle w:val="HideTWBExt"/>
        </w:rPr>
        <w:t>&lt;Titre&gt;</w:t>
      </w:r>
      <w:r>
        <w:t xml:space="preserve">dwar </w:t>
      </w:r>
      <w:r>
        <w:t>ir-rapport 2025 tal-Kummissjoni dwar il-Kosovo</w:t>
      </w:r>
      <w:r>
        <w:rPr>
          <w:rStyle w:val="HideTWBExt"/>
        </w:rPr>
        <w:t>&lt;/Titre&gt;</w:t>
      </w:r>
    </w:p>
    <w:p w14:paraId="56CB4001" w14:textId="77777777" w:rsidR="00100069" w:rsidRPr="008C3DB1" w:rsidRDefault="008434ED">
      <w:pPr>
        <w:pStyle w:val="CoverNormal24a"/>
      </w:pPr>
      <w:r>
        <w:rPr>
          <w:rStyle w:val="HideTWBExt"/>
        </w:rPr>
        <w:t>&lt;DocRef&gt;</w:t>
      </w:r>
      <w:r>
        <w:t>(2025/2252(INI))</w:t>
      </w:r>
      <w:r>
        <w:rPr>
          <w:rStyle w:val="HideTWBExt"/>
        </w:rPr>
        <w:t>&lt;/DocRef&gt;</w:t>
      </w:r>
    </w:p>
    <w:p w14:paraId="4E635362" w14:textId="77777777" w:rsidR="00100069" w:rsidRPr="008C3DB1" w:rsidRDefault="008434ED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{AFET}</w:t>
      </w:r>
      <w:r>
        <w:t>Kumitat għall-Affarijiet Barranin</w:t>
      </w:r>
      <w:r>
        <w:rPr>
          <w:rStyle w:val="HideTWBExt"/>
        </w:rPr>
        <w:t>&lt;/Commission&gt;</w:t>
      </w:r>
    </w:p>
    <w:p w14:paraId="5382BB74" w14:textId="77777777" w:rsidR="00100069" w:rsidRPr="008C3DB1" w:rsidRDefault="008434ED">
      <w:pPr>
        <w:pStyle w:val="CoverNormal24a"/>
      </w:pPr>
      <w:r>
        <w:t xml:space="preserve">Rapporteur: </w:t>
      </w:r>
      <w:r>
        <w:rPr>
          <w:rStyle w:val="HideTWBExt"/>
          <w:lang w:val="fr-BE"/>
        </w:rPr>
        <w:t>&lt;Depute&gt;</w:t>
      </w:r>
      <w:r>
        <w:t>Riho Terras</w:t>
      </w:r>
      <w:r>
        <w:rPr>
          <w:rStyle w:val="HideTWBExt"/>
          <w:lang w:val="fr-BE"/>
        </w:rPr>
        <w:t>&lt;/Depute&gt;</w:t>
      </w:r>
    </w:p>
    <w:p w14:paraId="595E3DB6" w14:textId="77777777" w:rsidR="00100069" w:rsidRPr="008C3DB1" w:rsidRDefault="008434ED" w:rsidP="002544DF">
      <w:pPr>
        <w:widowControl/>
        <w:tabs>
          <w:tab w:val="center" w:pos="4677"/>
        </w:tabs>
      </w:pPr>
      <w:r>
        <w:br w:type="page"/>
      </w:r>
      <w:r>
        <w:lastRenderedPageBreak/>
        <w:t>PR_INI</w:t>
      </w:r>
    </w:p>
    <w:p w14:paraId="0F725087" w14:textId="77777777" w:rsidR="00100069" w:rsidRPr="008C3DB1" w:rsidRDefault="008434ED">
      <w:pPr>
        <w:pStyle w:val="TOCHeading"/>
      </w:pPr>
      <w:r>
        <w:t>WERREJ</w:t>
      </w:r>
    </w:p>
    <w:p w14:paraId="2F88039D" w14:textId="77777777" w:rsidR="00100069" w:rsidRPr="008C3DB1" w:rsidRDefault="008434ED">
      <w:pPr>
        <w:pStyle w:val="TOCPage"/>
      </w:pPr>
      <w:r>
        <w:t>Paġna</w:t>
      </w:r>
    </w:p>
    <w:p w14:paraId="4A1EFD5F" w14:textId="6A50CE20" w:rsidR="008434ED" w:rsidRDefault="008434E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C3DB1">
        <w:rPr>
          <w:b/>
        </w:rPr>
        <w:fldChar w:fldCharType="begin"/>
      </w:r>
      <w:r w:rsidRPr="008C3DB1">
        <w:rPr>
          <w:b/>
        </w:rPr>
        <w:instrText xml:space="preserve"> TOC \t "PageHeading</w:instrText>
      </w:r>
      <w:r>
        <w:rPr>
          <w:b/>
        </w:rPr>
        <w:instrText>;</w:instrText>
      </w:r>
      <w:r w:rsidRPr="008C3DB1">
        <w:rPr>
          <w:b/>
        </w:rPr>
        <w:instrText xml:space="preserve">1" </w:instrText>
      </w:r>
      <w:r w:rsidRPr="008C3DB1">
        <w:rPr>
          <w:b/>
        </w:rPr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_Toc224810126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1EAFC6E" w14:textId="655355F5" w:rsidR="008434ED" w:rsidRDefault="008434E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_Toc224810127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669169FC" w14:textId="4EE2D669" w:rsidR="00E155CA" w:rsidRPr="008C3DB1" w:rsidRDefault="008434ED" w:rsidP="0023245A">
      <w:r w:rsidRPr="008C3DB1">
        <w:rPr>
          <w:b/>
        </w:rPr>
        <w:fldChar w:fldCharType="end"/>
      </w:r>
    </w:p>
    <w:p w14:paraId="739BD15E" w14:textId="77777777" w:rsidR="00100069" w:rsidRPr="008C3DB1" w:rsidRDefault="008434ED">
      <w:pPr>
        <w:pStyle w:val="PageHeading"/>
      </w:pPr>
      <w:r>
        <w:br w:type="page"/>
      </w:r>
      <w:bookmarkStart w:id="0" w:name="_Toc224810126"/>
      <w:r>
        <w:lastRenderedPageBreak/>
        <w:t>MOZZJONI GĦAL RIŻOLUZZJONI TAL-PARLAMENT EWROPEW</w:t>
      </w:r>
      <w:bookmarkEnd w:id="0"/>
    </w:p>
    <w:p w14:paraId="3BBC07C6" w14:textId="77777777" w:rsidR="00100069" w:rsidRPr="008C3DB1" w:rsidRDefault="008434ED">
      <w:pPr>
        <w:pStyle w:val="NormalBold"/>
      </w:pPr>
      <w:r>
        <w:t>dwar ir-rapport 2025 tal-Kummissjoni dwar il-Kosovo</w:t>
      </w:r>
    </w:p>
    <w:p w14:paraId="3782FDE3" w14:textId="77777777" w:rsidR="00100069" w:rsidRPr="008C3DB1" w:rsidRDefault="008434ED" w:rsidP="00335F69">
      <w:pPr>
        <w:pStyle w:val="NormalBold"/>
      </w:pPr>
      <w:r>
        <w:t>(2025/2252(INI))</w:t>
      </w:r>
    </w:p>
    <w:p w14:paraId="3752C7D4" w14:textId="77777777" w:rsidR="00100069" w:rsidRPr="008C3DB1" w:rsidRDefault="008434ED" w:rsidP="00335F69">
      <w:pPr>
        <w:pStyle w:val="EPComma"/>
      </w:pPr>
      <w:r>
        <w:rPr>
          <w:i/>
        </w:rPr>
        <w:t>Il-Parlament Ewropew</w:t>
      </w:r>
      <w:r>
        <w:t>,</w:t>
      </w:r>
    </w:p>
    <w:p w14:paraId="7DC8EC19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l-Ftehim ta’ Stabbilizzazzjoni u Assoċjazzjoni bejn l-Unjoni Ewropea u l-Komunità Ewropea tal-Enerġija Atomika, minn naħa, u l-Kosovo, min-naħa l-oħra</w:t>
      </w:r>
      <w:r>
        <w:rPr>
          <w:rStyle w:val="FootnoteReference"/>
        </w:rPr>
        <w:footnoteReference w:id="1"/>
      </w:r>
      <w:r>
        <w:t>, fis-seħħ mill-1 ta’ April 2016,</w:t>
      </w:r>
    </w:p>
    <w:p w14:paraId="2016845A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l-applikazzjoni tal-Kosovo għall-adeżjoni mal-Unjoni Ewropea tal-15 ta’ Diċembru 2022,</w:t>
      </w:r>
    </w:p>
    <w:p w14:paraId="1AE0418C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l-applikazzjoni tal-Kosovo għall-adeżjoni mal-Kunsill tal-Ewropa tat-12 ta’ Mejju 2022,</w:t>
      </w:r>
    </w:p>
    <w:p w14:paraId="283F4AF6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l-ftehim qafas bejn l-Unjoni Ewropea u l-Kosovo dwar il-prinċipji ġenerali għall-parteċipazzjoni tal-Kosovo fi programmi tal-Unjoni</w:t>
      </w:r>
      <w:r>
        <w:rPr>
          <w:rStyle w:val="FootnoteReference"/>
        </w:rPr>
        <w:footnoteReference w:id="2"/>
      </w:r>
      <w:r>
        <w:t>, fis-seħħ mill-1 ta’ Awwissu 2017,</w:t>
      </w:r>
    </w:p>
    <w:p w14:paraId="1F2B9490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rStyle w:val="FootnoteReference"/>
        </w:rPr>
        <w:footnoteReference w:id="3"/>
      </w:r>
      <w:r>
        <w:t>,</w:t>
      </w:r>
    </w:p>
    <w:p w14:paraId="65EF1FF1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r-Regolament (UE) 2023/850 tal-Parlament Ewropew u tal-Kunsill tad-19 ta’ April 2023 li jemenda r-Regolament (UE) 2018/1806 li jelenka l-pajjiżi terzi li ċ-ċittadini tagħhom għandhom ikollhom viża fil-pussess tagħhom meta jaqsmu l-fruntieri esterni u dawk li ċ-ċittadini tagħhom huma eżenti minn dik il-ħtieġa</w:t>
      </w:r>
      <w:r>
        <w:rPr>
          <w:rStyle w:val="FootnoteReference"/>
        </w:rPr>
        <w:footnoteReference w:id="4"/>
      </w:r>
      <w:r>
        <w:t>, fir-rigward tal-Kosovo, li jippermetti vjaġġar mingħajr viża għad-detenturi ta’ passaporti bijometriċi Kosovari mill-1 ta’ Jannar 2024,</w:t>
      </w:r>
    </w:p>
    <w:p w14:paraId="21A95345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r-Regolament (UE) 2024/1449 tal-Parlament Ewropew u tal-Kunsill tal-14 ta’ Mejju 2024 dwar l-istabbiliment tal-Faċilità għar-Riforma u t-Tkabbir għall-Balkani tal-Punent</w:t>
      </w:r>
      <w:r>
        <w:rPr>
          <w:rStyle w:val="FootnoteReference"/>
        </w:rPr>
        <w:footnoteReference w:id="5"/>
      </w:r>
      <w:r>
        <w:t>,</w:t>
      </w:r>
    </w:p>
    <w:p w14:paraId="77EC3510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l-konklużjonijiet tal-Presidenza tal-laqgħa tal-Kunsill Ewropew f’Salonka tad-19 u l-20 ta’ Ġunju 2003,</w:t>
      </w:r>
    </w:p>
    <w:p w14:paraId="3BBC8D17" w14:textId="77777777" w:rsidR="00841F3C" w:rsidRPr="008C3DB1" w:rsidRDefault="008434ED" w:rsidP="00841F3C">
      <w:pPr>
        <w:pStyle w:val="NormalHanging12a"/>
      </w:pPr>
      <w:r>
        <w:t>–</w:t>
      </w:r>
      <w:r>
        <w:tab/>
        <w:t xml:space="preserve">wara li kkunsidra s-summits bejn l-UE u l-Balkani tal-Punent li saru f’Sofija, f’Zagreb u fi Brdo pri Kranju rispettivament fl-2018, fl-2020 u fl-2021, u d-dikjarazzjonijiet </w:t>
      </w:r>
      <w:r>
        <w:lastRenderedPageBreak/>
        <w:t>tagħhom,</w:t>
      </w:r>
    </w:p>
    <w:p w14:paraId="4B7D82F2" w14:textId="77777777" w:rsidR="00841F3C" w:rsidRPr="008C3DB1" w:rsidRDefault="008434ED" w:rsidP="00841F3C">
      <w:pPr>
        <w:pStyle w:val="NormalHanging12a"/>
      </w:pPr>
      <w:r>
        <w:t>–</w:t>
      </w:r>
      <w:r>
        <w:tab/>
        <w:t xml:space="preserve">wara li kkunsidra l-laqgħa tal-Mexxejja tal-Balkani </w:t>
      </w:r>
      <w:r>
        <w:t>tal-Punent tal-1 ta’ Lulju 2025 li saret Skopje, fil-Maċedonja ta’ Fuq, dwar il-Pjan ta’ Tkabbir għall-Balkani tal-Punent,</w:t>
      </w:r>
    </w:p>
    <w:p w14:paraId="291564B8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d-dikjarazzjoni tas-Summit bejn l-UE u l-Balkani tal-Punent tas-17 ta’ Diċembru 2025,</w:t>
      </w:r>
    </w:p>
    <w:p w14:paraId="34C5A26A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l-konklużjonijiet tal-Presidenza tas-16 ta’ Diċembru 2025 dwar it-tkabbir,</w:t>
      </w:r>
    </w:p>
    <w:p w14:paraId="1CF47F7F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l-Proċess ta’ Berlin, varat fit-28 ta’ Awwissu 2014,</w:t>
      </w:r>
    </w:p>
    <w:p w14:paraId="6ACBED72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l-konklużjonijiet tal-Presidenza tas-Summit 2025 dwar il-Proċess ta’ Berlin, li sar fit-22 ta’ Ottubru 2025,</w:t>
      </w:r>
    </w:p>
    <w:p w14:paraId="2C61251A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l-komunikazzjoni tal-Kummissjoni tas-6 ta’ Ottubru 2020 bit-titolu “Pjan Ekonomiku u ta’ Investiment għall-Balkani tal-Punent” (</w:t>
      </w:r>
      <w:hyperlink r:id="rId9" w:tgtFrame="https://eur-lex.europa.eu/legal-content/EN/ALL/?uri=CELEX:52020DC0641" w:history="1">
        <w:r>
          <w:t>COM(2020)0641</w:t>
        </w:r>
      </w:hyperlink>
      <w:r>
        <w:t>),</w:t>
      </w:r>
    </w:p>
    <w:p w14:paraId="25D9257F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l-komunikazzjoni tal-Kummissjoni tat-8 ta’ Novembru 2023 bit-titolu “Pjan ġdid ta’ tkabbir għall-Balkani tal-Punent” (</w:t>
      </w:r>
      <w:hyperlink r:id="rId10" w:tgtFrame="https://eur-lex.europa.eu/legal-content/EN/ALL/?uri=CELEX:52023DC0691" w:history="1">
        <w:r>
          <w:t>COM(2023)0691</w:t>
        </w:r>
      </w:hyperlink>
      <w:r>
        <w:t>),</w:t>
      </w:r>
    </w:p>
    <w:p w14:paraId="168044D1" w14:textId="77777777" w:rsidR="00841F3C" w:rsidRPr="008C3DB1" w:rsidRDefault="008434ED" w:rsidP="00841F3C">
      <w:pPr>
        <w:pStyle w:val="NormalHanging12a"/>
      </w:pPr>
      <w:r>
        <w:t>–</w:t>
      </w:r>
      <w:r>
        <w:tab/>
        <w:t xml:space="preserve">wara li kkunsidra </w:t>
      </w:r>
      <w:r>
        <w:t>l-komunikazzjoni tal-Kummissjoni tal-20 ta’ Marzu 2024 dwar ir-riformi ta’ qabel it-tkabbir u r-rieżami tal-politika (</w:t>
      </w:r>
      <w:hyperlink r:id="rId11" w:tgtFrame="https://eur-lex.europa.eu/legal-content/EN/ALL/?uri=CELEX:52024DC0146" w:history="1">
        <w:r>
          <w:t>COM(2024)0146</w:t>
        </w:r>
      </w:hyperlink>
      <w:r>
        <w:t>),</w:t>
      </w:r>
    </w:p>
    <w:p w14:paraId="51DCCAEF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l-komunikazzjoni tal-Kummissjoni tal-4 ta’ Novembru 2025 bit-titolu “Komunikazzjoni tal-2025 dwar il-Politika tat-Tkabbir tal-UE” (COM(2025)0690), akkumpanjata mid-dokument ta’ ħidma tal-persunal tal-Kummissjoni bit-titolu “Kosovo 2025 Report” (Rapport 2025 dwar il-Kosovo) (SWD(2025)0752),</w:t>
      </w:r>
    </w:p>
    <w:p w14:paraId="1E6217D4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t-Trattat li jistabbilixxi l-Komunità tal-Enerġija, iffirmat f’Ateni fil-25 ta’ Ottubru 2005, li l-għan tiegħu huwa li jestendi r-regoli tas-suq intern tal-enerġija għall-Ewropa tax-Xlokk,</w:t>
      </w:r>
    </w:p>
    <w:p w14:paraId="3438F429" w14:textId="77777777" w:rsidR="00841F3C" w:rsidRPr="008C3DB1" w:rsidRDefault="008434ED" w:rsidP="00E44E27">
      <w:pPr>
        <w:pStyle w:val="NormalHanging12a"/>
      </w:pPr>
      <w:r>
        <w:t>–</w:t>
      </w:r>
      <w:r>
        <w:tab/>
        <w:t>wara li kkunsidra r-riżoluzzjoni 1244 tal-Kunsill tas-Sigurtà tan-Nazzjonijiet Uniti tal-10 ta’ Ġunju 1999, l-opinjoni konsultattiva tal-Qorti Internazzjonali tal-Ġustizzja (QIĠ) tat-22 ta’ Lulju 2010 dwar il-konformità mad-dritt internazzjonali tad-dikjarazzjoni unilaterali ta’ indipendenza fir-rigward tal-Kosovo, u r-riżoluzzjoni 64/298 tal-Assemblea Ġenerali tan-Nazzjonijiet Uniti tad-9 ta’ Settembru 2010 li rrikonoxxiet il-kontenut tal-opinjoni tal-QIĠ u laqgħet id-disponibbiltà tal-UE li tiffaċilita d</w:t>
      </w:r>
      <w:r>
        <w:t>-djalogu bejn is-Serbja u l-Kosovo,</w:t>
      </w:r>
    </w:p>
    <w:p w14:paraId="07FBA210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l-allinjament kostanti tal-Kosovo mal-politika estera u ta’ sigurtà komuni tal-UE,</w:t>
      </w:r>
    </w:p>
    <w:p w14:paraId="5B84F922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l-ewwel ftehim dwar il-prinċipji li jirregolaw in-normalizzazzjoni tar-relazzjonijiet bejn is-Serbja u l-Kosovo tad-19 ta’ April 2013, il-ftehimiet tal-25 ta’ Awwissu 2015 u d-djalogu ffaċilitat mill-UE li għaddej għan-normalizzazzjoni tar-relazzjonijiet,</w:t>
      </w:r>
    </w:p>
    <w:p w14:paraId="17566578" w14:textId="77777777" w:rsidR="00841F3C" w:rsidRPr="008C3DB1" w:rsidRDefault="008434ED" w:rsidP="00841F3C">
      <w:pPr>
        <w:pStyle w:val="NormalHanging12a"/>
      </w:pPr>
      <w:r>
        <w:lastRenderedPageBreak/>
        <w:t>–</w:t>
      </w:r>
      <w:r>
        <w:tab/>
        <w:t>wara li kkunsidra l-Ftehim ta’ Brussell tas-27 ta’ Frar 2023 u l-Ftehim ta’ Ohrid tat-18 ta’ Marzu 2023 u l-anness ta’ implimentazzjoni tiegħu,</w:t>
      </w:r>
    </w:p>
    <w:p w14:paraId="687F7772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l-preżenza kostanti u l-mandat tal-Forza tal-Kosovo (KFOR) immexxija min-NATO, li tkompli tgħin biex jinżammu ambjent sigur u protett u l-libertà tal-moviment fil-Kosovo;</w:t>
      </w:r>
    </w:p>
    <w:p w14:paraId="7D163BDC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d-Deċiżjoni tal-Kunsill (PESK) 2025/1161 tal-5 ta’ Ġunju 2023 li temenda l-Azzjoni Konġunta 2008/124/PESK dwar il-Missjoni tal-Unjoni Ewropea għall-Istat tad-Dritt fil-Kosovo, EULEX Kosovo</w:t>
      </w:r>
      <w:r>
        <w:rPr>
          <w:rStyle w:val="FootnoteReference"/>
        </w:rPr>
        <w:footnoteReference w:id="6"/>
      </w:r>
      <w:r>
        <w:t>, li estendiet il-mandat tal-missjoni sal-14 ta’ Ġunju 2025,</w:t>
      </w:r>
    </w:p>
    <w:p w14:paraId="590352E4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r-rapport finali tal-Missjoni ta’ Osservazzjoni Elettorali tal-Unjoni Ewropea dwar l-elezzjonijiet parlamentari tal-2025 fil-Kosovo,</w:t>
      </w:r>
    </w:p>
    <w:p w14:paraId="6F8FEB4A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r-riżoluzzjonijiet preċedenti tiegħu dwar il-Kosovo,</w:t>
      </w:r>
    </w:p>
    <w:p w14:paraId="7F425663" w14:textId="77777777" w:rsidR="00841F3C" w:rsidRPr="008C3DB1" w:rsidRDefault="008434ED" w:rsidP="00841F3C">
      <w:pPr>
        <w:pStyle w:val="NormalHanging12a"/>
      </w:pPr>
      <w:r>
        <w:t>–</w:t>
      </w:r>
      <w:r>
        <w:tab/>
        <w:t xml:space="preserve">wara li kkunsidra r-rakkomandazzjonijiet adottati fit-12-il laqgħa tal-Kumitat Parlamentari ta’ Stabbilizzazzjoni u Assoċjazzjoni UE-Kosovo, li saret fid-9 ta’ Diċembru 2024, </w:t>
      </w:r>
    </w:p>
    <w:p w14:paraId="2EF9125F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l-indiċi dwar il-perċezzjoni tal-korruzzjoni tal-2025 ta’ Transparency International,</w:t>
      </w:r>
    </w:p>
    <w:p w14:paraId="24428A79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l-Indiċi Dinji tal-Libertà tal-Istampa tal-2025 ta’ Reporters mingħajr fruntieri,</w:t>
      </w:r>
    </w:p>
    <w:p w14:paraId="27C71422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l-Artikolu 55 tar-Regoli ta’ Proċedura tiegħu,</w:t>
      </w:r>
    </w:p>
    <w:p w14:paraId="1B5C1D78" w14:textId="77777777" w:rsidR="00841F3C" w:rsidRPr="008C3DB1" w:rsidRDefault="008434ED" w:rsidP="00841F3C">
      <w:pPr>
        <w:pStyle w:val="NormalHanging12a"/>
      </w:pPr>
      <w:r>
        <w:t>–</w:t>
      </w:r>
      <w:r>
        <w:tab/>
        <w:t>wara li kkunsidra r-rapport tal-Kumitat għall-Affarijiet Barranin (A10</w:t>
      </w:r>
      <w:r>
        <w:noBreakHyphen/>
        <w:t xml:space="preserve">0000/2026), </w:t>
      </w:r>
    </w:p>
    <w:p w14:paraId="37E33227" w14:textId="77777777" w:rsidR="007F78FF" w:rsidRPr="008C3DB1" w:rsidRDefault="008434ED" w:rsidP="007F78FF">
      <w:pPr>
        <w:pStyle w:val="NormalHanging12a"/>
      </w:pPr>
      <w:bookmarkStart w:id="1" w:name="_Hlk222084676"/>
      <w:r>
        <w:t>A.</w:t>
      </w:r>
      <w:r>
        <w:tab/>
        <w:t>billi l-politika tat-tkabbir hija wieħed mill-aktar strumenti effikaċi tal-politika barranija tal-UE u investiment ġeopolitiku strateġiku fit-tul fil-paċi, fl-istabbiltà u fis-sigurtà fil-kontinent;</w:t>
      </w:r>
    </w:p>
    <w:p w14:paraId="2207C66E" w14:textId="77777777" w:rsidR="007F78FF" w:rsidRPr="008C3DB1" w:rsidRDefault="008434ED" w:rsidP="007F78FF">
      <w:pPr>
        <w:pStyle w:val="NormalHanging12a"/>
      </w:pPr>
      <w:r>
        <w:t>B.</w:t>
      </w:r>
      <w:r>
        <w:tab/>
        <w:t>billi d-demokrazija, id-drittijiet tal-bniedem u l-istat tad-dritt huma l-valuri fundamentali li fuqhom hija msejsa l-UE;</w:t>
      </w:r>
    </w:p>
    <w:p w14:paraId="1F542FA6" w14:textId="77777777" w:rsidR="007F78FF" w:rsidRPr="008C3DB1" w:rsidRDefault="008434ED" w:rsidP="007F78FF">
      <w:pPr>
        <w:pStyle w:val="NormalHanging12a"/>
        <w:rPr>
          <w:b/>
        </w:rPr>
      </w:pPr>
      <w:r>
        <w:t>C.</w:t>
      </w:r>
      <w:r>
        <w:tab/>
        <w:t>billi kull pajjiż tat-tkabbir huwa ġġudikat abbażi tal-merti proprji tiegħu; billi huma l-implimentazzjoni tar-riformi neċessarji u r-rispett tal-ġabra ta’ kriterji u tal-valuri komuni Ewropej li jiddeterminaw il-kalendarju u l-progress tal-adeżjoni;</w:t>
      </w:r>
      <w:r>
        <w:rPr>
          <w:b/>
        </w:rPr>
        <w:t xml:space="preserve"> </w:t>
      </w:r>
    </w:p>
    <w:p w14:paraId="7BB4A3EE" w14:textId="77777777" w:rsidR="007F78FF" w:rsidRPr="008C3DB1" w:rsidRDefault="008434ED" w:rsidP="007F78FF">
      <w:pPr>
        <w:pStyle w:val="NormalHanging12a"/>
      </w:pPr>
      <w:r>
        <w:t>D.</w:t>
      </w:r>
      <w:r>
        <w:rPr>
          <w:b/>
        </w:rPr>
        <w:tab/>
      </w:r>
      <w:r>
        <w:t>billi l-perkors tal-Kosovo lejn l-adeżjoni mal-UE jiddependi wkoll min-normalizzazzjoni tar-relazzjonijiet mas-Serbja;</w:t>
      </w:r>
    </w:p>
    <w:p w14:paraId="5C01DD3E" w14:textId="77777777" w:rsidR="007F78FF" w:rsidRPr="008C3DB1" w:rsidRDefault="008434ED" w:rsidP="007F78FF">
      <w:pPr>
        <w:pStyle w:val="NormalHanging12a"/>
      </w:pPr>
      <w:r>
        <w:rPr>
          <w:b/>
          <w:i/>
        </w:rPr>
        <w:t>Impenn favur l-adeżjoni mal-UE</w:t>
      </w:r>
    </w:p>
    <w:p w14:paraId="4E91700F" w14:textId="77777777" w:rsidR="007F78FF" w:rsidRPr="008C3DB1" w:rsidRDefault="008434ED" w:rsidP="007F78FF">
      <w:pPr>
        <w:pStyle w:val="NormalHanging12a"/>
      </w:pPr>
      <w:r>
        <w:t>1.</w:t>
      </w:r>
      <w:r>
        <w:tab/>
        <w:t xml:space="preserve">Ifaħħar l-impenn kostanti tal-Kosovo favur l-adeżjoni mal-UE, li jirrifletti għażla </w:t>
      </w:r>
      <w:r>
        <w:lastRenderedPageBreak/>
        <w:t xml:space="preserve">ġeopolitika strateġika ċara u l-livell għoli ta’ appoġġ pubbliku favur il-perkors Ewropew tal-Kosovo; </w:t>
      </w:r>
    </w:p>
    <w:p w14:paraId="3C84D5CD" w14:textId="77777777" w:rsidR="007F78FF" w:rsidRPr="008C3DB1" w:rsidRDefault="008434ED" w:rsidP="007F78FF">
      <w:pPr>
        <w:pStyle w:val="NormalHanging12a"/>
      </w:pPr>
      <w:r>
        <w:t>2.</w:t>
      </w:r>
      <w:r>
        <w:tab/>
        <w:t xml:space="preserve">Itenni </w:t>
      </w:r>
      <w:r>
        <w:t xml:space="preserve">l-konvinzjoni soda tiegħu li l-futur tal-Kosovo jinsab fl-UE, speċjalment fid-dawl tad-dinamika ġeopolitika attwali fir-reġjun, tal-bidliet rapidi u importanti fil-politika dinjija u tal-kompetizzjoni dejjem akbar mar-reġimi awtoritarji; </w:t>
      </w:r>
    </w:p>
    <w:p w14:paraId="4F0AF7F5" w14:textId="77777777" w:rsidR="007F78FF" w:rsidRPr="008C3DB1" w:rsidRDefault="008434ED" w:rsidP="007F78FF">
      <w:pPr>
        <w:pStyle w:val="NormalHanging12a"/>
      </w:pPr>
      <w:r>
        <w:t>3.</w:t>
      </w:r>
      <w:r>
        <w:tab/>
        <w:t>Jilqa’ l-formazzjoni tal-Assemblea u tal-Gvern il-ġodda tal-Kosovo fit-12 ta’ Frar 2026, wara l-elezzjonijiet parlamentari bikrin li saru f’Diċembru 2025 u wara aktar minn sena ta’ staġnar politiku; jiddispjaċih, madankollu, bil-paraliżi tal-proċess politiku matul l-2025, li wassal lill-Kosovo “jitlef sena”; jiddispjaċih, barra minn hekk, bil-fatt li l-Assemblea ma rnexxilhiex teleġġi President ġdid sal-iskadenza kostituzzjonali, b’hekk dan imbotta lill-pajjiż lejn elezzjonijiet ġodda; jieħu nota tax-xolji</w:t>
      </w:r>
      <w:r>
        <w:t xml:space="preserve">ment tal-Assemblea permezz ta’ digriet presidenzjali fis-6 ta’ Marzu 2026; </w:t>
      </w:r>
    </w:p>
    <w:p w14:paraId="72D74DB7" w14:textId="77777777" w:rsidR="007F78FF" w:rsidRPr="008C3DB1" w:rsidRDefault="008434ED" w:rsidP="007F78FF">
      <w:pPr>
        <w:pStyle w:val="NormalHanging12a"/>
      </w:pPr>
      <w:r>
        <w:t>4.</w:t>
      </w:r>
      <w:r>
        <w:tab/>
        <w:t>Jilqa’, barra minn hekk, ir-ratifika min-naħa tal-Assemblea tal-Kosovo, fit-13 ta’ Frar 2026, tal-ftehimiet fl-ambitu tal-Faċilità għar-Riforma u t-Tkabbir;</w:t>
      </w:r>
    </w:p>
    <w:p w14:paraId="48CD4BE8" w14:textId="77777777" w:rsidR="007F78FF" w:rsidRPr="008C3DB1" w:rsidRDefault="008434ED" w:rsidP="007F78FF">
      <w:pPr>
        <w:pStyle w:val="NormalHanging12a"/>
      </w:pPr>
      <w:r>
        <w:t>5.</w:t>
      </w:r>
      <w:r>
        <w:tab/>
        <w:t xml:space="preserve">Jisħaq fuq il-fatt li tkabbir kredibbli jirrikjedi rankatura kostanti tar-riformi u jistieden lill-Kosovo jintensifika l-progress tiegħu fl-implimentazzjoni tar-riformi relatati mal-UE, b’mod partikolari fil-qasam tal-istat tad-dritt u tal-libertajiet fundamentali; jisħaq fuq il-fatt li l-Kosovo jeħtieġ jerġa’ jagħti prijorità lil dawn ir-riformi biex jerġa’ jaqbad it-triq it-tajba lejn l-adeżjoni mal-UE; </w:t>
      </w:r>
    </w:p>
    <w:p w14:paraId="06E5E8D0" w14:textId="77777777" w:rsidR="007F78FF" w:rsidRPr="008C3DB1" w:rsidRDefault="008434ED" w:rsidP="007F78FF">
      <w:pPr>
        <w:pStyle w:val="NormalHanging12a"/>
      </w:pPr>
      <w:r>
        <w:t>6.</w:t>
      </w:r>
      <w:r>
        <w:tab/>
        <w:t xml:space="preserve">Isostni l-applikazzjoni tal-Kosovo għall-adeżjoni mal-UE li ppreżenta f’Diċembru 2022; jistieden lill-ħames Stati Membri li ma jirrikonoxxux il-Kosovo biex jipproċedu lejn ir-rikonoxximent tiegħu, biex b’hekk il-Kosovo jkun jista’ jagħmel progress fuq livell pariġġ mal-kandidati l-oħra; </w:t>
      </w:r>
    </w:p>
    <w:p w14:paraId="3D212BC2" w14:textId="77777777" w:rsidR="007F78FF" w:rsidRPr="008C3DB1" w:rsidRDefault="008434ED" w:rsidP="007F78FF">
      <w:pPr>
        <w:pStyle w:val="NormalHanging12a"/>
      </w:pPr>
      <w:r>
        <w:t>7.</w:t>
      </w:r>
      <w:r>
        <w:tab/>
        <w:t>Itenni l-appoġġ totali tiegħu favur l-applikazzjoni tal-Kosovo għall-adeżjoni mal-Kunsill tal-Ewropa u l-pjan ta’ orjentament strateġiku tal-pajjiż biex isir membru tal-programm Sħubija għall-Paċi tan-NATO;</w:t>
      </w:r>
    </w:p>
    <w:p w14:paraId="3C989428" w14:textId="77777777" w:rsidR="007F78FF" w:rsidRPr="008C3DB1" w:rsidRDefault="008434ED" w:rsidP="007F78FF">
      <w:pPr>
        <w:pStyle w:val="NormalHanging12a"/>
      </w:pPr>
      <w:r>
        <w:t>8.</w:t>
      </w:r>
      <w:r>
        <w:tab/>
        <w:t>Ifaħħar l-allinjament kostanti u totali tal-Kosovo mal-politika estera u ta’ sigurtà komuni tal-UE, inkluża l-implimentazzjoni kontinwa tiegħu mal-miżuri restrittivi tal-UE fil-konfront tar-Russja u tal-Belarussja, u l-kundanna ċara tiegħu tal-gwerra ta’ aggressjoni tar-Russja kontra l-Ukrajna;</w:t>
      </w:r>
    </w:p>
    <w:p w14:paraId="4478A4D6" w14:textId="77777777" w:rsidR="007F78FF" w:rsidRPr="008C3DB1" w:rsidRDefault="008434ED" w:rsidP="007F78FF">
      <w:pPr>
        <w:pStyle w:val="NormalHanging12a"/>
      </w:pPr>
      <w:r>
        <w:t>9.</w:t>
      </w:r>
      <w:r>
        <w:tab/>
        <w:t>Jilqa’ t-tneħħija gradwali tal-miżuri tal-UE kontra l-Kosovo minn Mejju 2025 u jitlob li jitneħħew immedjatament il-miżuri li fadal, li ma għadhomx ġustifikati u għadhom ikollhom impatt negattiv fuq is-soċjetà Kosovara; josserva li dan l-impatt huwa viżibbli fis-soċjetà kollha u laqat b’mod partikolari lill-komunitajiet lokali, lill-organizzazzjonijiet tas-soċjetà ċivili u lill-impriżi żgħar u ta’ daqs medju (SMEs);</w:t>
      </w:r>
    </w:p>
    <w:p w14:paraId="63588B91" w14:textId="77777777" w:rsidR="007F78FF" w:rsidRPr="008C3DB1" w:rsidRDefault="008434ED" w:rsidP="007F78FF">
      <w:pPr>
        <w:pStyle w:val="NormalHanging12a"/>
        <w:rPr>
          <w:i/>
          <w:iCs/>
        </w:rPr>
      </w:pPr>
      <w:r>
        <w:rPr>
          <w:b/>
          <w:i/>
        </w:rPr>
        <w:t>Demokrazija u stat tad-dritt</w:t>
      </w:r>
    </w:p>
    <w:p w14:paraId="56EF341C" w14:textId="77777777" w:rsidR="007F78FF" w:rsidRPr="008C3DB1" w:rsidRDefault="008434ED" w:rsidP="007F78FF">
      <w:pPr>
        <w:pStyle w:val="NormalHanging12a"/>
      </w:pPr>
      <w:r>
        <w:t>10.</w:t>
      </w:r>
      <w:r>
        <w:rPr>
          <w:b/>
        </w:rPr>
        <w:tab/>
      </w:r>
      <w:r>
        <w:t xml:space="preserve">Jilqa’ l-valutazzjoni kumplessivament pożittiva tal-iżvolġiment tal-elezzjonijiet parlamentari u lokali fl-2025, u osserva li saru b’mod paċifiku, </w:t>
      </w:r>
      <w:r>
        <w:t>kompetittiv u inklużiv;</w:t>
      </w:r>
    </w:p>
    <w:p w14:paraId="31AEE85F" w14:textId="77777777" w:rsidR="007F78FF" w:rsidRPr="008C3DB1" w:rsidRDefault="008434ED" w:rsidP="007F78FF">
      <w:pPr>
        <w:pStyle w:val="NormalHanging12a"/>
      </w:pPr>
      <w:r>
        <w:lastRenderedPageBreak/>
        <w:t>11.</w:t>
      </w:r>
      <w:r>
        <w:tab/>
        <w:t>Jilqa’ l-parteċipazzjoni tas-Serbi tal-Kosovo fl-elezzjonijiet parlamentari u lokali tal-2025 u l-ħatra tal-erba’ sindki Serbi l-ġodda li ħadu post il-predeċessuri Albaniżi tagħhom fil-muniċipalitajiet b’maġġoranza Serba;</w:t>
      </w:r>
    </w:p>
    <w:p w14:paraId="1E1541F5" w14:textId="77777777" w:rsidR="007F78FF" w:rsidRPr="008C3DB1" w:rsidRDefault="008434ED" w:rsidP="007F78FF">
      <w:pPr>
        <w:pStyle w:val="NormalHanging12a"/>
      </w:pPr>
      <w:r>
        <w:t>12.</w:t>
      </w:r>
      <w:r>
        <w:tab/>
        <w:t>Jiddispjaċih bit-tentattivi kontinwi maħsuba biex jippolitiċizzaw l-istituzzjonijiet indipendenti, fosthom il-pressjoni fuq il-Kummissjoni Elettorali Ċentrali, u n-nuqqasijiet marbuta mal-governanza fi ħdan il-Kummissjoni Indipendenti tal-Mezzi tal-Informazzjoni;</w:t>
      </w:r>
    </w:p>
    <w:p w14:paraId="30900562" w14:textId="77777777" w:rsidR="007F78FF" w:rsidRPr="008C3DB1" w:rsidRDefault="008434ED" w:rsidP="007F78FF">
      <w:pPr>
        <w:pStyle w:val="NormalHanging12a"/>
      </w:pPr>
      <w:r>
        <w:t>13.</w:t>
      </w:r>
      <w:r>
        <w:tab/>
        <w:t>Jibqa’ mħasseb bl-implimentazzjoni limitata tal-istrateġija dwar l-istat tad-dritt u bis-segwitu insuffiċjenti mogħti lir-riformi, bil-kompożizzjoni inkompleta tal-Kunsill Ġudizzjarju tal-Kosovo u tal-Kunsill ta’ Prosekuzzjoni tal-Kosovo kif ukoll bid-dewmien fl-implimentazzjoni tar-riformi tal-ġustizzja;</w:t>
      </w:r>
    </w:p>
    <w:p w14:paraId="202B4EFB" w14:textId="77777777" w:rsidR="007F78FF" w:rsidRPr="008C3DB1" w:rsidRDefault="008434ED" w:rsidP="007F78FF">
      <w:pPr>
        <w:pStyle w:val="NormalHanging12a"/>
      </w:pPr>
      <w:r>
        <w:t xml:space="preserve">14. </w:t>
      </w:r>
      <w:r>
        <w:tab/>
        <w:t xml:space="preserve">Jesprimi tħassib bil-progress limitat fil-ġlieda kontra l-korruzzjoni fuq livell ġenerali; josserva bi tħassib il-fatt li l-Kosovo waqa’ fl-Indiċi Globali dwar il-Korruzzjoni għall-2025, li fih il-pajjiż jinsab fis-76 post minn 182 pajjiż u territorju, tliet postijiet aktar ’l isfel milli kien fl-2024, u dan reġġa’ lura tendenza preċedenti ta’ titjib gradwali; </w:t>
      </w:r>
    </w:p>
    <w:p w14:paraId="3881A683" w14:textId="77777777" w:rsidR="007F78FF" w:rsidRPr="008C3DB1" w:rsidRDefault="008434ED" w:rsidP="007F78FF">
      <w:pPr>
        <w:pStyle w:val="NormalHanging12a"/>
      </w:pPr>
      <w:r>
        <w:t>15.</w:t>
      </w:r>
      <w:r>
        <w:tab/>
        <w:t>Jilqa’ l-fatt li sar xi progress fil-ġlieda kontra l-kriminalità organizzata; jitlob li jiġu adottati malajr strateġija nazzjonali u pjan ta’ azzjoni kontra l-kriminalità organizzata;</w:t>
      </w:r>
    </w:p>
    <w:p w14:paraId="60DDB353" w14:textId="77777777" w:rsidR="007F78FF" w:rsidRPr="008C3DB1" w:rsidRDefault="008434ED" w:rsidP="007F78FF">
      <w:pPr>
        <w:pStyle w:val="NormalHanging12a"/>
      </w:pPr>
      <w:r>
        <w:t>16.</w:t>
      </w:r>
      <w:r>
        <w:tab/>
        <w:t>Ifaħħar ir-rwol kostanti tal-EULEX biex tassisti lill-awtoritajiet Kosovari joħolqu istituzzjonijiet tal-istat tad-dritt sostenibbli u indipendenti;</w:t>
      </w:r>
    </w:p>
    <w:p w14:paraId="343558C9" w14:textId="77777777" w:rsidR="007F78FF" w:rsidRPr="008C3DB1" w:rsidRDefault="008434ED" w:rsidP="007F78FF">
      <w:pPr>
        <w:pStyle w:val="NormalHanging12a"/>
        <w:rPr>
          <w:b/>
          <w:bCs/>
          <w:i/>
          <w:iCs/>
        </w:rPr>
      </w:pPr>
      <w:r>
        <w:rPr>
          <w:b/>
          <w:i/>
        </w:rPr>
        <w:t>Libertajiet fundamentali u drittijiet tal-bniedem</w:t>
      </w:r>
    </w:p>
    <w:p w14:paraId="7D9BE47E" w14:textId="77777777" w:rsidR="007F78FF" w:rsidRPr="008C3DB1" w:rsidRDefault="008434ED" w:rsidP="007F78FF">
      <w:pPr>
        <w:pStyle w:val="NormalHanging12a"/>
      </w:pPr>
      <w:r>
        <w:t>17.</w:t>
      </w:r>
      <w:r>
        <w:tab/>
        <w:t>Josserva li, anki jekk il-qafas ġuridiku u istituzzjonali għad-drittijiet tal-bniedem huwa fil-biċċa l-kbira stabbilit, l-implimentazzjoni għadha insuffiċjenti;</w:t>
      </w:r>
    </w:p>
    <w:p w14:paraId="6099AEEE" w14:textId="77777777" w:rsidR="007F78FF" w:rsidRPr="008C3DB1" w:rsidRDefault="008434ED" w:rsidP="007F78FF">
      <w:pPr>
        <w:pStyle w:val="NormalHanging12a"/>
      </w:pPr>
      <w:r>
        <w:t>18.</w:t>
      </w:r>
      <w:r>
        <w:tab/>
        <w:t>Jisħaq fuq il-bżonn li tissaħħaħ l-implimentazzjoni tal-leġiżlazzjoni li tħares id-drittijiet tal-persuni li jagħmlu parti mill-komunitajiet mhux maġġoritarji;</w:t>
      </w:r>
    </w:p>
    <w:p w14:paraId="02D8D5BA" w14:textId="77777777" w:rsidR="007F78FF" w:rsidRPr="008C3DB1" w:rsidRDefault="008434ED" w:rsidP="007F78FF">
      <w:pPr>
        <w:pStyle w:val="NormalHanging12a"/>
      </w:pPr>
      <w:r>
        <w:t>19.</w:t>
      </w:r>
      <w:r>
        <w:tab/>
        <w:t>Josserva x-xenarju medjatiku pluralista tal-Kosovo, iżda jiddispjaċih bin-nuqqas ta’ progress biex tiġi żgurata l-libertà ta’ espressjoni; jiddispjaċih li fil-klassifika tal-libertà tal-media l-Kosovo niżel 24 post, u jinsab fid-99 post fl-Indiċi Dinji tal-Libertà tal-Istampa tal-2025;</w:t>
      </w:r>
    </w:p>
    <w:p w14:paraId="538BFE4F" w14:textId="77777777" w:rsidR="007F78FF" w:rsidRPr="008C3DB1" w:rsidRDefault="008434ED" w:rsidP="007F78FF">
      <w:pPr>
        <w:pStyle w:val="NormalHanging12a"/>
      </w:pPr>
      <w:r>
        <w:t>20.</w:t>
      </w:r>
      <w:r>
        <w:tab/>
        <w:t>Itenni t-tħassib tiegħu għall-fatt li l-ġurnalisti u l-ħaddiema tal-media qed jisfaw attakkati u mhedda; jitlob li tingħata risposta mtejba f’termini ta’ prosekuzzjoni u li jkun hemm allinjament tal-leġiżlazzjoni relatati mal-media mal-acquis tal-UE u mal-istandards internazzjonali rilevanti oħra;</w:t>
      </w:r>
    </w:p>
    <w:p w14:paraId="3CA81051" w14:textId="77777777" w:rsidR="007F78FF" w:rsidRPr="008C3DB1" w:rsidRDefault="008434ED" w:rsidP="007F78FF">
      <w:pPr>
        <w:pStyle w:val="NormalHanging12a"/>
      </w:pPr>
      <w:r>
        <w:t>21.</w:t>
      </w:r>
      <w:r>
        <w:tab/>
        <w:t xml:space="preserve">Jisħaq fuq il-bżonn li jiġu żgurati l-finanzjament sostenibbli u l-indipendenza tax-xandar pubbliku; jitlob li jkun hemm kontroll ta’ sorveljanza bbilanċjat u rappreżentattiv tax-xandar pubbliku Kosovar, Radju Televiżjoni tal-Kosovo; </w:t>
      </w:r>
    </w:p>
    <w:p w14:paraId="1686C853" w14:textId="77777777" w:rsidR="007F78FF" w:rsidRPr="008C3DB1" w:rsidRDefault="008434ED" w:rsidP="007F78FF">
      <w:pPr>
        <w:pStyle w:val="NormalHanging12a"/>
      </w:pPr>
      <w:r>
        <w:t>22.</w:t>
      </w:r>
      <w:r>
        <w:tab/>
        <w:t xml:space="preserve">Jesprimi tħassib bid-diżinformazzjoni dejjem aktar frekwenti dwar it-tensjonijiet interetniċi li qed ixerrdu l-atturi barranin, b’mod partikolari matul il-perjodi elettorali; </w:t>
      </w:r>
      <w:r>
        <w:lastRenderedPageBreak/>
        <w:t>jitlob tisħiħ fir-risposta istituzzjonali u titjib tal-litteriżmu medjatiku;</w:t>
      </w:r>
    </w:p>
    <w:p w14:paraId="4BBFC3E9" w14:textId="77777777" w:rsidR="007F78FF" w:rsidRPr="008C3DB1" w:rsidRDefault="008434ED" w:rsidP="007F78FF">
      <w:pPr>
        <w:pStyle w:val="NormalHanging12a"/>
        <w:rPr>
          <w:b/>
          <w:bCs/>
          <w:i/>
          <w:iCs/>
        </w:rPr>
      </w:pPr>
      <w:r>
        <w:rPr>
          <w:b/>
          <w:i/>
        </w:rPr>
        <w:t>Rikonċiljazzjoni u relazzjonijiet tajbin ta’ viċinat</w:t>
      </w:r>
    </w:p>
    <w:p w14:paraId="16CB9E7C" w14:textId="77777777" w:rsidR="007F78FF" w:rsidRPr="008C3DB1" w:rsidRDefault="008434ED" w:rsidP="007F78FF">
      <w:pPr>
        <w:pStyle w:val="NormalHanging12a"/>
      </w:pPr>
      <w:r>
        <w:t>23.</w:t>
      </w:r>
      <w:r>
        <w:tab/>
        <w:t>Ifakkar li n-normalizzazzjoni tar-relazzjonijiet mas-Serbja u l-implimentazzjoni tal-impenji fil-qafas tad-Djalogu bejn Belgrad u Pristina jibqgħu parti integrali mill-prospettiva Ewropea tal-Kosovo;</w:t>
      </w:r>
    </w:p>
    <w:p w14:paraId="1C8BB08C" w14:textId="77777777" w:rsidR="007F78FF" w:rsidRPr="008C3DB1" w:rsidRDefault="008434ED" w:rsidP="007F78FF">
      <w:pPr>
        <w:pStyle w:val="NormalHanging12a"/>
      </w:pPr>
      <w:r>
        <w:t>24.</w:t>
      </w:r>
      <w:r>
        <w:tab/>
        <w:t>Itenni l-appoġġ totali tiegħu għad-Djalogu ffaċilitat mill-UE u jilqa’ l-estensjoni tal-mandat ta’ Peter Sørensen bħala r-Rappreżentant Speċjali tal-UE għad-Djalogu bejn Belgrad u Pristina sad-29 ta’ Frar 2028;</w:t>
      </w:r>
    </w:p>
    <w:p w14:paraId="3600B8DC" w14:textId="77777777" w:rsidR="007F78FF" w:rsidRPr="008C3DB1" w:rsidRDefault="008434ED" w:rsidP="007F78FF">
      <w:pPr>
        <w:pStyle w:val="NormalHanging12a"/>
      </w:pPr>
      <w:r>
        <w:t>25.</w:t>
      </w:r>
      <w:r>
        <w:tab/>
        <w:t>Itenni l-importanza ta’ impenn kostruttiv min-naħa tal-awtoritajiet Kosovari u Serbi biex jintlaħaq ftehim ta’ normalizzazzjoni komprensiv u ġuridikament vinkolanti, ibbażat fuq ir-rikonoxximent reċiproku u f’konformità mad-dritt internazzjonali; jistieden kemm lill-Kosovo kif ukoll lis-Serbja jimplimentaw il-Ftehimiet ta’ Brussell u ta’ Ohrid, inklużi l-istabbiliment tal-Assoċjazzjoni/Komunità tal-Muniċipalitajiet b’maġġoranza Serba u t-tneħħija tal-oppożizzjoni tas-Serbja fil-konfront tal-adeżjoni tal-Ko</w:t>
      </w:r>
      <w:r>
        <w:t>sovo mal-organizzazzjonijiet reġjonali u internazzjonali, u jevitaw azzjonijiet unilaterali li jistgħu jikkompromettu l-proċess ta’ djalogu;</w:t>
      </w:r>
    </w:p>
    <w:p w14:paraId="54C0AD22" w14:textId="77777777" w:rsidR="007F78FF" w:rsidRPr="008C3DB1" w:rsidRDefault="008434ED" w:rsidP="007F78FF">
      <w:pPr>
        <w:pStyle w:val="NormalHanging12a"/>
      </w:pPr>
      <w:r>
        <w:t>26.</w:t>
      </w:r>
      <w:r>
        <w:tab/>
        <w:t xml:space="preserve">Jistenna li l-Kosovo u s-Serbja jikkooperaw bis-sħiħ u jieħdu l-miżuri kollha meħtieġa biex iressqu malajr quddiem il-ġustizzja lil dawk responsabbli mill-attentati terroristiċi tal-2023 f’Banjska; </w:t>
      </w:r>
      <w:r>
        <w:t>jiddeplora l-fatt li s-Serbja għadha ma ressqitx għall-prosekuzzjoni lil dawk ħatja, b’mod partikolari lil Milan Radoičić, Viċi President tas-Srpska Lista;</w:t>
      </w:r>
    </w:p>
    <w:p w14:paraId="7EBEC9B0" w14:textId="77777777" w:rsidR="007F78FF" w:rsidRPr="008C3DB1" w:rsidRDefault="008434ED" w:rsidP="007F78FF">
      <w:pPr>
        <w:pStyle w:val="NormalHanging12a"/>
      </w:pPr>
      <w:r>
        <w:t>27.</w:t>
      </w:r>
      <w:r>
        <w:tab/>
        <w:t>Jieħu nota tad-destin mhux magħruf ta’ numru ta’ persuni neqsin sa 1 590, u josserva li bejn April 2024 u Settembru 2025 ġew solvuti biss 26 każ;</w:t>
      </w:r>
    </w:p>
    <w:p w14:paraId="784C6B0E" w14:textId="77777777" w:rsidR="007F78FF" w:rsidRPr="008C3DB1" w:rsidRDefault="008434ED" w:rsidP="007F78FF">
      <w:pPr>
        <w:pStyle w:val="NormalHanging12a"/>
      </w:pPr>
      <w:r>
        <w:t>28.</w:t>
      </w:r>
      <w:r>
        <w:tab/>
        <w:t>Itenni l-importanza tal-KFOR u jfaħħar l-isforzi kostanti tagħha biex tiżgura ambjent sigur u protett fil-Kosovo u fir-reġjun tal-Balkani tal-Punent b’mod ġenerali;</w:t>
      </w:r>
    </w:p>
    <w:p w14:paraId="26B3FDAF" w14:textId="77777777" w:rsidR="007F78FF" w:rsidRPr="008C3DB1" w:rsidRDefault="008434ED" w:rsidP="007F78FF">
      <w:pPr>
        <w:pStyle w:val="NormalHanging12a"/>
        <w:rPr>
          <w:b/>
          <w:i/>
        </w:rPr>
      </w:pPr>
      <w:r>
        <w:rPr>
          <w:b/>
          <w:i/>
        </w:rPr>
        <w:t>Riformi soċjoekonomiċi</w:t>
      </w:r>
    </w:p>
    <w:p w14:paraId="6217F751" w14:textId="77777777" w:rsidR="007F78FF" w:rsidRPr="008C3DB1" w:rsidRDefault="008434ED" w:rsidP="007F78FF">
      <w:pPr>
        <w:pStyle w:val="NormalHanging12a"/>
      </w:pPr>
      <w:r>
        <w:t>29.</w:t>
      </w:r>
      <w:r>
        <w:tab/>
        <w:t>Josserva li l-Kosovo huwa moderatament ippreparat fl-oqsma tal-politika ekonomika u monetarja u tal-kompetittività; jisħaq li jeħtieġ li jallinja l-qafas baġitarju tiegħu mal-acquis tal-UE u jindirizza d-dgħufijiet strutturali, fosthom bażi tal-manifattura ristretta u aċċess diffiċli għall-finanzjamenti għall-SMEs;</w:t>
      </w:r>
    </w:p>
    <w:p w14:paraId="4C77C8F9" w14:textId="77777777" w:rsidR="007F78FF" w:rsidRPr="008C3DB1" w:rsidRDefault="008434ED" w:rsidP="007F78FF">
      <w:pPr>
        <w:pStyle w:val="NormalHanging12a"/>
      </w:pPr>
      <w:r>
        <w:t>30.</w:t>
      </w:r>
      <w:r>
        <w:tab/>
        <w:t>Josserva li l-Kosovo għamel xi progress fit-tħejjija għat-trasformazzjoni diġitali, anki fl-espansjoni tas-servizzi online u fil-kopertura 5G; jiddispjaċih li 10 % biss tas-servizzi pubbliċi huwa offrut online bħalissa u li d-diġitalizzazzjoni għadha frammentata;</w:t>
      </w:r>
    </w:p>
    <w:p w14:paraId="2A65DD89" w14:textId="77777777" w:rsidR="007F78FF" w:rsidRPr="008C3DB1" w:rsidRDefault="008434ED" w:rsidP="007F78FF">
      <w:pPr>
        <w:pStyle w:val="NormalHanging12a"/>
      </w:pPr>
      <w:r>
        <w:rPr>
          <w:b/>
          <w:i/>
        </w:rPr>
        <w:t>Enerġija, ambjent, żvilupp sostenibbli u konnettività</w:t>
      </w:r>
    </w:p>
    <w:p w14:paraId="20F0ABE2" w14:textId="77777777" w:rsidR="007F78FF" w:rsidRPr="008C3DB1" w:rsidRDefault="008434ED" w:rsidP="007F78FF">
      <w:pPr>
        <w:pStyle w:val="NormalHanging12a"/>
      </w:pPr>
      <w:r>
        <w:t>31.</w:t>
      </w:r>
      <w:r>
        <w:tab/>
        <w:t>Josserva li l-Kosovo għadu jiddependi bil-kbir mill-impjanti tal-enerġija mħaddma bil-faħam u jeħtieġ li jħaffef l-investimenti fl-effiċjenza enerġetika;</w:t>
      </w:r>
    </w:p>
    <w:p w14:paraId="4BFED225" w14:textId="77777777" w:rsidR="007F78FF" w:rsidRPr="008C3DB1" w:rsidRDefault="008434ED" w:rsidP="007F78FF">
      <w:pPr>
        <w:pStyle w:val="NormalHanging12a"/>
      </w:pPr>
      <w:r>
        <w:t>32.</w:t>
      </w:r>
      <w:r>
        <w:tab/>
        <w:t xml:space="preserve">Jinkoraġġixxi lill-Kosovo jsaħħaħ il-kapaċità istituzzjonali u amministrattiva tiegħu </w:t>
      </w:r>
      <w:r>
        <w:lastRenderedPageBreak/>
        <w:t xml:space="preserve">biex jimplimenta l-proġetti infrastrutturali strateġiċi u jkompli jimplimenta l-proġetti pendenti fil-qasam tal-konnettività tat-trasport u tal-enerġija; </w:t>
      </w:r>
    </w:p>
    <w:p w14:paraId="09D0B581" w14:textId="77777777" w:rsidR="007F78FF" w:rsidRPr="008C3DB1" w:rsidRDefault="008434ED" w:rsidP="007F78FF">
      <w:pPr>
        <w:pStyle w:val="NormalHanging12a"/>
      </w:pPr>
      <w:r>
        <w:t>33.</w:t>
      </w:r>
      <w:r>
        <w:tab/>
        <w:t>Iħeġġeġ lill-Kosovo jiżgura li jittieħdu l-miżuri xierqa biex jiġġestixxi ż-żoni protetti, jemenda l-liġi dwar il-ġestjoni tal-iskart u jimplimenta l-liġi dwar it-tibdil fil-klima;</w:t>
      </w:r>
    </w:p>
    <w:p w14:paraId="26CFC419" w14:textId="77777777" w:rsidR="004C2F1F" w:rsidRPr="008C3DB1" w:rsidRDefault="008434ED" w:rsidP="004C2F1F">
      <w:pPr>
        <w:pStyle w:val="NormalHanging12a"/>
        <w:jc w:val="center"/>
      </w:pPr>
      <w:r>
        <w:t>°</w:t>
      </w:r>
    </w:p>
    <w:p w14:paraId="0BA2A955" w14:textId="77777777" w:rsidR="004C2F1F" w:rsidRPr="008C3DB1" w:rsidRDefault="008434ED" w:rsidP="008C3DB1">
      <w:pPr>
        <w:pStyle w:val="NormalHanging12a"/>
        <w:jc w:val="center"/>
      </w:pPr>
      <w:r>
        <w:t>°</w:t>
      </w:r>
      <w:r>
        <w:tab/>
        <w:t>°</w:t>
      </w:r>
    </w:p>
    <w:p w14:paraId="7A46E8D5" w14:textId="77777777" w:rsidR="007F78FF" w:rsidRPr="008C3DB1" w:rsidRDefault="008434ED" w:rsidP="007F78FF">
      <w:pPr>
        <w:pStyle w:val="NormalHanging12a"/>
      </w:pPr>
      <w:r>
        <w:t>34.</w:t>
      </w:r>
      <w:r>
        <w:tab/>
        <w:t>Jagħti istruzzjonijiet lill-President tiegħu biex tgħaddi din ir-riżoluzzjoni lill-President tal-Kunsill Ewropew, lill-Kummissjoni, lill-Viċi President tal-Kummissjoni/Rappreżentant Għoli tal-Unjoni għall-Affarijiet Barranin u l-Politika ta’ Sigurtà, lill-gvernijiet u lill-parlamenti tal-Istati Membri kif ukoll lill-President, lill-Gvern u lill-Assemblea Nazzjonali tal-Kosov</w:t>
      </w:r>
      <w:bookmarkEnd w:id="1"/>
      <w:r>
        <w:t>o.</w:t>
      </w:r>
    </w:p>
    <w:p w14:paraId="0D5F341C" w14:textId="77777777" w:rsidR="009F2F39" w:rsidRPr="008C3DB1" w:rsidRDefault="009F2F39" w:rsidP="007F78FF">
      <w:pPr>
        <w:pStyle w:val="NormalHanging12a"/>
      </w:pPr>
    </w:p>
    <w:p w14:paraId="185ECC0C" w14:textId="77777777" w:rsidR="00276B35" w:rsidRPr="008C3DB1" w:rsidRDefault="00276B35" w:rsidP="00F3651F">
      <w:pPr>
        <w:sectPr w:rsidR="00276B35" w:rsidRPr="008C3DB1" w:rsidSect="008434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7C6B2D8" w14:textId="77777777" w:rsidR="00276B35" w:rsidRPr="008C3DB1" w:rsidRDefault="008434ED" w:rsidP="00276B35">
      <w:pPr>
        <w:pStyle w:val="PageHeading"/>
      </w:pPr>
      <w:bookmarkStart w:id="2" w:name="_Toc224810127"/>
      <w:r>
        <w:lastRenderedPageBreak/>
        <w:t>NOTA SPJEGATTIVA</w:t>
      </w:r>
      <w:bookmarkEnd w:id="2"/>
    </w:p>
    <w:p w14:paraId="6CC7AAB5" w14:textId="77777777" w:rsidR="009F2F39" w:rsidRPr="008C3DB1" w:rsidRDefault="008434ED" w:rsidP="009F2F39">
      <w:pPr>
        <w:pStyle w:val="Normal12a"/>
        <w:jc w:val="both"/>
      </w:pPr>
      <w:r>
        <w:t>Il-Parlament Ewropew isegwi mill-qrib l-iżviluppi politiċi u soċjoekonomiċi fil-Kosovo. Bis-saħħa ta’ dan ir-rapport, l-għan hu li titwassal il-valutazzjoni tal-Parlament tas-sitwazzjoni fil-Kosovo u, flimkien mal-Rapport ta’ Progress 2025 tal-Kummissjoni Ewropea, anki l-valutazzjoni politika tal-Parlament tal-perjodu f’eżami fil-Kosovo. Fil-qosor, is-sena 2025 trid titqies sena mitlufa għall-Kosovo, inkwantu wara l-elezzjonijiet regolari tal-Assemblea Nazzjonali ta’ Frar, ma seta’ jibda jaħdem la organu le</w:t>
      </w:r>
      <w:r>
        <w:t>ġiżlattiv u lanqas gvern; Minkejja li t-tliet elezzjonijiet kollha, li saru fil-Kosovo fl-2025 (żewġ elezzjonijiet parlamentari u waħda lokali) saru lkoll kemm huma b’mod paċifiku u ordnat, il-proċess politiku normali tħarbat bil-kbir. Bħala riżultat ta’ dan, diversi riformi politiċi u ekonomiċi batew, u l-Pjan ta’ Tkabbir għall-Balkani tal-Punent ma setax jiġi implimentat.</w:t>
      </w:r>
    </w:p>
    <w:p w14:paraId="42ECE255" w14:textId="77777777" w:rsidR="009F2F39" w:rsidRPr="008C3DB1" w:rsidRDefault="008434ED" w:rsidP="009F2F39">
      <w:pPr>
        <w:pStyle w:val="Normal12a"/>
        <w:jc w:val="both"/>
      </w:pPr>
      <w:r>
        <w:t>Kif enfasizzat fir-rapporti preċedenti tal-Parlament Ewropew, il-Kosovo għamel progress notevoli fir-riformi elettorali, fir-reżiljenza ekonomika u fil-protezzjoni tad-drittijiet fundamentali. Madankollu, għad hemm sfidi fir-riforma tas-sistema ġudizzjarja, fil-libertà tal-media, fl-effiċjenza tal-amministrazzjoni pubblika u fid-diġitalizzazzjoni tas-servizzi pubbliċi. L-impenn kostanti favur riformi komprensivi u governanza inklużiva huwa essenzjali biex il-Kosovo jimxi ’l quddiem fil-perkors tiegħu lejn l</w:t>
      </w:r>
      <w:r>
        <w:t>-integrazzjoni Ewropea.</w:t>
      </w:r>
    </w:p>
    <w:p w14:paraId="14B3A508" w14:textId="77777777" w:rsidR="009F2F39" w:rsidRPr="008C3DB1" w:rsidRDefault="008434ED" w:rsidP="009F2F39">
      <w:pPr>
        <w:pStyle w:val="Normal12a"/>
        <w:jc w:val="both"/>
      </w:pPr>
      <w:r>
        <w:t>Bosta mill-isfidi li jsib quddiemu l-Kosovo huma problemi li wiret mill-passat, li s-soluzzjoni tagħhom titlob l-involviment tar-reġjun kollu fil-proċess usa’ ta’ integrazzjoni fl-Unjoni Ewropea. Id-Djalogu bejn Belgrad u Pristina, li tnieda biex jinstab kompromess aċċettabbli għall-partijiet, sfortunatament ma ssarrafx fir-riżultati mistennija. Id-djalogu kien bażikament fi stat latenti fl-2025. Dan kien dovut ukoll għax il-Kosovo ma kellux gvern b’mandat u b’awtorità u n-negozjati f’din il-forma ma għandh</w:t>
      </w:r>
      <w:r>
        <w:t>om l-ebda prospettiva. Il-Kummissjoni Ewropea, kif ukoll il-Parlament Ewropew u l-Istati Membri, jeħtiġilhom ċertament jagħmlu dak kollu li jistgħu biex jiżguraw li d-djalogu bejn Pristina u Belgrad ikompli b’enerġija mġedda. L-estensjoni tal-mandat tar-Rappreżentant Speċjali, Peter Sørensen, sa Frar 2028 għaldaqstant huwa fatt pożittiv ħafna.</w:t>
      </w:r>
    </w:p>
    <w:p w14:paraId="4ACEE8B1" w14:textId="77777777" w:rsidR="009F2F39" w:rsidRPr="008C3DB1" w:rsidRDefault="008434ED" w:rsidP="009F2F39">
      <w:pPr>
        <w:pStyle w:val="Normal12a"/>
        <w:jc w:val="both"/>
      </w:pPr>
      <w:r>
        <w:t>It-tkabbir tal-Unjoni Ewropea kien wieħed mill-istejjer ta’ suċċess l-aktar importanti tal-UE u jrid ikompli. L-għan ġeopolitiku usa’ tat-tkabbir huwa li jitneħħew l-hekk imsejħa żoni griżi mill-mappa tal-Ewropa. Il-bidliet sinifikanti li seħħew fil-kuntest tal-gwerra ta’ aggressjoni tar-Russja kontra l-Ukrajna jridu jsaħħu r-rieda tal-Unjoni Ewropea li tikkonfronta atturi awtoritarji globali konkorrenti. Kemm ir-Russja kif ukoll iċ-Ċina wrew li għandhom interessi ċari ħafna fil-Balkani tal-Punent.</w:t>
      </w:r>
    </w:p>
    <w:p w14:paraId="7EC19E65" w14:textId="77777777" w:rsidR="009F2F39" w:rsidRPr="008C3DB1" w:rsidRDefault="008434ED" w:rsidP="009F2F39">
      <w:pPr>
        <w:pStyle w:val="Normal12a"/>
        <w:jc w:val="both"/>
      </w:pPr>
      <w:r>
        <w:t>L-integrazzjoni Ewropea tal-Kosovo huwa proċess bidirezzjonali. Biex il-Kosovo jwettaq ir-riformi neċessarji, l-assistenza tal-Unjoni Ewropea hija neċessarja. Il-liberalizzazzjoni tal-viżi kompliet issaħħaħ il-kuntatti interpersonali u l-prospettiva Ewropea taċ-ċittadini tal-Kosovo. Madankollu, il-miżuri punittivi introdotti fl-2023 kellhom impatt negattiv ħafna fuq il-progress tal-Kosovo lejn l-Ewropa. Minkejja li l-intensità tal-miżuri tal-UE bdiet gradwalment titnaqqas, l-impatt tagħhom fuq is-soċjetà għ</w:t>
      </w:r>
      <w:r>
        <w:t xml:space="preserve">adu inkwetanti ħafna. Il-miżuri laqtu b’mod partikolari lil varji organizzazzjonijiet tas-soċjetà ċivili, lill-minoranzi nazzjonali kif ukoll lill-impriżi żgħar u ta’ daqs medju li rċevew appoġġ operattiv sinifikanti mill-programmi tal-UE. Dawn il-miżuri għandhom ukoll impatt negattiv fuq il-kredibbiltà tal-Unjoni Ewropea fost il-popolazzjoni tal-Kosovo. Minkejja li l-appoġġ favur l-Unjoni Ewropea baqa’ għoli ħafna, għad hemm riskju li </w:t>
      </w:r>
      <w:r>
        <w:lastRenderedPageBreak/>
        <w:t>jista’ jonqos minħabba l-miżuri.</w:t>
      </w:r>
    </w:p>
    <w:p w14:paraId="64E68F8F" w14:textId="77777777" w:rsidR="004861E1" w:rsidRPr="008C3DB1" w:rsidRDefault="008434ED" w:rsidP="004861E1">
      <w:pPr>
        <w:pStyle w:val="Normal12a"/>
        <w:jc w:val="both"/>
      </w:pPr>
      <w:r>
        <w:t>B’dan ir-rapport, ir-rapporteur jixtieq jagħti stampa ġenerali u l-valutazzjoni tal-Parlament Ewropew tal-kisbiet u tal-isfidi l-aktar importanti li l-Kosovo għandu quddiemu llum u fil-futur qrib. Madankollu, f’dan ir-rapport ċertament mhuwiex possibbli li jiġu koperti l-oqsma u l-isfidi problematiċi kollha. Wieħed mill-prerekwiżiti importanti għat-tħejjija ta’ dan ir-rapport kien l-opportunità li ssir żjara fil-Kosovo matul missjoni ta’ ġbir ta’ informazzjoni kif ukoll laqgħa, fost oħrajn, mal-organizzazzj</w:t>
      </w:r>
      <w:r>
        <w:t>onijiet tas-soċjetà ċivili, mar-rappreżentanti tal-minoranzi nazzjonali u mar-rappreżentanti tan-negozju;</w:t>
      </w:r>
    </w:p>
    <w:sectPr w:rsidR="004861E1" w:rsidRPr="008C3DB1" w:rsidSect="004861E1">
      <w:footnotePr>
        <w:numRestart w:val="eachSect"/>
      </w:footnotePr>
      <w:endnotePr>
        <w:numFmt w:val="decimal"/>
      </w:endnotePr>
      <w:pgSz w:w="11906" w:h="16838" w:code="9"/>
      <w:pgMar w:top="0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7E43" w14:textId="77777777" w:rsidR="008434ED" w:rsidRDefault="008434ED">
      <w:r>
        <w:separator/>
      </w:r>
    </w:p>
  </w:endnote>
  <w:endnote w:type="continuationSeparator" w:id="0">
    <w:p w14:paraId="45141B28" w14:textId="77777777" w:rsidR="008434ED" w:rsidRDefault="0084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67B2" w14:textId="77777777" w:rsidR="00524D00" w:rsidRPr="008C3DB1" w:rsidRDefault="008434ED" w:rsidP="00524D00">
    <w:pPr>
      <w:pStyle w:val="EPFooter"/>
      <w:rPr>
        <w:lang w:val="fr-BE"/>
      </w:rPr>
    </w:pPr>
    <w:r w:rsidRPr="008C3DB1">
      <w:rPr>
        <w:lang w:val="fr-BE"/>
      </w:rPr>
      <w:t>PE</w:t>
    </w:r>
    <w:r w:rsidRPr="008C3DB1">
      <w:rPr>
        <w:rStyle w:val="HideTWBExt"/>
        <w:lang w:val="fr-BE"/>
      </w:rPr>
      <w:t>&lt;NoPE&gt;</w:t>
    </w:r>
    <w:r w:rsidRPr="008C3DB1">
      <w:rPr>
        <w:lang w:val="fr-BE"/>
      </w:rPr>
      <w:t>784.231</w:t>
    </w:r>
    <w:r w:rsidRPr="008C3DB1">
      <w:rPr>
        <w:rStyle w:val="HideTWBExt"/>
        <w:lang w:val="fr-BE"/>
      </w:rPr>
      <w:t>&lt;/NoPE&gt;&lt;Version&gt;</w:t>
    </w:r>
    <w:r w:rsidRPr="008C3DB1">
      <w:rPr>
        <w:lang w:val="fr-BE"/>
      </w:rPr>
      <w:t>v01-00</w:t>
    </w:r>
    <w:r w:rsidRPr="008C3DB1">
      <w:rPr>
        <w:rStyle w:val="HideTWBExt"/>
        <w:lang w:val="fr-BE"/>
      </w:rPr>
      <w:t>&lt;/Version&gt;</w:t>
    </w:r>
    <w:r w:rsidRPr="008C3DB1">
      <w:rPr>
        <w:lang w:val="fr-BE"/>
      </w:rPr>
      <w:tab/>
    </w:r>
    <w:r w:rsidRPr="008C3DB1">
      <w:fldChar w:fldCharType="begin"/>
    </w:r>
    <w:r w:rsidRPr="008C3DB1">
      <w:rPr>
        <w:lang w:val="fr-BE"/>
      </w:rPr>
      <w:instrText xml:space="preserve"> PAGE  \* MERGEFORMAT </w:instrText>
    </w:r>
    <w:r w:rsidRPr="008C3DB1">
      <w:fldChar w:fldCharType="separate"/>
    </w:r>
    <w:r w:rsidRPr="008C3DB1">
      <w:rPr>
        <w:noProof/>
        <w:lang w:val="fr-BE"/>
      </w:rPr>
      <w:t>6</w:t>
    </w:r>
    <w:r w:rsidRPr="008C3DB1">
      <w:fldChar w:fldCharType="end"/>
    </w:r>
    <w:r w:rsidRPr="008C3DB1">
      <w:rPr>
        <w:lang w:val="fr-BE"/>
      </w:rPr>
      <w:t>/</w:t>
    </w:r>
    <w:r w:rsidR="005305DF" w:rsidRPr="008C3DB1">
      <w:fldChar w:fldCharType="begin"/>
    </w:r>
    <w:r w:rsidR="005305DF" w:rsidRPr="008C3DB1">
      <w:rPr>
        <w:lang w:val="fr-BE"/>
      </w:rPr>
      <w:instrText xml:space="preserve"> NUMPAGES  \* MERGEFORMAT </w:instrText>
    </w:r>
    <w:r w:rsidR="005305DF" w:rsidRPr="008C3DB1">
      <w:fldChar w:fldCharType="separate"/>
    </w:r>
    <w:r w:rsidRPr="008C3DB1">
      <w:rPr>
        <w:noProof/>
        <w:lang w:val="fr-BE"/>
      </w:rPr>
      <w:t>10</w:t>
    </w:r>
    <w:r w:rsidR="005305DF" w:rsidRPr="008C3DB1">
      <w:rPr>
        <w:noProof/>
      </w:rPr>
      <w:fldChar w:fldCharType="end"/>
    </w:r>
    <w:r w:rsidRPr="008C3DB1">
      <w:rPr>
        <w:lang w:val="fr-BE"/>
      </w:rPr>
      <w:tab/>
    </w:r>
    <w:r w:rsidRPr="008C3DB1">
      <w:rPr>
        <w:rStyle w:val="HideTWBExt"/>
        <w:lang w:val="fr-BE"/>
      </w:rPr>
      <w:t>&lt;PathFdR&gt;</w:t>
    </w:r>
    <w:r w:rsidR="00151335" w:rsidRPr="008C3DB1">
      <w:rPr>
        <w:lang w:val="fr-BE"/>
      </w:rPr>
      <w:t>PR\1336581EN.docx</w:t>
    </w:r>
    <w:r w:rsidRPr="008C3DB1">
      <w:rPr>
        <w:rStyle w:val="HideTWBExt"/>
        <w:lang w:val="fr-BE"/>
      </w:rPr>
      <w:t>&lt;/PathFdR&gt;</w:t>
    </w:r>
  </w:p>
  <w:p w14:paraId="781AC9DD" w14:textId="77777777" w:rsidR="00100069" w:rsidRPr="008C3DB1" w:rsidRDefault="008434ED" w:rsidP="00524D00">
    <w:pPr>
      <w:pStyle w:val="EPFooter2"/>
    </w:pPr>
    <w:r w:rsidRPr="008C3DB1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99A9" w14:textId="77777777" w:rsidR="008434ED" w:rsidRDefault="008434ED" w:rsidP="008434ED">
    <w:pPr>
      <w:pStyle w:val="EPFooter"/>
    </w:pPr>
    <w:r w:rsidRPr="008434ED">
      <w:rPr>
        <w:rStyle w:val="HideTWBExt"/>
      </w:rPr>
      <w:t>&lt;PathFdR&gt;</w:t>
    </w:r>
    <w:r>
      <w:t>PR\1336581MT.docx</w:t>
    </w:r>
    <w:r w:rsidRPr="008434ED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  <w:t>PE</w:t>
    </w:r>
    <w:r w:rsidRPr="008434ED">
      <w:rPr>
        <w:rStyle w:val="HideTWBExt"/>
      </w:rPr>
      <w:t>&lt;NoPE&gt;</w:t>
    </w:r>
    <w:r>
      <w:t>784.231</w:t>
    </w:r>
    <w:r w:rsidRPr="008434ED">
      <w:rPr>
        <w:rStyle w:val="HideTWBExt"/>
      </w:rPr>
      <w:t>&lt;/NoPE&gt;&lt;Version&gt;</w:t>
    </w:r>
    <w:r>
      <w:t>v01-00</w:t>
    </w:r>
    <w:r w:rsidRPr="008434ED">
      <w:rPr>
        <w:rStyle w:val="HideTWBExt"/>
      </w:rPr>
      <w:t>&lt;/Version&gt;</w:t>
    </w:r>
  </w:p>
  <w:p w14:paraId="0404DFBB" w14:textId="38628D3A" w:rsidR="00100069" w:rsidRPr="008C3DB1" w:rsidRDefault="008434ED" w:rsidP="008434ED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9259" w14:textId="77777777" w:rsidR="008434ED" w:rsidRDefault="008434ED" w:rsidP="008434ED">
    <w:pPr>
      <w:pStyle w:val="EPFooter"/>
    </w:pPr>
    <w:r w:rsidRPr="008434ED">
      <w:rPr>
        <w:rStyle w:val="HideTWBExt"/>
      </w:rPr>
      <w:t>&lt;PathFdR&gt;</w:t>
    </w:r>
    <w:r>
      <w:t>PR\1336581MT.docx</w:t>
    </w:r>
    <w:r w:rsidRPr="008434ED">
      <w:rPr>
        <w:rStyle w:val="HideTWBExt"/>
      </w:rPr>
      <w:t>&lt;/PathFdR&gt;</w:t>
    </w:r>
    <w:r>
      <w:tab/>
    </w:r>
    <w:r>
      <w:tab/>
      <w:t>PE</w:t>
    </w:r>
    <w:r w:rsidRPr="008434ED">
      <w:rPr>
        <w:rStyle w:val="HideTWBExt"/>
      </w:rPr>
      <w:t>&lt;NoPE&gt;</w:t>
    </w:r>
    <w:r>
      <w:t>784.231</w:t>
    </w:r>
    <w:r w:rsidRPr="008434ED">
      <w:rPr>
        <w:rStyle w:val="HideTWBExt"/>
      </w:rPr>
      <w:t>&lt;/NoPE&gt;&lt;Version&gt;</w:t>
    </w:r>
    <w:r>
      <w:t>v01-00</w:t>
    </w:r>
    <w:r w:rsidRPr="008434ED">
      <w:rPr>
        <w:rStyle w:val="HideTWBExt"/>
      </w:rPr>
      <w:t>&lt;/Version&gt;</w:t>
    </w:r>
  </w:p>
  <w:p w14:paraId="6AB863A7" w14:textId="5BC9BC4E" w:rsidR="00100069" w:rsidRPr="008C3DB1" w:rsidRDefault="008434ED" w:rsidP="008434ED">
    <w:pPr>
      <w:pStyle w:val="EPFooter2"/>
    </w:pPr>
    <w:r>
      <w:t>MT</w:t>
    </w:r>
    <w:r>
      <w:tab/>
    </w:r>
    <w:r w:rsidRPr="008434ED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ED43D" w14:textId="77777777" w:rsidR="00AA5FFA" w:rsidRPr="008C3DB1" w:rsidRDefault="008434ED">
      <w:r w:rsidRPr="008C3DB1">
        <w:separator/>
      </w:r>
    </w:p>
  </w:footnote>
  <w:footnote w:type="continuationSeparator" w:id="0">
    <w:p w14:paraId="4158E4C3" w14:textId="77777777" w:rsidR="00AA5FFA" w:rsidRPr="008C3DB1" w:rsidRDefault="008434ED">
      <w:r w:rsidRPr="008C3DB1">
        <w:continuationSeparator/>
      </w:r>
    </w:p>
  </w:footnote>
  <w:footnote w:id="1">
    <w:p w14:paraId="3BE8C1A3" w14:textId="77777777" w:rsidR="00841F3C" w:rsidRPr="008C3DB1" w:rsidRDefault="008434ED" w:rsidP="00841F3C">
      <w:pPr>
        <w:pStyle w:val="FootnoteText"/>
        <w:ind w:left="567" w:hanging="567"/>
        <w:rPr>
          <w:u w:val="single" w:color="0000FF"/>
        </w:rPr>
      </w:pPr>
      <w:r>
        <w:rPr>
          <w:rStyle w:val="FootnoteReference"/>
        </w:rPr>
        <w:footnoteRef/>
      </w:r>
      <w:r>
        <w:t xml:space="preserve"> ĠU L 71, 16.3.2016, p. 3, ELI: </w:t>
      </w:r>
      <w:hyperlink r:id="rId1" w:history="1">
        <w:r>
          <w:rPr>
            <w:rStyle w:val="Hyperlink"/>
          </w:rPr>
          <w:t>http://data.europa.eu/eli/agree_internation/2016/342/oj</w:t>
        </w:r>
      </w:hyperlink>
      <w:r>
        <w:t>.</w:t>
      </w:r>
    </w:p>
  </w:footnote>
  <w:footnote w:id="2">
    <w:p w14:paraId="6B595990" w14:textId="77777777" w:rsidR="00841F3C" w:rsidRPr="008C3DB1" w:rsidRDefault="008434ED" w:rsidP="00841F3C">
      <w:pPr>
        <w:pStyle w:val="FootnoteText"/>
        <w:ind w:left="567" w:hanging="567"/>
        <w:rPr>
          <w:u w:val="single" w:color="0000FF"/>
        </w:rPr>
      </w:pPr>
      <w:r>
        <w:rPr>
          <w:rStyle w:val="FootnoteReference"/>
        </w:rPr>
        <w:footnoteRef/>
      </w:r>
      <w:r>
        <w:t xml:space="preserve"> ĠU L 195, 27.7.2017, p. 3, ELI: </w:t>
      </w:r>
      <w:hyperlink r:id="rId2" w:history="1">
        <w:r>
          <w:rPr>
            <w:rStyle w:val="Hyperlink"/>
          </w:rPr>
          <w:t>http://data.europa.eu/eli/agree_internation/2017/1388/oj</w:t>
        </w:r>
      </w:hyperlink>
      <w:r>
        <w:t>.</w:t>
      </w:r>
    </w:p>
  </w:footnote>
  <w:footnote w:id="3">
    <w:p w14:paraId="5DCDD0DD" w14:textId="77777777" w:rsidR="00841F3C" w:rsidRPr="008C3DB1" w:rsidRDefault="008434ED" w:rsidP="00841F3C">
      <w:pPr>
        <w:pStyle w:val="FootnoteText"/>
        <w:ind w:left="567" w:hanging="567"/>
        <w:rPr>
          <w:u w:val="single" w:color="0000FF"/>
        </w:rPr>
      </w:pPr>
      <w:r>
        <w:rPr>
          <w:rStyle w:val="FootnoteReference"/>
        </w:rPr>
        <w:footnoteRef/>
      </w:r>
      <w:r>
        <w:t xml:space="preserve"> ĠU L 330, 20.9.2021, p. 1, ELI: </w:t>
      </w:r>
      <w:hyperlink r:id="rId3" w:history="1">
        <w:r>
          <w:rPr>
            <w:rStyle w:val="Hyperlink"/>
          </w:rPr>
          <w:t>http://data.europa.eu/eli/reg/2021/1529/oj</w:t>
        </w:r>
      </w:hyperlink>
      <w:r>
        <w:t>.</w:t>
      </w:r>
    </w:p>
  </w:footnote>
  <w:footnote w:id="4">
    <w:p w14:paraId="3BD28953" w14:textId="77777777" w:rsidR="00073C51" w:rsidRPr="008C3DB1" w:rsidRDefault="008434ED">
      <w:pPr>
        <w:pStyle w:val="FootnoteText"/>
      </w:pPr>
      <w:r>
        <w:rPr>
          <w:rStyle w:val="FootnoteReference"/>
        </w:rPr>
        <w:footnoteRef/>
      </w:r>
      <w:r>
        <w:t xml:space="preserve"> ĠU L 110, 25.4.2023, p. 1, ELI: </w:t>
      </w:r>
      <w:hyperlink r:id="rId4" w:tooltip="Aċċess għad-dokument permezz tal-URI tal-ELI." w:history="1">
        <w:r>
          <w:rPr>
            <w:rStyle w:val="Hyperlink"/>
          </w:rPr>
          <w:t>http://data.europa.eu/eli/reg/2023/850/oj</w:t>
        </w:r>
      </w:hyperlink>
      <w:r>
        <w:t>.</w:t>
      </w:r>
    </w:p>
  </w:footnote>
  <w:footnote w:id="5">
    <w:p w14:paraId="16EB033B" w14:textId="77777777" w:rsidR="00841F3C" w:rsidRPr="008C3DB1" w:rsidRDefault="008434ED" w:rsidP="00841F3C">
      <w:pPr>
        <w:pStyle w:val="FootnoteText"/>
        <w:ind w:left="567" w:hanging="567"/>
      </w:pPr>
      <w:r>
        <w:rPr>
          <w:rStyle w:val="FootnoteReference"/>
        </w:rPr>
        <w:footnoteRef/>
      </w:r>
      <w:r>
        <w:t xml:space="preserve"> ĠU L, 2024/1449, 24.5.2024, </w:t>
      </w:r>
      <w:r>
        <w:rPr>
          <w:color w:val="333333"/>
          <w:shd w:val="clear" w:color="auto" w:fill="FFFFFF"/>
        </w:rPr>
        <w:t>ELI: </w:t>
      </w:r>
      <w:hyperlink r:id="rId5" w:tooltip="Aċċess għad-dokument permezz tal-URI tal-ELI." w:history="1">
        <w:r>
          <w:rPr>
            <w:rStyle w:val="Hyperlink"/>
            <w:color w:val="337AB7"/>
            <w:shd w:val="clear" w:color="auto" w:fill="FFFFFF"/>
          </w:rPr>
          <w:t>http://data.europa.eu/eli/reg/2024/1449/oj</w:t>
        </w:r>
      </w:hyperlink>
      <w:r>
        <w:t>.</w:t>
      </w:r>
    </w:p>
  </w:footnote>
  <w:footnote w:id="6">
    <w:p w14:paraId="50E7AC40" w14:textId="77777777" w:rsidR="006C1C9B" w:rsidRPr="008C3DB1" w:rsidRDefault="008434ED">
      <w:pPr>
        <w:pStyle w:val="FootnoteText"/>
      </w:pPr>
      <w:r>
        <w:rPr>
          <w:rStyle w:val="FootnoteReference"/>
        </w:rPr>
        <w:footnoteRef/>
      </w:r>
      <w:r>
        <w:t xml:space="preserve"> ĠU L, 2025/1161, 6.6.2025, ELI: </w:t>
      </w:r>
      <w:hyperlink r:id="rId6" w:tgtFrame="_blank" w:tooltip="Aċċess għad-dokument permezz tal-URI tal-ELI." w:history="1">
        <w:r>
          <w:rPr>
            <w:rStyle w:val="Hyperlink"/>
          </w:rPr>
          <w:t>http://data.europa.eu/eli/dec/2025/1161/oj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24C52" w14:textId="77777777" w:rsidR="001929E2" w:rsidRPr="008C3DB1" w:rsidRDefault="00192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B5A85" w14:textId="77777777" w:rsidR="001929E2" w:rsidRPr="008C3DB1" w:rsidRDefault="00192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5421" w14:textId="77777777" w:rsidR="001929E2" w:rsidRPr="008C3DB1" w:rsidRDefault="001929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5F7061"/>
    <w:multiLevelType w:val="hybridMultilevel"/>
    <w:tmpl w:val="B2201016"/>
    <w:lvl w:ilvl="0" w:tplc="54C0DB6C">
      <w:start w:val="64"/>
      <w:numFmt w:val="bullet"/>
      <w:lvlText w:val="–"/>
      <w:lvlJc w:val="left"/>
      <w:pPr>
        <w:ind w:left="6586" w:hanging="360"/>
      </w:pPr>
      <w:rPr>
        <w:rFonts w:ascii="Times New Roman" w:eastAsia="Times New Roman" w:hAnsi="Times New Roman" w:cs="Times New Roman" w:hint="default"/>
      </w:rPr>
    </w:lvl>
    <w:lvl w:ilvl="1" w:tplc="3F40C654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2" w:tplc="01880AF8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  <w:lvl w:ilvl="3" w:tplc="1ED09308">
      <w:start w:val="1"/>
      <w:numFmt w:val="bullet"/>
      <w:lvlText w:val=""/>
      <w:lvlJc w:val="left"/>
      <w:pPr>
        <w:ind w:left="8746" w:hanging="360"/>
      </w:pPr>
      <w:rPr>
        <w:rFonts w:ascii="Symbol" w:hAnsi="Symbol" w:hint="default"/>
      </w:rPr>
    </w:lvl>
    <w:lvl w:ilvl="4" w:tplc="44583CBA">
      <w:start w:val="1"/>
      <w:numFmt w:val="bullet"/>
      <w:lvlText w:val="o"/>
      <w:lvlJc w:val="left"/>
      <w:pPr>
        <w:ind w:left="9466" w:hanging="360"/>
      </w:pPr>
      <w:rPr>
        <w:rFonts w:ascii="Courier New" w:hAnsi="Courier New" w:cs="Courier New" w:hint="default"/>
      </w:rPr>
    </w:lvl>
    <w:lvl w:ilvl="5" w:tplc="3D36BCC8">
      <w:start w:val="1"/>
      <w:numFmt w:val="bullet"/>
      <w:lvlText w:val=""/>
      <w:lvlJc w:val="left"/>
      <w:pPr>
        <w:ind w:left="10186" w:hanging="360"/>
      </w:pPr>
      <w:rPr>
        <w:rFonts w:ascii="Wingdings" w:hAnsi="Wingdings" w:hint="default"/>
      </w:rPr>
    </w:lvl>
    <w:lvl w:ilvl="6" w:tplc="F1A04A36">
      <w:start w:val="1"/>
      <w:numFmt w:val="bullet"/>
      <w:lvlText w:val=""/>
      <w:lvlJc w:val="left"/>
      <w:pPr>
        <w:ind w:left="10906" w:hanging="360"/>
      </w:pPr>
      <w:rPr>
        <w:rFonts w:ascii="Symbol" w:hAnsi="Symbol" w:hint="default"/>
      </w:rPr>
    </w:lvl>
    <w:lvl w:ilvl="7" w:tplc="89ACF3A8">
      <w:start w:val="1"/>
      <w:numFmt w:val="bullet"/>
      <w:lvlText w:val="o"/>
      <w:lvlJc w:val="left"/>
      <w:pPr>
        <w:ind w:left="11626" w:hanging="360"/>
      </w:pPr>
      <w:rPr>
        <w:rFonts w:ascii="Courier New" w:hAnsi="Courier New" w:cs="Courier New" w:hint="default"/>
      </w:rPr>
    </w:lvl>
    <w:lvl w:ilvl="8" w:tplc="3A147510">
      <w:start w:val="1"/>
      <w:numFmt w:val="bullet"/>
      <w:lvlText w:val=""/>
      <w:lvlJc w:val="left"/>
      <w:pPr>
        <w:ind w:left="12346" w:hanging="360"/>
      </w:pPr>
      <w:rPr>
        <w:rFonts w:ascii="Wingdings" w:hAnsi="Wingdings" w:hint="default"/>
      </w:rPr>
    </w:lvl>
  </w:abstractNum>
  <w:abstractNum w:abstractNumId="11" w15:restartNumberingAfterBreak="0">
    <w:nsid w:val="4729239E"/>
    <w:multiLevelType w:val="hybridMultilevel"/>
    <w:tmpl w:val="44E6B4E8"/>
    <w:lvl w:ilvl="0" w:tplc="3F3648F8">
      <w:start w:val="42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B4800BD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4A941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112F3F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1C9A3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DA3D2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3826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3F6AB6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C893E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2318922">
    <w:abstractNumId w:val="9"/>
  </w:num>
  <w:num w:numId="2" w16cid:durableId="1314720264">
    <w:abstractNumId w:val="9"/>
  </w:num>
  <w:num w:numId="3" w16cid:durableId="1277560404">
    <w:abstractNumId w:val="7"/>
  </w:num>
  <w:num w:numId="4" w16cid:durableId="917405357">
    <w:abstractNumId w:val="7"/>
  </w:num>
  <w:num w:numId="5" w16cid:durableId="2070761757">
    <w:abstractNumId w:val="6"/>
  </w:num>
  <w:num w:numId="6" w16cid:durableId="1185364906">
    <w:abstractNumId w:val="6"/>
  </w:num>
  <w:num w:numId="7" w16cid:durableId="2060861003">
    <w:abstractNumId w:val="5"/>
  </w:num>
  <w:num w:numId="8" w16cid:durableId="1164587069">
    <w:abstractNumId w:val="5"/>
  </w:num>
  <w:num w:numId="9" w16cid:durableId="2130586006">
    <w:abstractNumId w:val="4"/>
  </w:num>
  <w:num w:numId="10" w16cid:durableId="1746222398">
    <w:abstractNumId w:val="4"/>
  </w:num>
  <w:num w:numId="11" w16cid:durableId="1889410568">
    <w:abstractNumId w:val="8"/>
  </w:num>
  <w:num w:numId="12" w16cid:durableId="1574583377">
    <w:abstractNumId w:val="8"/>
  </w:num>
  <w:num w:numId="13" w16cid:durableId="755369154">
    <w:abstractNumId w:val="3"/>
  </w:num>
  <w:num w:numId="14" w16cid:durableId="870843763">
    <w:abstractNumId w:val="3"/>
  </w:num>
  <w:num w:numId="15" w16cid:durableId="117069609">
    <w:abstractNumId w:val="2"/>
  </w:num>
  <w:num w:numId="16" w16cid:durableId="179977969">
    <w:abstractNumId w:val="2"/>
  </w:num>
  <w:num w:numId="17" w16cid:durableId="1519809369">
    <w:abstractNumId w:val="1"/>
  </w:num>
  <w:num w:numId="18" w16cid:durableId="441148316">
    <w:abstractNumId w:val="1"/>
  </w:num>
  <w:num w:numId="19" w16cid:durableId="402066687">
    <w:abstractNumId w:val="0"/>
  </w:num>
  <w:num w:numId="20" w16cid:durableId="689768998">
    <w:abstractNumId w:val="0"/>
  </w:num>
  <w:num w:numId="21" w16cid:durableId="1211452594">
    <w:abstractNumId w:val="9"/>
  </w:num>
  <w:num w:numId="22" w16cid:durableId="513030430">
    <w:abstractNumId w:val="7"/>
  </w:num>
  <w:num w:numId="23" w16cid:durableId="68698398">
    <w:abstractNumId w:val="6"/>
  </w:num>
  <w:num w:numId="24" w16cid:durableId="784928956">
    <w:abstractNumId w:val="5"/>
  </w:num>
  <w:num w:numId="25" w16cid:durableId="1923293848">
    <w:abstractNumId w:val="4"/>
  </w:num>
  <w:num w:numId="26" w16cid:durableId="1138759994">
    <w:abstractNumId w:val="8"/>
  </w:num>
  <w:num w:numId="27" w16cid:durableId="1978220977">
    <w:abstractNumId w:val="3"/>
  </w:num>
  <w:num w:numId="28" w16cid:durableId="605116844">
    <w:abstractNumId w:val="2"/>
  </w:num>
  <w:num w:numId="29" w16cid:durableId="69815083">
    <w:abstractNumId w:val="1"/>
  </w:num>
  <w:num w:numId="30" w16cid:durableId="1793359436">
    <w:abstractNumId w:val="0"/>
  </w:num>
  <w:num w:numId="31" w16cid:durableId="70667841">
    <w:abstractNumId w:val="9"/>
  </w:num>
  <w:num w:numId="32" w16cid:durableId="1079403450">
    <w:abstractNumId w:val="7"/>
  </w:num>
  <w:num w:numId="33" w16cid:durableId="1345014690">
    <w:abstractNumId w:val="6"/>
  </w:num>
  <w:num w:numId="34" w16cid:durableId="433399623">
    <w:abstractNumId w:val="5"/>
  </w:num>
  <w:num w:numId="35" w16cid:durableId="1385376282">
    <w:abstractNumId w:val="4"/>
  </w:num>
  <w:num w:numId="36" w16cid:durableId="775059620">
    <w:abstractNumId w:val="8"/>
  </w:num>
  <w:num w:numId="37" w16cid:durableId="666901053">
    <w:abstractNumId w:val="3"/>
  </w:num>
  <w:num w:numId="38" w16cid:durableId="1534073700">
    <w:abstractNumId w:val="2"/>
  </w:num>
  <w:num w:numId="39" w16cid:durableId="442771555">
    <w:abstractNumId w:val="1"/>
  </w:num>
  <w:num w:numId="40" w16cid:durableId="1496727773">
    <w:abstractNumId w:val="0"/>
  </w:num>
  <w:num w:numId="41" w16cid:durableId="1852376436">
    <w:abstractNumId w:val="11"/>
  </w:num>
  <w:num w:numId="42" w16cid:durableId="1388837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DOCDT" w:val="04/03/2026"/>
    <w:docVar w:name="LastEditedSection" w:val=" 1"/>
    <w:docVar w:name="MOTIONMNU" w:val=" 3"/>
    <w:docVar w:name="NVAR1" w:val="0"/>
    <w:docVar w:name="RULEMNU" w:val=" 1"/>
    <w:docVar w:name="strDocTypeID" w:val="PR_INI"/>
    <w:docVar w:name="strSubDir" w:val="1336"/>
    <w:docVar w:name="TITLEMNU" w:val=" 1"/>
    <w:docVar w:name="TXTAUTHOR" w:val="Riho Terras"/>
    <w:docVar w:name="TXTLANGUE" w:val="EN"/>
    <w:docVar w:name="TXTLANGUEMIN" w:val="en"/>
    <w:docVar w:name="TXTNRINI" w:val="2025/2252"/>
    <w:docVar w:name="TXTNRPE" w:val="784.231"/>
    <w:docVar w:name="TXTPEorAP" w:val="PE"/>
    <w:docVar w:name="TXTROUTE" w:val="PR\1336581EN.docx"/>
    <w:docVar w:name="TXTTITLE" w:val="the 2025 Commission report on Kosovo"/>
    <w:docVar w:name="TXTVERSION" w:val="01-00"/>
  </w:docVars>
  <w:rsids>
    <w:rsidRoot w:val="00AA5FFA"/>
    <w:rsid w:val="0000399E"/>
    <w:rsid w:val="00040EAC"/>
    <w:rsid w:val="0004565F"/>
    <w:rsid w:val="00071DB7"/>
    <w:rsid w:val="00073C51"/>
    <w:rsid w:val="0007541B"/>
    <w:rsid w:val="00082B37"/>
    <w:rsid w:val="000A7B14"/>
    <w:rsid w:val="000C3013"/>
    <w:rsid w:val="000D0F3D"/>
    <w:rsid w:val="000D1B71"/>
    <w:rsid w:val="000D2631"/>
    <w:rsid w:val="000F32B6"/>
    <w:rsid w:val="000F7836"/>
    <w:rsid w:val="00100069"/>
    <w:rsid w:val="001046B1"/>
    <w:rsid w:val="00105C44"/>
    <w:rsid w:val="0011099D"/>
    <w:rsid w:val="001138EF"/>
    <w:rsid w:val="00136CCC"/>
    <w:rsid w:val="00151335"/>
    <w:rsid w:val="001929E2"/>
    <w:rsid w:val="001B207D"/>
    <w:rsid w:val="001B61CF"/>
    <w:rsid w:val="001D2F17"/>
    <w:rsid w:val="001D656B"/>
    <w:rsid w:val="00204B85"/>
    <w:rsid w:val="00220E6A"/>
    <w:rsid w:val="0023245A"/>
    <w:rsid w:val="002544DF"/>
    <w:rsid w:val="00276B35"/>
    <w:rsid w:val="00310DA8"/>
    <w:rsid w:val="00335F69"/>
    <w:rsid w:val="00343273"/>
    <w:rsid w:val="00386AEC"/>
    <w:rsid w:val="00395A66"/>
    <w:rsid w:val="003E4507"/>
    <w:rsid w:val="003E6413"/>
    <w:rsid w:val="003F7731"/>
    <w:rsid w:val="004016B4"/>
    <w:rsid w:val="00412063"/>
    <w:rsid w:val="004200B3"/>
    <w:rsid w:val="00427897"/>
    <w:rsid w:val="0043010F"/>
    <w:rsid w:val="00431E3D"/>
    <w:rsid w:val="00432B50"/>
    <w:rsid w:val="00452253"/>
    <w:rsid w:val="00455003"/>
    <w:rsid w:val="00466A1A"/>
    <w:rsid w:val="004861E1"/>
    <w:rsid w:val="00497991"/>
    <w:rsid w:val="004B2373"/>
    <w:rsid w:val="004C2F1F"/>
    <w:rsid w:val="004C3337"/>
    <w:rsid w:val="00514A18"/>
    <w:rsid w:val="005178FF"/>
    <w:rsid w:val="00524D00"/>
    <w:rsid w:val="005305DF"/>
    <w:rsid w:val="00531F4C"/>
    <w:rsid w:val="00533B4F"/>
    <w:rsid w:val="00540EDD"/>
    <w:rsid w:val="00584A07"/>
    <w:rsid w:val="00604F5A"/>
    <w:rsid w:val="00610335"/>
    <w:rsid w:val="006272CD"/>
    <w:rsid w:val="0066097A"/>
    <w:rsid w:val="006C1C9B"/>
    <w:rsid w:val="00703983"/>
    <w:rsid w:val="00705D44"/>
    <w:rsid w:val="00726C82"/>
    <w:rsid w:val="007351EF"/>
    <w:rsid w:val="00766983"/>
    <w:rsid w:val="00770DA1"/>
    <w:rsid w:val="007963C6"/>
    <w:rsid w:val="007B03C3"/>
    <w:rsid w:val="007B1819"/>
    <w:rsid w:val="007D0588"/>
    <w:rsid w:val="007D0E0F"/>
    <w:rsid w:val="007F78FF"/>
    <w:rsid w:val="008016E7"/>
    <w:rsid w:val="00841F3C"/>
    <w:rsid w:val="008434ED"/>
    <w:rsid w:val="00865656"/>
    <w:rsid w:val="00872D48"/>
    <w:rsid w:val="008C1DE6"/>
    <w:rsid w:val="008C3DB1"/>
    <w:rsid w:val="008C4C65"/>
    <w:rsid w:val="008D6DE8"/>
    <w:rsid w:val="008F0051"/>
    <w:rsid w:val="0090583E"/>
    <w:rsid w:val="00913BEE"/>
    <w:rsid w:val="00915566"/>
    <w:rsid w:val="00920240"/>
    <w:rsid w:val="0095536F"/>
    <w:rsid w:val="00956282"/>
    <w:rsid w:val="00972CEF"/>
    <w:rsid w:val="00992D14"/>
    <w:rsid w:val="00996AC6"/>
    <w:rsid w:val="009971EF"/>
    <w:rsid w:val="009C6D01"/>
    <w:rsid w:val="009E1CE7"/>
    <w:rsid w:val="009E4ABB"/>
    <w:rsid w:val="009F2F39"/>
    <w:rsid w:val="00A13986"/>
    <w:rsid w:val="00A24C7F"/>
    <w:rsid w:val="00A45202"/>
    <w:rsid w:val="00A77A54"/>
    <w:rsid w:val="00AA5FFA"/>
    <w:rsid w:val="00AE1119"/>
    <w:rsid w:val="00AF310F"/>
    <w:rsid w:val="00B065EF"/>
    <w:rsid w:val="00B17532"/>
    <w:rsid w:val="00B215B4"/>
    <w:rsid w:val="00B6383B"/>
    <w:rsid w:val="00B82965"/>
    <w:rsid w:val="00BA2A57"/>
    <w:rsid w:val="00BA5076"/>
    <w:rsid w:val="00BB70F1"/>
    <w:rsid w:val="00BC7C60"/>
    <w:rsid w:val="00C00074"/>
    <w:rsid w:val="00C21C5F"/>
    <w:rsid w:val="00C55A76"/>
    <w:rsid w:val="00C65A58"/>
    <w:rsid w:val="00C67F7D"/>
    <w:rsid w:val="00C812C6"/>
    <w:rsid w:val="00C85D0F"/>
    <w:rsid w:val="00C93A60"/>
    <w:rsid w:val="00CD3E8A"/>
    <w:rsid w:val="00CE0F04"/>
    <w:rsid w:val="00D216B5"/>
    <w:rsid w:val="00D22498"/>
    <w:rsid w:val="00D31D25"/>
    <w:rsid w:val="00D47BB0"/>
    <w:rsid w:val="00DB4680"/>
    <w:rsid w:val="00DD013B"/>
    <w:rsid w:val="00DD2916"/>
    <w:rsid w:val="00DD324A"/>
    <w:rsid w:val="00DD7B9D"/>
    <w:rsid w:val="00DE1839"/>
    <w:rsid w:val="00DF1F83"/>
    <w:rsid w:val="00DF5D22"/>
    <w:rsid w:val="00E155CA"/>
    <w:rsid w:val="00E3537C"/>
    <w:rsid w:val="00E44E27"/>
    <w:rsid w:val="00E532A8"/>
    <w:rsid w:val="00E55B36"/>
    <w:rsid w:val="00E567AC"/>
    <w:rsid w:val="00E61690"/>
    <w:rsid w:val="00EA7AA9"/>
    <w:rsid w:val="00EB299A"/>
    <w:rsid w:val="00EC31F3"/>
    <w:rsid w:val="00EE5A4A"/>
    <w:rsid w:val="00EF7B8A"/>
    <w:rsid w:val="00F076A5"/>
    <w:rsid w:val="00F3651F"/>
    <w:rsid w:val="00F36B7B"/>
    <w:rsid w:val="00F66F60"/>
    <w:rsid w:val="00F714A9"/>
    <w:rsid w:val="00F853B5"/>
    <w:rsid w:val="00FC4A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FA923"/>
  <w15:chartTrackingRefBased/>
  <w15:docId w15:val="{07533703-884A-4B7B-8C0A-3E6817B7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rsid w:val="00841F3C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customStyle="1" w:styleId="Normal24a">
    <w:name w:val="Normal24a"/>
    <w:basedOn w:val="Normal"/>
    <w:rsid w:val="00220E6A"/>
    <w:pPr>
      <w:spacing w:after="480"/>
    </w:pPr>
  </w:style>
  <w:style w:type="paragraph" w:customStyle="1" w:styleId="NormalBoldCenter">
    <w:name w:val="NormalBoldCenter"/>
    <w:basedOn w:val="Normal"/>
    <w:rsid w:val="00220E6A"/>
    <w:pPr>
      <w:jc w:val="center"/>
    </w:pPr>
    <w:rPr>
      <w:b/>
    </w:rPr>
  </w:style>
  <w:style w:type="paragraph" w:customStyle="1" w:styleId="Footprint12b">
    <w:name w:val="Footprint12b"/>
    <w:basedOn w:val="Normal"/>
    <w:rsid w:val="00220E6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20E6A"/>
    <w:rPr>
      <w:szCs w:val="24"/>
    </w:rPr>
  </w:style>
  <w:style w:type="paragraph" w:styleId="FootnoteText">
    <w:name w:val="footnote text"/>
    <w:basedOn w:val="Normal"/>
    <w:link w:val="FootnoteTextChar"/>
    <w:uiPriority w:val="99"/>
    <w:rsid w:val="00220E6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20E6A"/>
  </w:style>
  <w:style w:type="character" w:styleId="FootnoteReference">
    <w:name w:val="footnote reference"/>
    <w:basedOn w:val="DefaultParagraphFont"/>
    <w:rsid w:val="00220E6A"/>
    <w:rPr>
      <w:vertAlign w:val="superscript"/>
    </w:rPr>
  </w:style>
  <w:style w:type="character" w:styleId="Hyperlink">
    <w:name w:val="Hyperlink"/>
    <w:basedOn w:val="DefaultParagraphFont"/>
    <w:rsid w:val="00220E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E6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8016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016E7"/>
    <w:rPr>
      <w:sz w:val="24"/>
    </w:rPr>
  </w:style>
  <w:style w:type="paragraph" w:styleId="Revision">
    <w:name w:val="Revision"/>
    <w:hidden/>
    <w:uiPriority w:val="99"/>
    <w:semiHidden/>
    <w:rsid w:val="007351EF"/>
    <w:rPr>
      <w:sz w:val="24"/>
    </w:rPr>
  </w:style>
  <w:style w:type="character" w:styleId="CommentReference">
    <w:name w:val="annotation reference"/>
    <w:basedOn w:val="DefaultParagraphFont"/>
    <w:rsid w:val="007351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1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1E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5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51EF"/>
    <w:rPr>
      <w:b/>
      <w:bCs/>
    </w:rPr>
  </w:style>
  <w:style w:type="character" w:styleId="FollowedHyperlink">
    <w:name w:val="FollowedHyperlink"/>
    <w:basedOn w:val="DefaultParagraphFont"/>
    <w:rsid w:val="00C65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MT/ALL/?uri=CELEX:52024DC014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MT/ALL/?uri=CELEX:52023DC069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MT/ALL/?uri=CELEX%3A52020DC0641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52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dec/2025/1161/oj" TargetMode="External"/><Relationship Id="rId5" Type="http://schemas.openxmlformats.org/officeDocument/2006/relationships/hyperlink" Target="http://data.europa.eu/eli/reg/2024/1449/oj" TargetMode="External"/><Relationship Id="rId4" Type="http://schemas.openxmlformats.org/officeDocument/2006/relationships/hyperlink" Target="http://data.europa.eu/eli/reg/2023/85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21B76-C0E0-4977-90A7-C96CB162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2549</Words>
  <Characters>18940</Characters>
  <Application>Microsoft Office Word</Application>
  <DocSecurity>0</DocSecurity>
  <Lines>310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TENGELIDOU Gesthimani</dc:creator>
  <cp:lastModifiedBy>SCIRTO GAUCI Lindsay</cp:lastModifiedBy>
  <cp:revision>2</cp:revision>
  <cp:lastPrinted>2026-03-09T16:30:00Z</cp:lastPrinted>
  <dcterms:created xsi:type="dcterms:W3CDTF">2026-03-19T09:55:00Z</dcterms:created>
  <dcterms:modified xsi:type="dcterms:W3CDTF">2026-03-19T09:55:00Z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1336581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08:53:03)</vt:lpwstr>
  </property>
  <property fmtid="{D5CDD505-2E9C-101B-9397-08002B2CF9AE}" pid="6" name="&lt;ModelTra&gt;">
    <vt:lpwstr>\\eiciBRUpr1\pdocep$\DocEP\TRANSFIL\EN\PR_INI.EN(18/02/2025 08:54:04)</vt:lpwstr>
  </property>
  <property fmtid="{D5CDD505-2E9C-101B-9397-08002B2CF9AE}" pid="7" name="&lt;Type&gt;">
    <vt:lpwstr>PR</vt:lpwstr>
  </property>
  <property fmtid="{D5CDD505-2E9C-101B-9397-08002B2CF9AE}" pid="8" name="Bookout">
    <vt:lpwstr>OK - 2026/03/19 10:55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PR\1336581EN.docx</vt:lpwstr>
  </property>
  <property fmtid="{D5CDD505-2E9C-101B-9397-08002B2CF9AE}" pid="11" name="LastEdited with">
    <vt:lpwstr>10.2.1 Build [20260301]</vt:lpwstr>
  </property>
  <property fmtid="{D5CDD505-2E9C-101B-9397-08002B2CF9AE}" pid="12" name="PE number">
    <vt:lpwstr>784.231</vt:lpwstr>
  </property>
  <property fmtid="{D5CDD505-2E9C-101B-9397-08002B2CF9AE}" pid="13" name="SDLStudio">
    <vt:lpwstr/>
  </property>
  <property fmtid="{D5CDD505-2E9C-101B-9397-08002B2CF9AE}" pid="14" name="SendToEpades">
    <vt:lpwstr>OK - 2026/03/06 09:19</vt:lpwstr>
  </property>
</Properties>
</file>