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3A60" w:rsidRPr="00DC26FE" w14:paraId="52E7871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066EE5" w14:textId="77777777" w:rsidR="00C93A60" w:rsidRPr="00DC26FE" w:rsidRDefault="00AA5FFA" w:rsidP="00C85D0F">
            <w:pPr>
              <w:pStyle w:val="EPName"/>
            </w:pPr>
            <w:r w:rsidRPr="00DC26FE">
              <w:t>Parlament Europejski</w:t>
            </w:r>
          </w:p>
          <w:p w14:paraId="3ED9114C" w14:textId="2B73CDA0" w:rsidR="00C93A60" w:rsidRPr="00DC26FE" w:rsidRDefault="00220E6A" w:rsidP="00C85D0F">
            <w:pPr>
              <w:pStyle w:val="EPTerm"/>
            </w:pPr>
            <w:r w:rsidRPr="00DC26FE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795CBD" w14:textId="77777777" w:rsidR="00C93A60" w:rsidRPr="00DC26FE" w:rsidRDefault="00C93A60" w:rsidP="00C85D0F">
            <w:pPr>
              <w:pStyle w:val="EPLogo"/>
            </w:pPr>
            <w:r w:rsidRPr="00DC26FE">
              <w:rPr>
                <w:noProof/>
                <w:lang w:eastAsia="ja-JP"/>
              </w:rPr>
              <w:drawing>
                <wp:inline distT="0" distB="0" distL="0" distR="0" wp14:anchorId="3C46F971" wp14:editId="09DC28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37562E" w14:textId="77777777" w:rsidR="00E3537C" w:rsidRPr="00DC26FE" w:rsidRDefault="00E3537C" w:rsidP="00E3537C">
      <w:pPr>
        <w:pStyle w:val="LineTop"/>
      </w:pPr>
    </w:p>
    <w:p w14:paraId="40F1D2BE" w14:textId="7E770DE8" w:rsidR="00E3537C" w:rsidRPr="00DC26FE" w:rsidRDefault="00E3537C" w:rsidP="00E3537C">
      <w:pPr>
        <w:pStyle w:val="EPBody"/>
      </w:pPr>
      <w:r w:rsidRPr="00DC26FE">
        <w:rPr>
          <w:rStyle w:val="HideTWBExt"/>
          <w:i w:val="0"/>
        </w:rPr>
        <w:t>&lt;Commission&gt;</w:t>
      </w:r>
      <w:r w:rsidRPr="00DC26FE">
        <w:rPr>
          <w:rStyle w:val="HideTWBInt"/>
        </w:rPr>
        <w:t>{AFET}</w:t>
      </w:r>
      <w:r w:rsidRPr="00DC26FE">
        <w:t>Komisja Spraw Zagranicznych</w:t>
      </w:r>
      <w:r w:rsidRPr="00DC26FE">
        <w:rPr>
          <w:rStyle w:val="HideTWBExt"/>
          <w:i w:val="0"/>
        </w:rPr>
        <w:t>&lt;/Commission&gt;</w:t>
      </w:r>
    </w:p>
    <w:p w14:paraId="182E8710" w14:textId="77777777" w:rsidR="00E3537C" w:rsidRPr="00DC26FE" w:rsidRDefault="00E3537C" w:rsidP="00E3537C">
      <w:pPr>
        <w:pStyle w:val="LineBottom"/>
      </w:pPr>
    </w:p>
    <w:p w14:paraId="4C002197" w14:textId="6D73DD57" w:rsidR="00100069" w:rsidRPr="00DC26FE" w:rsidRDefault="00100069">
      <w:pPr>
        <w:pStyle w:val="CoverReference"/>
      </w:pPr>
      <w:r w:rsidRPr="00DC26FE">
        <w:rPr>
          <w:rStyle w:val="HideTWBExt"/>
          <w:b w:val="0"/>
        </w:rPr>
        <w:t>&lt;RefProc&gt;</w:t>
      </w:r>
      <w:r w:rsidRPr="00DC26FE">
        <w:t>2025/2252</w:t>
      </w:r>
      <w:r w:rsidRPr="00DC26FE">
        <w:rPr>
          <w:rStyle w:val="HideTWBExt"/>
          <w:b w:val="0"/>
        </w:rPr>
        <w:t>&lt;/RefProc&gt;&lt;RefTypeProc&gt;</w:t>
      </w:r>
      <w:r w:rsidRPr="00DC26FE">
        <w:t>(INI)</w:t>
      </w:r>
      <w:r w:rsidRPr="00DC26FE">
        <w:rPr>
          <w:rStyle w:val="HideTWBExt"/>
          <w:b w:val="0"/>
        </w:rPr>
        <w:t>&lt;/RefTypeProc&gt;</w:t>
      </w:r>
    </w:p>
    <w:p w14:paraId="3C158136" w14:textId="6F898ABB" w:rsidR="00100069" w:rsidRPr="00DC26FE" w:rsidRDefault="00100069">
      <w:pPr>
        <w:pStyle w:val="CoverDate"/>
      </w:pPr>
      <w:r w:rsidRPr="00DC26FE">
        <w:rPr>
          <w:rStyle w:val="HideTWBExt"/>
        </w:rPr>
        <w:t>&lt;Date&gt;</w:t>
      </w:r>
      <w:r w:rsidRPr="00DC26FE">
        <w:rPr>
          <w:rStyle w:val="HideTWBInt"/>
        </w:rPr>
        <w:t>{06/03/2026}</w:t>
      </w:r>
      <w:r w:rsidRPr="00DC26FE">
        <w:t>6.3.2026</w:t>
      </w:r>
      <w:r w:rsidRPr="00DC26FE">
        <w:rPr>
          <w:rStyle w:val="HideTWBExt"/>
        </w:rPr>
        <w:t>&lt;/Date&gt;</w:t>
      </w:r>
    </w:p>
    <w:p w14:paraId="200AC8EA" w14:textId="77777777" w:rsidR="00100069" w:rsidRPr="00DC26FE" w:rsidRDefault="00100069">
      <w:pPr>
        <w:pStyle w:val="CoverDocType24a"/>
      </w:pPr>
      <w:r w:rsidRPr="00DC26FE">
        <w:rPr>
          <w:rStyle w:val="HideTWBExt"/>
          <w:b w:val="0"/>
        </w:rPr>
        <w:t>&lt;TitreType&gt;</w:t>
      </w:r>
      <w:r w:rsidRPr="00DC26FE">
        <w:t>PROJEKT SPRAWOZDANIA</w:t>
      </w:r>
      <w:r w:rsidRPr="00DC26FE">
        <w:rPr>
          <w:rStyle w:val="HideTWBExt"/>
          <w:b w:val="0"/>
        </w:rPr>
        <w:t>&lt;/TitreType&gt;</w:t>
      </w:r>
    </w:p>
    <w:p w14:paraId="58CA79BF" w14:textId="572275E2" w:rsidR="00100069" w:rsidRPr="00DC26FE" w:rsidRDefault="00100069">
      <w:pPr>
        <w:pStyle w:val="CoverNormal"/>
      </w:pPr>
      <w:r w:rsidRPr="00DC26FE">
        <w:rPr>
          <w:rStyle w:val="HideTWBExt"/>
        </w:rPr>
        <w:t>&lt;Titre&gt;</w:t>
      </w:r>
      <w:r w:rsidRPr="00DC26FE">
        <w:t>w sprawie sprawozdania Komisji dotyczącego Kosowa – 2025 r.</w:t>
      </w:r>
      <w:r w:rsidRPr="00DC26FE">
        <w:rPr>
          <w:rStyle w:val="HideTWBExt"/>
        </w:rPr>
        <w:t>&lt;/Titre&gt;</w:t>
      </w:r>
    </w:p>
    <w:p w14:paraId="6AAD6BD3" w14:textId="23AC5C41" w:rsidR="00100069" w:rsidRPr="00DC26FE" w:rsidRDefault="00100069">
      <w:pPr>
        <w:pStyle w:val="CoverNormal24a"/>
      </w:pPr>
      <w:r w:rsidRPr="00DC26FE">
        <w:rPr>
          <w:rStyle w:val="HideTWBExt"/>
        </w:rPr>
        <w:t>&lt;DocRef&gt;</w:t>
      </w:r>
      <w:r w:rsidRPr="00DC26FE">
        <w:t>(2025/2252(INI))</w:t>
      </w:r>
      <w:r w:rsidRPr="00DC26FE">
        <w:rPr>
          <w:rStyle w:val="HideTWBExt"/>
        </w:rPr>
        <w:t>&lt;/DocRef&gt;</w:t>
      </w:r>
    </w:p>
    <w:p w14:paraId="1A0E7CE2" w14:textId="2FEF6DFE" w:rsidR="00100069" w:rsidRPr="00DC26FE" w:rsidRDefault="00100069">
      <w:pPr>
        <w:pStyle w:val="CoverNormal24a"/>
      </w:pPr>
      <w:r w:rsidRPr="00DC26FE">
        <w:rPr>
          <w:rStyle w:val="HideTWBExt"/>
        </w:rPr>
        <w:t>&lt;Commission&gt;</w:t>
      </w:r>
      <w:r w:rsidRPr="00DC26FE">
        <w:rPr>
          <w:rStyle w:val="HideTWBInt"/>
        </w:rPr>
        <w:t>{AFET}</w:t>
      </w:r>
      <w:r w:rsidRPr="00DC26FE">
        <w:t>Komisja Spraw Zagranicznych</w:t>
      </w:r>
      <w:r w:rsidRPr="00DC26FE">
        <w:rPr>
          <w:rStyle w:val="HideTWBExt"/>
        </w:rPr>
        <w:t>&lt;/Commission&gt;</w:t>
      </w:r>
    </w:p>
    <w:p w14:paraId="38D9ADEA" w14:textId="69A71B6D" w:rsidR="00100069" w:rsidRPr="00CB1606" w:rsidRDefault="00AA5FFA">
      <w:pPr>
        <w:pStyle w:val="CoverNormal24a"/>
        <w:rPr>
          <w:lang w:val="pt-PT"/>
        </w:rPr>
      </w:pPr>
      <w:r w:rsidRPr="00CB1606">
        <w:rPr>
          <w:lang w:val="pt-PT"/>
        </w:rPr>
        <w:t xml:space="preserve">Sprawozdawca: </w:t>
      </w:r>
      <w:r w:rsidRPr="00CB1606">
        <w:rPr>
          <w:rStyle w:val="HideTWBExt"/>
          <w:lang w:val="pt-PT"/>
        </w:rPr>
        <w:t>&lt;Depute&gt;</w:t>
      </w:r>
      <w:r w:rsidRPr="00CB1606">
        <w:rPr>
          <w:lang w:val="pt-PT"/>
        </w:rPr>
        <w:t>Riho Terras</w:t>
      </w:r>
      <w:r w:rsidRPr="00CB1606">
        <w:rPr>
          <w:rStyle w:val="HideTWBExt"/>
          <w:lang w:val="pt-PT"/>
        </w:rPr>
        <w:t>&lt;/Depute&gt;</w:t>
      </w:r>
    </w:p>
    <w:p w14:paraId="7F69B63D" w14:textId="77777777" w:rsidR="00100069" w:rsidRPr="00CB1606" w:rsidRDefault="00100069" w:rsidP="002544DF">
      <w:pPr>
        <w:widowControl/>
        <w:tabs>
          <w:tab w:val="center" w:pos="4677"/>
        </w:tabs>
        <w:rPr>
          <w:lang w:val="pt-PT"/>
        </w:rPr>
      </w:pPr>
      <w:r w:rsidRPr="00CB1606">
        <w:rPr>
          <w:lang w:val="pt-PT"/>
        </w:rPr>
        <w:br w:type="page"/>
      </w:r>
      <w:r w:rsidRPr="00CB1606">
        <w:rPr>
          <w:lang w:val="pt-PT"/>
        </w:rPr>
        <w:lastRenderedPageBreak/>
        <w:t>PR_INI</w:t>
      </w:r>
    </w:p>
    <w:p w14:paraId="15813BB2" w14:textId="77777777" w:rsidR="00100069" w:rsidRPr="00DC26FE" w:rsidRDefault="00AA5FFA">
      <w:pPr>
        <w:pStyle w:val="TOCHeading"/>
      </w:pPr>
      <w:r w:rsidRPr="00DC26FE">
        <w:t>SPIS TREŚCI</w:t>
      </w:r>
    </w:p>
    <w:p w14:paraId="19DBE71F" w14:textId="77777777" w:rsidR="00100069" w:rsidRPr="00DC26FE" w:rsidRDefault="00AA5FFA">
      <w:pPr>
        <w:pStyle w:val="TOCPage"/>
      </w:pPr>
      <w:r w:rsidRPr="00DC26FE">
        <w:t>Strona</w:t>
      </w:r>
    </w:p>
    <w:p w14:paraId="0C5F22E7" w14:textId="2E098E24" w:rsidR="00CB1606" w:rsidRDefault="002544D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DC26FE">
        <w:rPr>
          <w:b/>
        </w:rPr>
        <w:fldChar w:fldCharType="begin"/>
      </w:r>
      <w:r w:rsidRPr="00DC26FE">
        <w:rPr>
          <w:b/>
        </w:rPr>
        <w:instrText xml:space="preserve"> TOC \t "PageHeading</w:instrText>
      </w:r>
      <w:r w:rsidR="00DD2916" w:rsidRPr="00DC26FE">
        <w:rPr>
          <w:b/>
        </w:rPr>
        <w:instrText>;</w:instrText>
      </w:r>
      <w:r w:rsidRPr="00DC26FE">
        <w:rPr>
          <w:b/>
        </w:rPr>
        <w:instrText xml:space="preserve">1" </w:instrText>
      </w:r>
      <w:r w:rsidRPr="00DC26FE">
        <w:rPr>
          <w:b/>
        </w:rPr>
        <w:fldChar w:fldCharType="separate"/>
      </w:r>
      <w:r w:rsidR="00CB1606">
        <w:rPr>
          <w:noProof/>
        </w:rPr>
        <w:t>PROJEKT REZOLUCJI PARLAMENTU EUROPEJSKIEGO</w:t>
      </w:r>
      <w:r w:rsidR="00CB1606">
        <w:rPr>
          <w:noProof/>
        </w:rPr>
        <w:tab/>
      </w:r>
      <w:r w:rsidR="00CB1606">
        <w:rPr>
          <w:noProof/>
        </w:rPr>
        <w:fldChar w:fldCharType="begin"/>
      </w:r>
      <w:r w:rsidR="00CB1606">
        <w:rPr>
          <w:noProof/>
        </w:rPr>
        <w:instrText xml:space="preserve"> PAGEREF _Toc224803125 \h </w:instrText>
      </w:r>
      <w:r w:rsidR="00CB1606">
        <w:rPr>
          <w:noProof/>
        </w:rPr>
      </w:r>
      <w:r w:rsidR="00CB1606">
        <w:rPr>
          <w:noProof/>
        </w:rPr>
        <w:fldChar w:fldCharType="separate"/>
      </w:r>
      <w:r w:rsidR="00CB1606">
        <w:rPr>
          <w:noProof/>
        </w:rPr>
        <w:t>3</w:t>
      </w:r>
      <w:r w:rsidR="00CB1606">
        <w:rPr>
          <w:noProof/>
        </w:rPr>
        <w:fldChar w:fldCharType="end"/>
      </w:r>
    </w:p>
    <w:p w14:paraId="38CAAB8B" w14:textId="468CC465" w:rsidR="00CB1606" w:rsidRDefault="00CB160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_Toc224803126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1B5CA831" w14:textId="5223D31B" w:rsidR="00E155CA" w:rsidRPr="00DC26FE" w:rsidRDefault="002544DF" w:rsidP="0023245A">
      <w:r w:rsidRPr="00DC26FE">
        <w:rPr>
          <w:b/>
        </w:rPr>
        <w:fldChar w:fldCharType="end"/>
      </w:r>
    </w:p>
    <w:p w14:paraId="4CAD1D2B" w14:textId="77777777" w:rsidR="00100069" w:rsidRPr="00DC26FE" w:rsidRDefault="00100069">
      <w:pPr>
        <w:pStyle w:val="PageHeading"/>
      </w:pPr>
      <w:r w:rsidRPr="00DC26FE">
        <w:br w:type="page"/>
      </w:r>
      <w:bookmarkStart w:id="0" w:name="_Toc224803125"/>
      <w:r w:rsidRPr="00DC26FE">
        <w:lastRenderedPageBreak/>
        <w:t>PROJEKT REZOLUCJI PARLAMENTU EUROPEJSKIEGO</w:t>
      </w:r>
      <w:bookmarkEnd w:id="0"/>
    </w:p>
    <w:p w14:paraId="2844E266" w14:textId="33473F15" w:rsidR="00100069" w:rsidRPr="00DC26FE" w:rsidRDefault="00220E6A">
      <w:pPr>
        <w:pStyle w:val="NormalBold"/>
      </w:pPr>
      <w:r w:rsidRPr="00DC26FE">
        <w:t>w sprawie sprawozdania Komisji dotyczącego Kosowa – 2025 r.</w:t>
      </w:r>
    </w:p>
    <w:p w14:paraId="75AE2C7B" w14:textId="08EDE32F" w:rsidR="00100069" w:rsidRPr="00DC26FE" w:rsidRDefault="00AA5FFA" w:rsidP="00335F69">
      <w:pPr>
        <w:pStyle w:val="NormalBold"/>
      </w:pPr>
      <w:r w:rsidRPr="00DC26FE">
        <w:t>(2025/2252(INI))</w:t>
      </w:r>
    </w:p>
    <w:p w14:paraId="35ED6B30" w14:textId="77777777" w:rsidR="00100069" w:rsidRPr="00DC26FE" w:rsidRDefault="00AA5FFA" w:rsidP="00335F69">
      <w:pPr>
        <w:pStyle w:val="EPComma"/>
      </w:pPr>
      <w:r w:rsidRPr="00DC26FE">
        <w:rPr>
          <w:i/>
        </w:rPr>
        <w:t>Parlament Europejski</w:t>
      </w:r>
      <w:r w:rsidRPr="00DC26FE">
        <w:t>,</w:t>
      </w:r>
    </w:p>
    <w:p w14:paraId="6B4730B1" w14:textId="6B044528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Układ o stabilizacji i stowarzyszeniu między Unią Europejską i Europejską Wspólnotą Energii Atomowej, z jednej strony, a Kosowem, z drugiej strony</w:t>
      </w:r>
      <w:r w:rsidRPr="00DC26FE">
        <w:rPr>
          <w:rStyle w:val="FootnoteReference"/>
        </w:rPr>
        <w:footnoteReference w:id="1"/>
      </w:r>
      <w:r w:rsidRPr="00DC26FE">
        <w:t>, który wszedł w życie 1 kwietnia 2016 r.,</w:t>
      </w:r>
    </w:p>
    <w:p w14:paraId="2523F994" w14:textId="36F6E89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wniosek Kosowa o członkostwo w Unii Europejskiej, złożony 15 grudnia 2022 r.,</w:t>
      </w:r>
    </w:p>
    <w:p w14:paraId="702A5F3B" w14:textId="45450D16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wniosek Kosowa o członkostwo w Radzie Europy, złożony 12 maja 2022 r.,</w:t>
      </w:r>
    </w:p>
    <w:p w14:paraId="24944AAE" w14:textId="3BBD3000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Umowę ramową między Unią Europejską a Kosowem dotyczącą ogólnych zasad uczestnictwa Kosowa w programach unijnych</w:t>
      </w:r>
      <w:r w:rsidRPr="00DC26FE">
        <w:rPr>
          <w:rStyle w:val="FootnoteReference"/>
        </w:rPr>
        <w:footnoteReference w:id="2"/>
      </w:r>
      <w:r w:rsidRPr="00DC26FE">
        <w:t>, która obowiązuje od 1 sierpnia 2017 r.,</w:t>
      </w:r>
    </w:p>
    <w:p w14:paraId="6801AC95" w14:textId="63E735C2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rozporządzenie Parlamentu Europejskiego i Rady (UE) 2021/1529 z dnia 15 września 2021 r. ustanawiające Instrument Pomocy Przedakcesyjnej (IPA III)</w:t>
      </w:r>
      <w:r w:rsidRPr="00DC26FE">
        <w:rPr>
          <w:rStyle w:val="FootnoteReference"/>
        </w:rPr>
        <w:footnoteReference w:id="3"/>
      </w:r>
      <w:r w:rsidRPr="00DC26FE">
        <w:t>,</w:t>
      </w:r>
    </w:p>
    <w:p w14:paraId="2346B2E3" w14:textId="60A366FC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rozporządzenie Parlamentu Europejskiego i Rady (UE) 2023/850 z dnia 19 kwietnia 2023 r. w sprawie zmiany rozporządzenia (UE) 2018/1806 wymieniającego państwa trzecie, których obywatele muszą posiadać wizy podczas przekraczania granic zewnętrznych, oraz te, których obywatele są zwolnieni z tego wymogu</w:t>
      </w:r>
      <w:r w:rsidR="00073C51" w:rsidRPr="00DC26FE">
        <w:rPr>
          <w:rStyle w:val="FootnoteReference"/>
        </w:rPr>
        <w:footnoteReference w:id="4"/>
      </w:r>
      <w:r w:rsidRPr="00DC26FE">
        <w:t>, w odniesieniu do Kosowa, dopuszczające ruch bezwizowy dla posiadaczy kosowskich paszportów biometrycznych od 1 stycznia 2024 r.,</w:t>
      </w:r>
    </w:p>
    <w:p w14:paraId="6A497160" w14:textId="77B2AE74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rozporządzenie Parlamentu Europejskiego i Rady (UE) 2024/1449 z dnia 14 maja 2024 r. w sprawie ustanowienia Instrumentu Wsparcia Reform i Wzrostu Gospodarczego na Bałkanach Zachodnich</w:t>
      </w:r>
      <w:r w:rsidRPr="00DC26FE">
        <w:rPr>
          <w:rStyle w:val="FootnoteReference"/>
        </w:rPr>
        <w:footnoteReference w:id="5"/>
      </w:r>
      <w:r w:rsidRPr="00DC26FE">
        <w:t>,</w:t>
      </w:r>
    </w:p>
    <w:p w14:paraId="1E8F5195" w14:textId="1CDBA156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konkluzje prezydencji z posiedzenia Rady Europejskiej w Salonikach w dniach 19–20 czerwca 2003 r.,</w:t>
      </w:r>
    </w:p>
    <w:p w14:paraId="7B399592" w14:textId="30C92A33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szczyty UE–Bałkany Zachodnie, które odbyły się w Sofii, Zagrzebiu i Brdzie pri Kranju w latach 2018, 2020 i 2021, oraz deklaracje z tych szczytów,</w:t>
      </w:r>
    </w:p>
    <w:p w14:paraId="10B2899E" w14:textId="644A5AB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 xml:space="preserve">uwzględniając spotkanie przywódców państw Bałkanów Zachodnich w sprawie planu wzrostu gospodarczego dla Bałkanów Zachodnich, które odbyło się 1 lipca 2025 r. w </w:t>
      </w:r>
      <w:r w:rsidRPr="00DC26FE">
        <w:lastRenderedPageBreak/>
        <w:t>Skopje (Macedonia Północna),</w:t>
      </w:r>
    </w:p>
    <w:p w14:paraId="2C5633AA" w14:textId="200FF78B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deklarację przyjętą 17 grudnia 2025 r. podczas szczytu UE–Bałkany Zachodnie,</w:t>
      </w:r>
    </w:p>
    <w:p w14:paraId="0208BC41" w14:textId="32E8D29E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konkluzje prezydencji z 16 grudnia 2025 r. w sprawie rozszerzenia,</w:t>
      </w:r>
    </w:p>
    <w:p w14:paraId="242AC5A2" w14:textId="28E4BE48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proces berliński zapoczątkowany 28 sierpnia 2014 r.,</w:t>
      </w:r>
    </w:p>
    <w:p w14:paraId="17EC9E4A" w14:textId="3FA8A8A8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wnioski przewodniczącego ze szczytu w sprawie procesu berlińskiego, który odbył się 22 października 2025 r.,</w:t>
      </w:r>
    </w:p>
    <w:p w14:paraId="6B813D78" w14:textId="2308DE7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komunikat Komisji z 6 października 2020 r. pt. „Plan gospodarczo-inwestycyjny dla Bałkanów Zachodnich” (</w:t>
      </w:r>
      <w:hyperlink r:id="rId9" w:tgtFrame="https://eur-lex.europa.eu/legal-content/EN/ALL/?uri=CELEX:52020DC0641" w:history="1">
        <w:r w:rsidRPr="00DC26FE">
          <w:t>COM(2020)0641</w:t>
        </w:r>
      </w:hyperlink>
      <w:r w:rsidRPr="00DC26FE">
        <w:t>),</w:t>
      </w:r>
    </w:p>
    <w:p w14:paraId="61BDD40C" w14:textId="322B2F4D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komunikat Komisji z 8 listopada 2023 r. pt. „Nowy plan wzrostu gospodarczego dla Bałkanów Zachodnich” (</w:t>
      </w:r>
      <w:hyperlink r:id="rId10" w:tgtFrame="https://eur-lex.europa.eu/legal-content/EN/ALL/?uri=CELEX:52023DC0691" w:history="1">
        <w:r w:rsidRPr="00DC26FE">
          <w:t>COM(2023)0691</w:t>
        </w:r>
      </w:hyperlink>
      <w:r w:rsidRPr="00DC26FE">
        <w:t>),</w:t>
      </w:r>
    </w:p>
    <w:p w14:paraId="4A7CC0C0" w14:textId="64B18522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komunikat Komisji z 20 marca 2024 r. w sprawie reform poprzedzających rozszerzenie oraz przeglądów polityki (</w:t>
      </w:r>
      <w:hyperlink r:id="rId11" w:tgtFrame="https://eur-lex.europa.eu/legal-content/EN/ALL/?uri=CELEX:52024DC0146" w:history="1">
        <w:r w:rsidRPr="00DC26FE">
          <w:t>COM(2024)0146</w:t>
        </w:r>
      </w:hyperlink>
      <w:r w:rsidRPr="00DC26FE">
        <w:t>),</w:t>
      </w:r>
    </w:p>
    <w:p w14:paraId="2EFB7146" w14:textId="7A0122EF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komunikat Komisji z 4 listopada 2025 r. pt. „Komunikat z 2025 r. w sprawie polityki rozszerzenia UE” (COM(2025)0690), któremu towarzyszy dokument roboczy służb Komisji pt. „Sprawozdanie za rok 2025 dotyczące Kosowa” (SWD(2025)0752),</w:t>
      </w:r>
    </w:p>
    <w:p w14:paraId="21729847" w14:textId="109BAB36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Traktat o Wspólnocie Energetycznej, podpisany w Atenach 25 października 2005 r., którego celem jest rozszerzenie zasad wewnętrznego rynku energii UE na Europę Południowo-Wschodnią,</w:t>
      </w:r>
    </w:p>
    <w:p w14:paraId="7F355701" w14:textId="39A25F28" w:rsidR="00841F3C" w:rsidRPr="00DC26FE" w:rsidRDefault="00841F3C" w:rsidP="00E44E27">
      <w:pPr>
        <w:pStyle w:val="NormalHanging12a"/>
      </w:pPr>
      <w:r w:rsidRPr="00DC26FE">
        <w:t>–</w:t>
      </w:r>
      <w:r w:rsidRPr="00DC26FE">
        <w:tab/>
        <w:t>uwzględniając rezolucję Rady Bezpieczeństwa ONZ nr 1244 z dnia 10 czerwca 1999 r., opinię doradczą Międzynarodowego Trybunału Sprawiedliwości (MTS) z dnia 22 lipca 2010 r. w sprawie kwestii zgodności jednostronnej deklaracji niepodległości Kosowa z prawem międzynarodowym oraz rezolucję Zgromadzenia Ogólnego ONZ nr 64/298 z dnia 9 września 2010 r., w której uznano treść opinii MTS i z zadowoleniem przyjęto gotowość UE do ułatwienia dialogu między Serbią a Kosowem,</w:t>
      </w:r>
    </w:p>
    <w:p w14:paraId="3C57B3A1" w14:textId="3C55D7B2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stałe dostosowywanie się Kosowa do wspólnej polityki zagranicznej i bezpieczeństwa UE,</w:t>
      </w:r>
    </w:p>
    <w:p w14:paraId="0B93017B" w14:textId="1AFE3780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pierwsze porozumienie w sprawie zasad dotyczących normalizacji stosunków między Serbią i Kosowem z 19 kwietnia 2013 r., porozumienia z 25 sierpnia 2015 r. oraz bieżący dialog wspierany przez UE, który ma na celu normalizację stosunków,</w:t>
      </w:r>
    </w:p>
    <w:p w14:paraId="21AC84EE" w14:textId="1C219DFF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porozumienie brukselskie z 27 lutego 2023 r. i umowę z Ochrydy z 18 marca 2023 r. oraz załącznik realizacyjny do niej,</w:t>
      </w:r>
    </w:p>
    <w:p w14:paraId="72746F9B" w14:textId="157CB281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stałą obecność i mandat sił pokojowych pod dowództwem NATO w Kosowie (KFOR), które nadal pomagają utrzymać bezpieczeństwo i swobodę przemieszczania się w Kosowie,</w:t>
      </w:r>
    </w:p>
    <w:p w14:paraId="77EA82A5" w14:textId="7E8F02E3" w:rsidR="00841F3C" w:rsidRPr="00DC26FE" w:rsidRDefault="00841F3C" w:rsidP="00841F3C">
      <w:pPr>
        <w:pStyle w:val="NormalHanging12a"/>
      </w:pPr>
      <w:r w:rsidRPr="00DC26FE">
        <w:lastRenderedPageBreak/>
        <w:t>–</w:t>
      </w:r>
      <w:r w:rsidRPr="00DC26FE">
        <w:tab/>
        <w:t>uwzględniając decyzję Rady (WPZiB) 2025/1161 z dnia 5 czerwca 2025 r. zmieniającą wspólne działanie 2008/124/WPZiB w sprawie misji Unii Europejskiej w zakresie praworządności w Kosowie, EULEX Kosowo</w:t>
      </w:r>
      <w:r w:rsidR="006C1C9B" w:rsidRPr="00DC26FE">
        <w:rPr>
          <w:rStyle w:val="FootnoteReference"/>
        </w:rPr>
        <w:footnoteReference w:id="6"/>
      </w:r>
      <w:r w:rsidRPr="00DC26FE">
        <w:t>, która wydłużyła mandat misji do 14 czerwca 2027 r.,</w:t>
      </w:r>
    </w:p>
    <w:p w14:paraId="7AA2DF29" w14:textId="7777777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sprawozdanie końcowe misji obserwacji wyborów z ramienia Unii Europejskiej w sprawie wyborów parlamentarnych, które odbyły się w Kosowie w 2025 r.,</w:t>
      </w:r>
    </w:p>
    <w:p w14:paraId="55582566" w14:textId="7777777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swoje poprzednie rezolucje w sprawie Kosowa,</w:t>
      </w:r>
    </w:p>
    <w:p w14:paraId="319F9D7C" w14:textId="2B098830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 xml:space="preserve">uwzględniając wspólne rekomendacje przyjęte na 12. posiedzeniu Parlamentarnego Komitetu Stabilizacji i Stowarzyszenia UE–Kosowo, które odbyło się 9 grudnia 2024 r., </w:t>
      </w:r>
    </w:p>
    <w:p w14:paraId="5369794F" w14:textId="7777777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wskaźnik postrzegania korupcji z 2025 r. opublikowany przez Transparency International,</w:t>
      </w:r>
    </w:p>
    <w:p w14:paraId="105FAEAF" w14:textId="7777777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światowy ranking wolności prasy za 2025 r. przygotowany przez Reporterów bez Granic,</w:t>
      </w:r>
    </w:p>
    <w:p w14:paraId="41BD2107" w14:textId="77777777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art. 55 Regulaminu,</w:t>
      </w:r>
    </w:p>
    <w:p w14:paraId="0FA8DEE4" w14:textId="7620A071" w:rsidR="00841F3C" w:rsidRPr="00DC26FE" w:rsidRDefault="00841F3C" w:rsidP="00841F3C">
      <w:pPr>
        <w:pStyle w:val="NormalHanging12a"/>
      </w:pPr>
      <w:r w:rsidRPr="00DC26FE">
        <w:t>–</w:t>
      </w:r>
      <w:r w:rsidRPr="00DC26FE">
        <w:tab/>
        <w:t>uwzględniając sprawozdanie Komisji Spraw Zagranicznych (A10</w:t>
      </w:r>
      <w:r w:rsidRPr="00DC26FE">
        <w:noBreakHyphen/>
        <w:t xml:space="preserve">0000/2026), </w:t>
      </w:r>
    </w:p>
    <w:p w14:paraId="59451FC8" w14:textId="27BA5ADA" w:rsidR="007F78FF" w:rsidRPr="00DC26FE" w:rsidRDefault="007F78FF" w:rsidP="007F78FF">
      <w:pPr>
        <w:pStyle w:val="NormalHanging12a"/>
      </w:pPr>
      <w:bookmarkStart w:id="1" w:name="_Hlk222084676"/>
      <w:r w:rsidRPr="00DC26FE">
        <w:t>A.</w:t>
      </w:r>
      <w:r w:rsidRPr="00DC26FE">
        <w:tab/>
        <w:t>mając na uwadze, że polityka rozszerzenia jest jednym z najskuteczniejszych instrumentów polityki zagranicznej UE i strategiczną inwestycją w długotrwały pokój, stabilność i bezpieczeństwo na kontynencie;</w:t>
      </w:r>
    </w:p>
    <w:p w14:paraId="4BE12C93" w14:textId="77777777" w:rsidR="007F78FF" w:rsidRPr="00DC26FE" w:rsidRDefault="007F78FF" w:rsidP="007F78FF">
      <w:pPr>
        <w:pStyle w:val="NormalHanging12a"/>
      </w:pPr>
      <w:r w:rsidRPr="00DC26FE">
        <w:t>B.</w:t>
      </w:r>
      <w:r w:rsidRPr="00DC26FE">
        <w:tab/>
        <w:t>mając na uwadze, że demokracja, prawa człowieka i praworządność są podstawowymi wartościami, na których opiera się UE;</w:t>
      </w:r>
    </w:p>
    <w:p w14:paraId="1877D2FB" w14:textId="25A2A244" w:rsidR="007F78FF" w:rsidRPr="00DC26FE" w:rsidRDefault="007F78FF" w:rsidP="007F78FF">
      <w:pPr>
        <w:pStyle w:val="NormalHanging12a"/>
        <w:rPr>
          <w:b/>
        </w:rPr>
      </w:pPr>
      <w:r w:rsidRPr="00DC26FE">
        <w:t>C.</w:t>
      </w:r>
      <w:r w:rsidRPr="00DC26FE">
        <w:tab/>
        <w:t>mając na uwadze, że każdy kraj objęty procesem rozszerzenia jest oceniany na podstawie własnych osiągnięć; mając na uwadze, że harmonogram i zaawansowanie procesu akcesyjnego zależą od wdrożenia niezbędnych reform i zgodności z zestawem kryteriów i wspólnych wartości europejskich;</w:t>
      </w:r>
      <w:r w:rsidRPr="00DC26FE">
        <w:rPr>
          <w:b/>
        </w:rPr>
        <w:t xml:space="preserve"> </w:t>
      </w:r>
    </w:p>
    <w:p w14:paraId="47E596EA" w14:textId="636DBC48" w:rsidR="007F78FF" w:rsidRPr="00DC26FE" w:rsidRDefault="007F78FF" w:rsidP="007F78FF">
      <w:pPr>
        <w:pStyle w:val="NormalHanging12a"/>
      </w:pPr>
      <w:r w:rsidRPr="00DC26FE">
        <w:t>D.</w:t>
      </w:r>
      <w:r w:rsidRPr="00DC26FE">
        <w:rPr>
          <w:b/>
        </w:rPr>
        <w:tab/>
      </w:r>
      <w:r w:rsidRPr="00DC26FE">
        <w:t>mając na uwadze, że droga Kosowa do członkostwa w UE zależy także od normalizacji stosunków z Serbią;</w:t>
      </w:r>
    </w:p>
    <w:p w14:paraId="4DDB5D88" w14:textId="77777777" w:rsidR="007F78FF" w:rsidRPr="00DC26FE" w:rsidRDefault="007F78FF" w:rsidP="007F78FF">
      <w:pPr>
        <w:pStyle w:val="NormalHanging12a"/>
      </w:pPr>
      <w:r w:rsidRPr="00DC26FE">
        <w:rPr>
          <w:b/>
          <w:i/>
        </w:rPr>
        <w:t>Zaangażowanie na rzecz przystąpienia do UE</w:t>
      </w:r>
    </w:p>
    <w:p w14:paraId="73A01207" w14:textId="5C443BA6" w:rsidR="007F78FF" w:rsidRPr="00DC26FE" w:rsidRDefault="007F78FF" w:rsidP="007F78FF">
      <w:pPr>
        <w:pStyle w:val="NormalHanging12a"/>
      </w:pPr>
      <w:r w:rsidRPr="00DC26FE">
        <w:t>1.</w:t>
      </w:r>
      <w:r w:rsidRPr="00DC26FE">
        <w:tab/>
        <w:t xml:space="preserve">pochwala stałe zaangażowanie Kosowa na rzecz przystąpienia do UE, odzwierciedlające wyraźny strategiczny wybór geopolityczny oraz wysokie poparcie opinii publicznej dla proeuropejskiego kursu tego kraju; </w:t>
      </w:r>
    </w:p>
    <w:p w14:paraId="5EE09EC3" w14:textId="55542738" w:rsidR="007F78FF" w:rsidRPr="00DC26FE" w:rsidRDefault="007F78FF" w:rsidP="007F78FF">
      <w:pPr>
        <w:pStyle w:val="NormalHanging12a"/>
      </w:pPr>
      <w:r w:rsidRPr="00DC26FE">
        <w:t>2.</w:t>
      </w:r>
      <w:r w:rsidRPr="00DC26FE">
        <w:tab/>
        <w:t xml:space="preserve">ponownie wyraża głębokie przekonanie, że przyszłość Kosowa leży w UE, zwłaszcza biorąc pod uwagę obecną dynamikę geopolityczną w regionie, gwałtowne i głębokie zmiany w polityce światowej oraz rosnącą rywalizację z reżimami autorytarnymi; </w:t>
      </w:r>
    </w:p>
    <w:p w14:paraId="6A37815E" w14:textId="68BD9404" w:rsidR="007F78FF" w:rsidRPr="00DC26FE" w:rsidRDefault="007F78FF" w:rsidP="007F78FF">
      <w:pPr>
        <w:pStyle w:val="NormalHanging12a"/>
      </w:pPr>
      <w:r w:rsidRPr="00DC26FE">
        <w:t>3.</w:t>
      </w:r>
      <w:r w:rsidRPr="00DC26FE">
        <w:tab/>
        <w:t xml:space="preserve">z zadowoleniem przyjmuje utworzenie nowego Zgromadzenia i rządu Kosowa 12 </w:t>
      </w:r>
      <w:r w:rsidRPr="00DC26FE">
        <w:lastRenderedPageBreak/>
        <w:t xml:space="preserve">lutego 2026 r., w wyniku przedterminowych wyborów parlamentarnych, które odbyły się w grudniu 2025 r., i po ponadrocznym impasie politycznym; ubolewa jednak nad paraliżem procesu politycznego w 2025 r., który przyniósł Kosowu „stracony rok”; ubolewa ponadto, że Zgromadzenie nie wybrało nowego prezydenta w terminie przewidzianym w konstytucji, wskutek czego konieczne było przeprowadzenie nowych wyborów; odnotowuje rozwiązanie Zgromadzenia dekretem prezydenckim 6 marca 2026 r.; </w:t>
      </w:r>
    </w:p>
    <w:p w14:paraId="1734BED0" w14:textId="1EFF956D" w:rsidR="007F78FF" w:rsidRPr="00DC26FE" w:rsidRDefault="007F78FF" w:rsidP="007F78FF">
      <w:pPr>
        <w:pStyle w:val="NormalHanging12a"/>
      </w:pPr>
      <w:r w:rsidRPr="00DC26FE">
        <w:t>4.</w:t>
      </w:r>
      <w:r w:rsidRPr="00DC26FE">
        <w:tab/>
        <w:t>ponadto wyraża zadowolenie, że 13 lutego 2026 r. Zgromadzenie Kosowa ratyfikowało porozumienia zawarte w ramach Instrumentu Wsparcia Reform i Wzrostu Gospodarczego;</w:t>
      </w:r>
    </w:p>
    <w:p w14:paraId="66D04D6D" w14:textId="6AD1B19C" w:rsidR="007F78FF" w:rsidRPr="00DC26FE" w:rsidRDefault="007F78FF" w:rsidP="007F78FF">
      <w:pPr>
        <w:pStyle w:val="NormalHanging12a"/>
      </w:pPr>
      <w:r w:rsidRPr="00DC26FE">
        <w:t>5.</w:t>
      </w:r>
      <w:r w:rsidRPr="00DC26FE">
        <w:tab/>
        <w:t xml:space="preserve">podkreśla, że wiarygodne rozszerzenie wymaga stałego tempa reform, i wzywa Kosowo do przyspieszenia postępów we wdrażaniu reform związanych z wejściem do UE, zwłaszcza w dziedzinie praworządności i podstawowych wolności; podkreśla, że zmiana priorytetów tych reform jest niezbędna, aby Kosowo mogło powrócić na kurs prowadzący do członkostwa w UE; </w:t>
      </w:r>
    </w:p>
    <w:p w14:paraId="4064935C" w14:textId="76BBAB47" w:rsidR="007F78FF" w:rsidRPr="00DC26FE" w:rsidRDefault="007F78FF" w:rsidP="007F78FF">
      <w:pPr>
        <w:pStyle w:val="NormalHanging12a"/>
      </w:pPr>
      <w:r w:rsidRPr="00DC26FE">
        <w:t>6.</w:t>
      </w:r>
      <w:r w:rsidRPr="00DC26FE">
        <w:tab/>
        <w:t xml:space="preserve">popiera wniosek Kosowa o członkostwo w UE złożony w grudniu 2022 r.; wzywa pięć państw członkowskich, które nie uznają Kosowa, do podjęcia działań na rzecz jego uznania, co umożliwi Kosowu postępy na równi z innymi kandydatami; </w:t>
      </w:r>
    </w:p>
    <w:p w14:paraId="61BCDD4F" w14:textId="231BE38D" w:rsidR="007F78FF" w:rsidRPr="00DC26FE" w:rsidRDefault="007F78FF" w:rsidP="007F78FF">
      <w:pPr>
        <w:pStyle w:val="NormalHanging12a"/>
      </w:pPr>
      <w:r w:rsidRPr="00DC26FE">
        <w:t>7.</w:t>
      </w:r>
      <w:r w:rsidRPr="00DC26FE">
        <w:tab/>
        <w:t>ponownie wyraża pełne poparcie dla wniosku Kosowa o członkostwo w Radzie Europy oraz dla planu orientacji strategicznej tego kraju, aby przystąpić do programu NATO „Partnerstwo dla pokoju”;</w:t>
      </w:r>
    </w:p>
    <w:p w14:paraId="2C94F5D7" w14:textId="146A0446" w:rsidR="007F78FF" w:rsidRPr="00DC26FE" w:rsidRDefault="007F78FF" w:rsidP="007F78FF">
      <w:pPr>
        <w:pStyle w:val="NormalHanging12a"/>
      </w:pPr>
      <w:r w:rsidRPr="00DC26FE">
        <w:t>8.</w:t>
      </w:r>
      <w:r w:rsidRPr="00DC26FE">
        <w:tab/>
        <w:t>wyraża uznanie dla Kosowa za stałe i pełne dostosowywanie się do wspólnej polityki zagranicznej i bezpieczeństwa UE, w tym za stałe wdrażanie unijnych środków ograniczających wobec Rosji i Białorusi, oraz za wyraźne potępienie rosyjskiej wojny napastniczej przeciwko Ukrainie;</w:t>
      </w:r>
    </w:p>
    <w:p w14:paraId="6F0B69AC" w14:textId="2CB0A129" w:rsidR="007F78FF" w:rsidRPr="00DC26FE" w:rsidRDefault="007F78FF" w:rsidP="007F78FF">
      <w:pPr>
        <w:pStyle w:val="NormalHanging12a"/>
      </w:pPr>
      <w:r w:rsidRPr="00DC26FE">
        <w:t>9.</w:t>
      </w:r>
      <w:r w:rsidRPr="00DC26FE">
        <w:tab/>
        <w:t>z zadowoleniem przyjmuje stopniowe znoszenie unijnych środków wobec Kosowa od maja 2025 r. i apeluje o natychmiastowe zniesienie pozostałych środków, które nie mają już uzasadnienia, a nadal wywierają negatywny wpływ na społeczeństwo Kosowa; zauważa, że wpływ ten jest widoczny w całym społeczeństwie, a w szczególności wśród społeczności lokalnych, organizacji społeczeństwa obywatelskiego oraz małych i średnich przedsiębiorstw (MŚP);</w:t>
      </w:r>
    </w:p>
    <w:p w14:paraId="23E1D369" w14:textId="77777777" w:rsidR="007F78FF" w:rsidRPr="00DC26FE" w:rsidRDefault="007F78FF" w:rsidP="007F78FF">
      <w:pPr>
        <w:pStyle w:val="NormalHanging12a"/>
        <w:rPr>
          <w:i/>
          <w:iCs/>
        </w:rPr>
      </w:pPr>
      <w:r w:rsidRPr="00DC26FE">
        <w:rPr>
          <w:b/>
          <w:i/>
        </w:rPr>
        <w:t>Demokracja i praworządność</w:t>
      </w:r>
    </w:p>
    <w:p w14:paraId="046C655C" w14:textId="1C011DED" w:rsidR="007F78FF" w:rsidRPr="00DC26FE" w:rsidRDefault="007F78FF" w:rsidP="007F78FF">
      <w:pPr>
        <w:pStyle w:val="NormalHanging12a"/>
      </w:pPr>
      <w:r w:rsidRPr="00DC26FE">
        <w:t>10.</w:t>
      </w:r>
      <w:r w:rsidRPr="00DC26FE">
        <w:rPr>
          <w:b/>
        </w:rPr>
        <w:tab/>
      </w:r>
      <w:r w:rsidRPr="00DC26FE">
        <w:t>z zadowoleniem przyjmuje ogólnie pozytywną ocenę przebiegu wyborów parlamentarnych i lokalnych w 2025 r., zauważając, że przeprowadzono je w sposób pokojowy i inkluzywny oraz w duchu rywalizacji;</w:t>
      </w:r>
    </w:p>
    <w:p w14:paraId="3F554609" w14:textId="77777777" w:rsidR="007F78FF" w:rsidRPr="00DC26FE" w:rsidRDefault="007F78FF" w:rsidP="007F78FF">
      <w:pPr>
        <w:pStyle w:val="NormalHanging12a"/>
      </w:pPr>
      <w:r w:rsidRPr="00DC26FE">
        <w:t>11.</w:t>
      </w:r>
      <w:r w:rsidRPr="00DC26FE">
        <w:tab/>
        <w:t>z zadowoleniem przyjmuje udział kosowskich Serbów w wyborach parlamentarnych i lokalnych w 2025 r. oraz mianowanie czterech burmistrzów serbskich, którzy przejęli obowiązki od swoich albańskich poprzedników w gminach zamieszkiwanych w większości przez Serbów;</w:t>
      </w:r>
    </w:p>
    <w:p w14:paraId="70F51D4B" w14:textId="4BE4608F" w:rsidR="007F78FF" w:rsidRPr="00DC26FE" w:rsidRDefault="007F78FF" w:rsidP="007F78FF">
      <w:pPr>
        <w:pStyle w:val="NormalHanging12a"/>
      </w:pPr>
      <w:r w:rsidRPr="00DC26FE">
        <w:t>12.</w:t>
      </w:r>
      <w:r w:rsidRPr="00DC26FE">
        <w:tab/>
        <w:t xml:space="preserve">ubolewa nad ciągłymi próbami upolitycznienia niezależnych instytucji, w tym nad presją wywieraną na Centralną Komisję Wyborczą, oraz nad niedociągnięciami w </w:t>
      </w:r>
      <w:r w:rsidRPr="00DC26FE">
        <w:lastRenderedPageBreak/>
        <w:t>zarządzaniu Niezależną Komisją ds. Mediów;</w:t>
      </w:r>
    </w:p>
    <w:p w14:paraId="53A9549D" w14:textId="1A1EAAC7" w:rsidR="007F78FF" w:rsidRPr="00DC26FE" w:rsidRDefault="007F78FF" w:rsidP="007F78FF">
      <w:pPr>
        <w:pStyle w:val="NormalHanging12a"/>
      </w:pPr>
      <w:r w:rsidRPr="00DC26FE">
        <w:t>13.</w:t>
      </w:r>
      <w:r w:rsidRPr="00DC26FE">
        <w:tab/>
        <w:t>jest nadal zaniepokojony ograniczonym wdrażaniem strategii na rzecz praworządności i niewystarczającą konsekwencją w realizacji reform, niepełnym składem kosowskiej Rady Sędziów i kosowskiej Rady Prokuratorów oraz opóźnieniami we wdrażaniu reform wymiaru sprawiedliwości;</w:t>
      </w:r>
    </w:p>
    <w:p w14:paraId="3CAA9667" w14:textId="5D7D01EB" w:rsidR="007F78FF" w:rsidRPr="00DC26FE" w:rsidRDefault="007F78FF" w:rsidP="007F78FF">
      <w:pPr>
        <w:pStyle w:val="NormalHanging12a"/>
      </w:pPr>
      <w:r w:rsidRPr="00DC26FE">
        <w:t xml:space="preserve">14. </w:t>
      </w:r>
      <w:r w:rsidRPr="00DC26FE">
        <w:tab/>
        <w:t xml:space="preserve">wyraża zaniepokojenie ograniczonymi postępami w ogólnej walce z korupcją; z zaniepokojeniem odnotowuje spadek Kosowa w globalnym rankingu korupcji w 2025 r. na 76. miejsce spośród 182 krajów i terytoriów, czyli trzy miejsca niżej niż w 2024 r., co stanowi odwrócenie poprzedniego trendu stopniowej poprawy; </w:t>
      </w:r>
    </w:p>
    <w:p w14:paraId="20B944FE" w14:textId="0BAC07A9" w:rsidR="007F78FF" w:rsidRPr="00DC26FE" w:rsidRDefault="007F78FF" w:rsidP="007F78FF">
      <w:pPr>
        <w:pStyle w:val="NormalHanging12a"/>
      </w:pPr>
      <w:r w:rsidRPr="00DC26FE">
        <w:t>15.</w:t>
      </w:r>
      <w:r w:rsidRPr="00DC26FE">
        <w:tab/>
        <w:t>z zadowoleniem przyjmuje pewne postępy w walce z przestępczością zorganizowaną; apeluje o szybkie przyjęcie krajowej strategii i planu działania przeciwko przestępczości zorganizowanej;</w:t>
      </w:r>
    </w:p>
    <w:p w14:paraId="3B3986C8" w14:textId="75253B35" w:rsidR="007F78FF" w:rsidRPr="00DC26FE" w:rsidRDefault="007F78FF" w:rsidP="007F78FF">
      <w:pPr>
        <w:pStyle w:val="NormalHanging12a"/>
      </w:pPr>
      <w:r w:rsidRPr="00DC26FE">
        <w:t>16.</w:t>
      </w:r>
      <w:r w:rsidRPr="00DC26FE">
        <w:tab/>
        <w:t>wyraża uznanie dla roli, jaką nieprzerwanie odgrywa misja EULEX we wspieraniu władz Kosowa w ustanowieniu stabilnych i niezależnych instytucji państwa prawa;</w:t>
      </w:r>
    </w:p>
    <w:p w14:paraId="7F8809A7" w14:textId="77777777" w:rsidR="007F78FF" w:rsidRPr="00DC26FE" w:rsidRDefault="007F78FF" w:rsidP="007F78FF">
      <w:pPr>
        <w:pStyle w:val="NormalHanging12a"/>
        <w:rPr>
          <w:b/>
          <w:bCs/>
          <w:i/>
          <w:iCs/>
        </w:rPr>
      </w:pPr>
      <w:r w:rsidRPr="00DC26FE">
        <w:rPr>
          <w:b/>
          <w:i/>
        </w:rPr>
        <w:t>Podstawowe wolności i prawa człowieka</w:t>
      </w:r>
    </w:p>
    <w:p w14:paraId="660E47E5" w14:textId="7E66C199" w:rsidR="007F78FF" w:rsidRPr="00DC26FE" w:rsidRDefault="007F78FF" w:rsidP="007F78FF">
      <w:pPr>
        <w:pStyle w:val="NormalHanging12a"/>
      </w:pPr>
      <w:r w:rsidRPr="00DC26FE">
        <w:t>17.</w:t>
      </w:r>
      <w:r w:rsidRPr="00DC26FE">
        <w:tab/>
        <w:t>zauważa, że chociaż ramy prawne i instytucjonalne w zakresie praw człowieka zasadniczo istnieją, ich wdrażanie jest nadal niewystarczające;</w:t>
      </w:r>
    </w:p>
    <w:p w14:paraId="2360DDFB" w14:textId="471DFDE6" w:rsidR="007F78FF" w:rsidRPr="00DC26FE" w:rsidRDefault="007F78FF" w:rsidP="007F78FF">
      <w:pPr>
        <w:pStyle w:val="NormalHanging12a"/>
      </w:pPr>
      <w:r w:rsidRPr="00DC26FE">
        <w:t>18.</w:t>
      </w:r>
      <w:r w:rsidRPr="00DC26FE">
        <w:tab/>
        <w:t>podkreśla, że należy wzmocnić wdrażanie przepisów chroniących prawa członków społeczności mniejszościowych;</w:t>
      </w:r>
    </w:p>
    <w:p w14:paraId="24E4F324" w14:textId="5B2C6458" w:rsidR="007F78FF" w:rsidRPr="00DC26FE" w:rsidRDefault="007F78FF" w:rsidP="007F78FF">
      <w:pPr>
        <w:pStyle w:val="NormalHanging12a"/>
      </w:pPr>
      <w:r w:rsidRPr="00DC26FE">
        <w:t>19.</w:t>
      </w:r>
      <w:r w:rsidRPr="00DC26FE">
        <w:tab/>
        <w:t>odnotowuje pluralistyczny krajobraz medialny Kosowa, jednak ubolewa nad brakiem postępów w gwarantowaniu wolności wypowiedzi; ubolewa, że w światowym rankingu wolności prasy za 2025 r. Kosowo spadło o 24 miejsca na 99. pozycję;</w:t>
      </w:r>
    </w:p>
    <w:p w14:paraId="703190EE" w14:textId="63678E4A" w:rsidR="007F78FF" w:rsidRPr="00DC26FE" w:rsidRDefault="007F78FF" w:rsidP="007F78FF">
      <w:pPr>
        <w:pStyle w:val="NormalHanging12a"/>
      </w:pPr>
      <w:r w:rsidRPr="00DC26FE">
        <w:t>20.</w:t>
      </w:r>
      <w:r w:rsidRPr="00DC26FE">
        <w:tab/>
        <w:t>ponownie wyraża zaniepokojenie atakami i groźbami wobec dziennikarzy i pracowników mediów; apeluje o poprawę reakcji prokuratury i dostosowanie przepisów dotyczących mediów do dorobku prawnego UE i innych odpowiednich norm międzynarodowych;</w:t>
      </w:r>
    </w:p>
    <w:p w14:paraId="534FDD3F" w14:textId="4D31CB7E" w:rsidR="007F78FF" w:rsidRPr="00DC26FE" w:rsidRDefault="007F78FF" w:rsidP="007F78FF">
      <w:pPr>
        <w:pStyle w:val="NormalHanging12a"/>
      </w:pPr>
      <w:r w:rsidRPr="00DC26FE">
        <w:t>21.</w:t>
      </w:r>
      <w:r w:rsidRPr="00DC26FE">
        <w:tab/>
        <w:t xml:space="preserve">podkreśla potrzebę zapewnienia zrównoważonego finansowania i niezależności nadawcy publicznego; apeluje o wprowadzenie zrównoważonego i reprezentatywnego nadzoru nad kosowskim publicznym nadawcą radiowym i telewizyjnym RTK; </w:t>
      </w:r>
    </w:p>
    <w:p w14:paraId="03D8FB38" w14:textId="1C1F81A6" w:rsidR="007F78FF" w:rsidRPr="00DC26FE" w:rsidRDefault="007F78FF" w:rsidP="007F78FF">
      <w:pPr>
        <w:pStyle w:val="NormalHanging12a"/>
      </w:pPr>
      <w:r w:rsidRPr="00DC26FE">
        <w:t>22.</w:t>
      </w:r>
      <w:r w:rsidRPr="00DC26FE">
        <w:tab/>
        <w:t>wyraża zaniepokojenie nasilającą się dezinformacją na temat napięć międzyetnicznych rozpowszechnianą przez podmioty zagraniczne, zwłaszcza przed wyborami; apeluje o wzmocnienie reakcji instytucjonalnej i rozwijanie umiejętności korzystania z mediów;</w:t>
      </w:r>
    </w:p>
    <w:p w14:paraId="118F3993" w14:textId="77777777" w:rsidR="007F78FF" w:rsidRPr="00DC26FE" w:rsidRDefault="007F78FF" w:rsidP="007F78FF">
      <w:pPr>
        <w:pStyle w:val="NormalHanging12a"/>
        <w:rPr>
          <w:b/>
          <w:bCs/>
          <w:i/>
          <w:iCs/>
        </w:rPr>
      </w:pPr>
      <w:r w:rsidRPr="00DC26FE">
        <w:rPr>
          <w:b/>
          <w:i/>
        </w:rPr>
        <w:t>Pojednanie i stosunki dobrosąsiedzkie</w:t>
      </w:r>
    </w:p>
    <w:p w14:paraId="2A784D5A" w14:textId="022AAAC5" w:rsidR="007F78FF" w:rsidRPr="00DC26FE" w:rsidRDefault="007F78FF" w:rsidP="007F78FF">
      <w:pPr>
        <w:pStyle w:val="NormalHanging12a"/>
      </w:pPr>
      <w:r w:rsidRPr="00DC26FE">
        <w:t>23.</w:t>
      </w:r>
      <w:r w:rsidRPr="00DC26FE">
        <w:tab/>
        <w:t>przypomina, że integralną częścią europejskiej perspektywy Kosowa pozostaje normalizacja stosunków z Serbią i realizacja zobowiązań podjętych w ramach dialogu między Belgradem a Prisztiną;</w:t>
      </w:r>
    </w:p>
    <w:p w14:paraId="791D286E" w14:textId="6ADE10A0" w:rsidR="007F78FF" w:rsidRPr="00DC26FE" w:rsidRDefault="007F78FF" w:rsidP="007F78FF">
      <w:pPr>
        <w:pStyle w:val="NormalHanging12a"/>
      </w:pPr>
      <w:r w:rsidRPr="00DC26FE">
        <w:t>24.</w:t>
      </w:r>
      <w:r w:rsidRPr="00DC26FE">
        <w:tab/>
        <w:t xml:space="preserve">ponownie wyraża pełne poparcie dla wspieranego przez UE dialogu i z zadowoleniem przyjmuje przedłużenie mandatu specjalnego przedstawiciela UE ds. dialogu między </w:t>
      </w:r>
      <w:r w:rsidRPr="00DC26FE">
        <w:lastRenderedPageBreak/>
        <w:t>Belgradem a Prisztiną Petera Sørensena do 29 lutego 2028 r.;</w:t>
      </w:r>
    </w:p>
    <w:p w14:paraId="49A68790" w14:textId="7D23CA89" w:rsidR="007F78FF" w:rsidRPr="00DC26FE" w:rsidRDefault="007F78FF" w:rsidP="007F78FF">
      <w:pPr>
        <w:pStyle w:val="NormalHanging12a"/>
      </w:pPr>
      <w:r w:rsidRPr="00DC26FE">
        <w:t>25.</w:t>
      </w:r>
      <w:r w:rsidRPr="00DC26FE">
        <w:tab/>
        <w:t>ponownie podkreśla, jak ważne jest, by władze Kosowa i Serbii konstruktywnie zaangażowały się w osiągnięcie kompleksowego, prawnie wiążącego porozumienia w sprawie normalizacji stosunków w oparciu o wzajemne uznawanie i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</w:r>
    </w:p>
    <w:p w14:paraId="14AB7110" w14:textId="538B175C" w:rsidR="007F78FF" w:rsidRPr="00DC26FE" w:rsidRDefault="007F78FF" w:rsidP="007F78FF">
      <w:pPr>
        <w:pStyle w:val="NormalHanging12a"/>
      </w:pPr>
      <w:r w:rsidRPr="00DC26FE">
        <w:t>26.</w:t>
      </w:r>
      <w:r w:rsidRPr="00DC26FE">
        <w:tab/>
        <w:t>oczekuje, że Kosowo i Serbia będą w pełni współpracować i podejmą wszelkie niezbędne środki, aby szybko postawić przed sądem sprawców ataku terrorystycznego w Banjskiej z 2023 r.; ubolewa, że Serbia nadal nie pociągnęła sprawców do odpowiedzialności, a zwłaszcza Milana Radoičicia, wiceprzewodniczącego Serbskiej Listy;</w:t>
      </w:r>
    </w:p>
    <w:p w14:paraId="101D2CCF" w14:textId="23E82AF6" w:rsidR="007F78FF" w:rsidRPr="00DC26FE" w:rsidRDefault="007F78FF" w:rsidP="007F78FF">
      <w:pPr>
        <w:pStyle w:val="NormalHanging12a"/>
      </w:pPr>
      <w:r w:rsidRPr="00DC26FE">
        <w:t>27.</w:t>
      </w:r>
      <w:r w:rsidRPr="00DC26FE">
        <w:tab/>
        <w:t>odnotowuje, że wciąż nieznany jest los nawet 1590 zaginionych osób, przy czym w okresie od kwietnia 2024 r. do września 2025 r. rozwiązano jedynie 26 spraw;</w:t>
      </w:r>
    </w:p>
    <w:p w14:paraId="4A4CCB4E" w14:textId="3DA62C75" w:rsidR="007F78FF" w:rsidRPr="00DC26FE" w:rsidRDefault="007F78FF" w:rsidP="007F78FF">
      <w:pPr>
        <w:pStyle w:val="NormalHanging12a"/>
      </w:pPr>
      <w:r w:rsidRPr="00DC26FE">
        <w:t>28.</w:t>
      </w:r>
      <w:r w:rsidRPr="00DC26FE">
        <w:tab/>
        <w:t>ponownie podkreśla znaczenie sił KFOR i pochwala ich nieustające wysiłki na rzecz zapewnienia bezpieczeństwa w Kosowie i w całym regionie Bałkanów Zachodnich;</w:t>
      </w:r>
    </w:p>
    <w:p w14:paraId="7F203B76" w14:textId="77777777" w:rsidR="007F78FF" w:rsidRPr="00DC26FE" w:rsidRDefault="007F78FF" w:rsidP="007F78FF">
      <w:pPr>
        <w:pStyle w:val="NormalHanging12a"/>
        <w:rPr>
          <w:b/>
          <w:i/>
        </w:rPr>
      </w:pPr>
      <w:r w:rsidRPr="00DC26FE">
        <w:rPr>
          <w:b/>
          <w:i/>
        </w:rPr>
        <w:t>Reformy społeczno-gospodarcze</w:t>
      </w:r>
    </w:p>
    <w:p w14:paraId="12960CB0" w14:textId="50A0E159" w:rsidR="007F78FF" w:rsidRPr="00DC26FE" w:rsidRDefault="007F78FF" w:rsidP="007F78FF">
      <w:pPr>
        <w:pStyle w:val="NormalHanging12a"/>
      </w:pPr>
      <w:r w:rsidRPr="00DC26FE">
        <w:t>29.</w:t>
      </w:r>
      <w:r w:rsidRPr="00DC26FE">
        <w:tab/>
        <w:t>zauważa, że Kosowo jest w umiarkowanym stopniu przygotowane w dziedzinie polityki gospodarczej i pieniężnej oraz konkurencyjności; podkreśla, że kraj ten musi dostosować swoje ramy budżetowe do dorobku prawnego UE i przezwyciężyć słabości strukturalne, takie jak znikoma baza produkcyjna i utrudnienia w dostępie do finansowania dla MŚP;</w:t>
      </w:r>
    </w:p>
    <w:p w14:paraId="1B865C3F" w14:textId="20AABC2B" w:rsidR="007F78FF" w:rsidRPr="00DC26FE" w:rsidRDefault="007F78FF" w:rsidP="007F78FF">
      <w:pPr>
        <w:pStyle w:val="NormalHanging12a"/>
      </w:pPr>
      <w:r w:rsidRPr="00DC26FE">
        <w:t>30.</w:t>
      </w:r>
      <w:r w:rsidRPr="00DC26FE">
        <w:tab/>
        <w:t>zauważa, że Kosowo poczyniło pewne postępy w przygotowaniach do transformacji cyfrowej, w tym w zakresie rozszerzenia usług online i zasięgu sieci 5G; ubolewa, że jedynie 10 % usług publicznych jest obecnie oferowanych online oraz że cyfryzacja pozostaje fragmentaryczna;</w:t>
      </w:r>
    </w:p>
    <w:p w14:paraId="0C8D9CCE" w14:textId="77777777" w:rsidR="007F78FF" w:rsidRPr="00DC26FE" w:rsidRDefault="007F78FF" w:rsidP="007F78FF">
      <w:pPr>
        <w:pStyle w:val="NormalHanging12a"/>
      </w:pPr>
      <w:r w:rsidRPr="00DC26FE">
        <w:rPr>
          <w:b/>
          <w:i/>
        </w:rPr>
        <w:t>Energia, środowisko, zrównoważony rozwój i łączność</w:t>
      </w:r>
    </w:p>
    <w:p w14:paraId="2FC53BFD" w14:textId="77777777" w:rsidR="007F78FF" w:rsidRPr="00DC26FE" w:rsidRDefault="007F78FF" w:rsidP="007F78FF">
      <w:pPr>
        <w:pStyle w:val="NormalHanging12a"/>
      </w:pPr>
      <w:r w:rsidRPr="00DC26FE">
        <w:t>31.</w:t>
      </w:r>
      <w:r w:rsidRPr="00DC26FE">
        <w:tab/>
        <w:t>zauważa, że Kosowo jest nadal w dużym stopniu uzależnione od przestarzałych elektrowni węglowych, dlatego musi przyspieszyć inwestycje w efektywność energetyczną;</w:t>
      </w:r>
    </w:p>
    <w:p w14:paraId="3C9B38BE" w14:textId="77777777" w:rsidR="007F78FF" w:rsidRPr="00DC26FE" w:rsidRDefault="007F78FF" w:rsidP="007F78FF">
      <w:pPr>
        <w:pStyle w:val="NormalHanging12a"/>
      </w:pPr>
      <w:r w:rsidRPr="00DC26FE">
        <w:t>32.</w:t>
      </w:r>
      <w:r w:rsidRPr="00DC26FE">
        <w:tab/>
        <w:t xml:space="preserve">zachęca władze Kosowa, by wzmocniły zdolności instytucjonalne i administracyjne w celu realizacji strategicznych projektów infrastrukturalnych oraz by kontynuowały wdrażanie wciąż niezrealizowanych projektów w dziedzinie połączeń transportowych i energetycznych; </w:t>
      </w:r>
    </w:p>
    <w:p w14:paraId="29DCB714" w14:textId="77777777" w:rsidR="007F78FF" w:rsidRPr="00DC26FE" w:rsidRDefault="007F78FF" w:rsidP="007F78FF">
      <w:pPr>
        <w:pStyle w:val="NormalHanging12a"/>
      </w:pPr>
      <w:r w:rsidRPr="00DC26FE">
        <w:t>33.</w:t>
      </w:r>
      <w:r w:rsidRPr="00DC26FE">
        <w:tab/>
        <w:t>wzywa Kosowo do podjęcia odpowiednich środków w celu zarządzania obszarami chronionymi, zmiany ustawy o gospodarowaniu odpadami oraz wdrożenia ustawy o zmianie klimatu;</w:t>
      </w:r>
    </w:p>
    <w:p w14:paraId="6928030B" w14:textId="3F09B64E" w:rsidR="004C2F1F" w:rsidRPr="00DC26FE" w:rsidRDefault="004C2F1F" w:rsidP="004C2F1F">
      <w:pPr>
        <w:pStyle w:val="NormalHanging12a"/>
        <w:jc w:val="center"/>
      </w:pPr>
      <w:r w:rsidRPr="00DC26FE">
        <w:lastRenderedPageBreak/>
        <w:t>°</w:t>
      </w:r>
    </w:p>
    <w:p w14:paraId="0BE7B2FB" w14:textId="5581EFB7" w:rsidR="004C2F1F" w:rsidRPr="00DC26FE" w:rsidRDefault="004C2F1F" w:rsidP="008C3DB1">
      <w:pPr>
        <w:pStyle w:val="NormalHanging12a"/>
        <w:jc w:val="center"/>
      </w:pPr>
      <w:r w:rsidRPr="00DC26FE">
        <w:t>°</w:t>
      </w:r>
      <w:r w:rsidRPr="00DC26FE">
        <w:tab/>
        <w:t>°</w:t>
      </w:r>
    </w:p>
    <w:p w14:paraId="56B74AF7" w14:textId="0FE52919" w:rsidR="007F78FF" w:rsidRPr="00DC26FE" w:rsidRDefault="007F78FF" w:rsidP="007F78FF">
      <w:pPr>
        <w:pStyle w:val="NormalHanging12a"/>
      </w:pPr>
      <w:r w:rsidRPr="00DC26FE">
        <w:t>34.</w:t>
      </w:r>
      <w:r w:rsidRPr="00DC26FE">
        <w:tab/>
        <w:t>zobowiązuje swoją przewodniczącą do przekazania niniejszej rezolucji przewodniczącemu Rady Europejskiej, Komisji, wiceprzewodniczącej Komisji / wysokiej przedstawicielce Unii do spraw zagranicznych i polityki bezpieczeństwa, rządom i parlamentom państw członkowskich oraz prezydentce, rządowi i Zgromadzeniu Narodowemu Kosowa</w:t>
      </w:r>
      <w:bookmarkEnd w:id="1"/>
      <w:r w:rsidRPr="00DC26FE">
        <w:t>.</w:t>
      </w:r>
    </w:p>
    <w:p w14:paraId="1DB0094E" w14:textId="77777777" w:rsidR="009F2F39" w:rsidRPr="00DC26FE" w:rsidRDefault="009F2F39" w:rsidP="007F78FF">
      <w:pPr>
        <w:pStyle w:val="NormalHanging12a"/>
      </w:pPr>
    </w:p>
    <w:p w14:paraId="60162E3F" w14:textId="77777777" w:rsidR="00276B35" w:rsidRPr="00DC26FE" w:rsidRDefault="00276B35" w:rsidP="00F3651F">
      <w:pPr>
        <w:sectPr w:rsidR="00276B35" w:rsidRPr="00DC26FE" w:rsidSect="00DC26F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DF923B7" w14:textId="77777777" w:rsidR="00276B35" w:rsidRPr="00DC26FE" w:rsidRDefault="00AA5FFA" w:rsidP="00276B35">
      <w:pPr>
        <w:pStyle w:val="PageHeading"/>
      </w:pPr>
      <w:bookmarkStart w:id="2" w:name="_Toc224803126"/>
      <w:r w:rsidRPr="00DC26FE">
        <w:lastRenderedPageBreak/>
        <w:t>UZASADNIENIE</w:t>
      </w:r>
      <w:bookmarkEnd w:id="2"/>
    </w:p>
    <w:p w14:paraId="537F84E6" w14:textId="2489344E" w:rsidR="009F2F39" w:rsidRPr="00DC26FE" w:rsidRDefault="009F2F39" w:rsidP="009F2F39">
      <w:pPr>
        <w:pStyle w:val="Normal12a"/>
        <w:jc w:val="both"/>
      </w:pPr>
      <w:r w:rsidRPr="00DC26FE">
        <w:t>Parlament Europejski uważnie śledzi rozwój sytuacji politycznej i społeczno-gospodarczej w Kosowie. Celem niniejszego sprawozdania jest przedstawienie oceny sytuacji w Kosowie przez Parlament oraz – obok sprawozdania Komisji Europejskiej z postępów za 2025 r. – politycznej oceny Parlamentu dotyczącej okresu objętego przeglądem w Kosowie. Podsumowując, rok 2025 należy uznać za stracony rok dla Kosowa, ponieważ po regularnych wyborach do Zgromadzenia Narodowego w lutym nie udało się powołać ani organu ustawodawczego, ani rządu. Chociaż wszystkie trzy wybory, które odbyły się w Kosowie w 2025 r. – dwukrotne wybory parlamentarne i jedne lokalne – przeprowadzono w sposób pokojowy i uporządkowany, normalny proces polityczny został poważnie zakłócony. W rezultacie przerwano kilka reform politycznych i gospodarczych, a plan wzrostu gospodarczego dla Bałkanów Zachodnich nie mógł zostać wdrożony.</w:t>
      </w:r>
    </w:p>
    <w:p w14:paraId="3401418B" w14:textId="5B13DCE2" w:rsidR="009F2F39" w:rsidRPr="00DC26FE" w:rsidRDefault="009F2F39" w:rsidP="009F2F39">
      <w:pPr>
        <w:pStyle w:val="Normal12a"/>
        <w:jc w:val="both"/>
      </w:pPr>
      <w:r w:rsidRPr="00DC26FE">
        <w:t>Jak podkreślono w poprzednich sprawozdaniach Parlamentu Europejskiego, Kosowo poczyniło znaczne kroki w dziedzinie reform ordynacji wyborczej, odporności gospodarczej i ochrony praw podstawowych. Nadal jednak aktualne są wyzwania związane z reformą sądownictwa, wolnością mediów, wydajnością administracji publicznej i cyfryzacją usług publicznych. Stałe zaangażowanie na rzecz kompleksowych reform i inkluzywnego sprawowania rządów ma zasadnicze znaczenie dla postępów Kosowa na drodze do integracji europejskiej.</w:t>
      </w:r>
    </w:p>
    <w:p w14:paraId="32B946BD" w14:textId="3D22E605" w:rsidR="009F2F39" w:rsidRPr="00DC26FE" w:rsidRDefault="009F2F39" w:rsidP="009F2F39">
      <w:pPr>
        <w:pStyle w:val="Normal12a"/>
        <w:jc w:val="both"/>
      </w:pPr>
      <w:r w:rsidRPr="00DC26FE">
        <w:t>Szereg wyzwań stojących przed Kosowem to zaległe problemy, których rozwiązanie wymaga zaangażowania całego regionu w szerszy proces integracji z Unią Europejską. Dialog między Belgradem a Prisztiną, który został zainicjowany, aby wypracować kompromis możliwy do zaakceptowania przez obie strony, niestety nie przyniósł oczekiwanych rezultatów. W 2025 r. dialog utknął w martwym punkcie. Wynikało to również z faktu, że Kosowo nie miało rządu posiadającego mandat i uprawnienia, a negocjacje w tej formie nie mają perspektyw. Komisja Europejska, a także Parlament Europejski i państwa członkowskie muszą niewątpliwie dołożyć wszelkich starań, aby dialog między Belgradem a Prisztiną był kontynuowany z nową energią. W związku z tym z dużym zadowoleniem przyjmuje się przedłużenie mandatu specjalnego przedstawiciela Petera Sørensena do lutego 2028 r.</w:t>
      </w:r>
    </w:p>
    <w:p w14:paraId="6CF0C497" w14:textId="1BB1813C" w:rsidR="009F2F39" w:rsidRPr="00DC26FE" w:rsidRDefault="009F2F39" w:rsidP="009F2F39">
      <w:pPr>
        <w:pStyle w:val="Normal12a"/>
        <w:jc w:val="both"/>
      </w:pPr>
      <w:r w:rsidRPr="00DC26FE">
        <w:t>Rozszerzenie Unii Europejskiej stanowi jeden z jej najważniejszych sukcesów i musi być kontynuowane. Szerszym geopolitycznym celem rozszerzenia jest wyeliminowanie tzw. szarych obszarów z mapy Europy. Istotne zmiany, które nastąpiły w kontekście rosyjskiej wojny napastniczej przeciwko Ukrainie, muszą zwiększyć gotowość Unii Europejskiej do mierzenia się z konkurującymi globalnymi graczami autorytarnymi. Zarówno Rosja, jak i Chiny pokazały, że mają bardzo wyraźne interesy na Bałkanach Zachodnich.</w:t>
      </w:r>
    </w:p>
    <w:p w14:paraId="44F8258A" w14:textId="38532522" w:rsidR="009F2F39" w:rsidRPr="00DC26FE" w:rsidRDefault="009F2F39" w:rsidP="009F2F39">
      <w:pPr>
        <w:pStyle w:val="Normal12a"/>
        <w:jc w:val="both"/>
      </w:pPr>
      <w:r w:rsidRPr="00DC26FE">
        <w:t>Integracja Kosowa z Unią Europejską jest procesem dwukierunkowym. Aby Kosowo mogło przeprowadzić niezbędne reformy, konieczna jest pomoc Unii Europejskiej. Liberalizacja reżimu wizowego jeszcze bardziej wzmocniła kontakty międzyludzkie i europejską perspektywę obywateli Kosowa. Jednak sankcje wprowadzone w 2023 r. miały niezwykle negatywny wpływ na postępy Kosowa na drodze do UE. Chociaż UE stopniowo wycofywała nałożone środki, ich wpływ na społeczeństwo pozostaje bardzo niepokojący. Środki te dotykają w szczególności różne organizacje społeczeństwa obywatelskiego, mniejszości narodowe, a także małe i średnie przedsiębiorstwa, które otrzymały znaczne wsparcie operacyjne z programów UE. Środki te mogą mieć również negatywny wpływ na wiarygodność Unii Europejskiej w kosowskim społeczeństwie. Chociaż poparcie dla Unii Europejskiej utrzymuje się na bardzo wysokim poziomie, nadal istnieje ryzyko, że w wyniku wprowadzenia tych środków może ono ulec zmniejszeniu.</w:t>
      </w:r>
    </w:p>
    <w:p w14:paraId="6DE84C1D" w14:textId="50AE0584" w:rsidR="004861E1" w:rsidRPr="00DC26FE" w:rsidRDefault="009F2F39" w:rsidP="004861E1">
      <w:pPr>
        <w:pStyle w:val="Normal12a"/>
        <w:jc w:val="both"/>
      </w:pPr>
      <w:r w:rsidRPr="00DC26FE">
        <w:t xml:space="preserve">W niniejszym sprawozdaniu sprawozdawca pragnie przedstawić przegląd i ocenę Parlamentu Europejskiego na temat najważniejszych osiągnięć i wyzwań, przed którymi stoi obecnie i w </w:t>
      </w:r>
      <w:r w:rsidRPr="00DC26FE">
        <w:lastRenderedPageBreak/>
        <w:t>najbliższej przyszłości Kosowo. Z pewnością nie jest możliwe uwzględnienie w tym sprawozdaniu wszystkich problematycznych obszarów i wyzwań. Jednym z istotnych warunków wstępnych przygotowania niniejszego sprawozdania była okazja do odwiedzenia Kosowa podczas misji informacyjnej i spotkania m.in. z organizacjami społeczeństwa obywatelskiego, przedstawicielami mniejszości narodowych oraz przedstawicielami biznesu.</w:t>
      </w:r>
    </w:p>
    <w:sectPr w:rsidR="004861E1" w:rsidRPr="00DC26FE" w:rsidSect="00CB160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E72E" w14:textId="77777777" w:rsidR="00AA5FFA" w:rsidRPr="00DC26FE" w:rsidRDefault="00AA5FFA">
      <w:r w:rsidRPr="00DC26FE">
        <w:separator/>
      </w:r>
    </w:p>
  </w:endnote>
  <w:endnote w:type="continuationSeparator" w:id="0">
    <w:p w14:paraId="45E470EA" w14:textId="77777777" w:rsidR="00AA5FFA" w:rsidRPr="00DC26FE" w:rsidRDefault="00AA5FFA">
      <w:r w:rsidRPr="00DC26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0C35" w14:textId="77777777" w:rsidR="00DC26FE" w:rsidRPr="00DC26FE" w:rsidRDefault="00DC26FE" w:rsidP="00DC26FE">
    <w:pPr>
      <w:pStyle w:val="EPFooter"/>
    </w:pPr>
    <w:r w:rsidRPr="00DC26FE">
      <w:t>PE</w:t>
    </w:r>
    <w:r w:rsidRPr="00DC26FE">
      <w:rPr>
        <w:rStyle w:val="HideTWBExt"/>
      </w:rPr>
      <w:t>&lt;NoPE&gt;</w:t>
    </w:r>
    <w:r w:rsidRPr="00DC26FE">
      <w:t>784.231</w:t>
    </w:r>
    <w:r w:rsidRPr="00DC26FE">
      <w:rPr>
        <w:rStyle w:val="HideTWBExt"/>
      </w:rPr>
      <w:t>&lt;/NoPE&gt;&lt;Version&gt;</w:t>
    </w:r>
    <w:r w:rsidRPr="00DC26FE">
      <w:t>v01-00</w:t>
    </w:r>
    <w:r w:rsidRPr="00DC26FE">
      <w:rPr>
        <w:rStyle w:val="HideTWBExt"/>
      </w:rPr>
      <w:t>&lt;/Version&gt;</w:t>
    </w:r>
    <w:r w:rsidRPr="00DC26FE">
      <w:tab/>
    </w:r>
    <w:r w:rsidRPr="00DC26FE">
      <w:fldChar w:fldCharType="begin"/>
    </w:r>
    <w:r w:rsidRPr="00DC26FE">
      <w:instrText xml:space="preserve"> PAGE  \* MERGEFORMAT </w:instrText>
    </w:r>
    <w:r w:rsidRPr="00DC26FE">
      <w:fldChar w:fldCharType="separate"/>
    </w:r>
    <w:r w:rsidRPr="00DC26FE">
      <w:rPr>
        <w:noProof/>
      </w:rPr>
      <w:t>6</w:t>
    </w:r>
    <w:r w:rsidRPr="00DC26FE">
      <w:fldChar w:fldCharType="end"/>
    </w:r>
    <w:r w:rsidRPr="00DC26FE">
      <w:t>/</w:t>
    </w:r>
    <w:fldSimple w:instr=" NUMPAGES  \* MERGEFORMAT ">
      <w:r w:rsidRPr="00DC26FE">
        <w:rPr>
          <w:noProof/>
        </w:rPr>
        <w:t>1</w:t>
      </w:r>
    </w:fldSimple>
    <w:r w:rsidRPr="00DC26FE">
      <w:tab/>
    </w:r>
    <w:r w:rsidRPr="00DC26FE">
      <w:rPr>
        <w:rStyle w:val="HideTWBExt"/>
      </w:rPr>
      <w:t>&lt;PathFdR&gt;</w:t>
    </w:r>
    <w:r w:rsidRPr="00DC26FE">
      <w:t>PR\1336581PL.docx</w:t>
    </w:r>
    <w:r w:rsidRPr="00DC26FE">
      <w:rPr>
        <w:rStyle w:val="HideTWBExt"/>
      </w:rPr>
      <w:t>&lt;/PathFdR&gt;</w:t>
    </w:r>
  </w:p>
  <w:p w14:paraId="36BE4158" w14:textId="39B3AFA2" w:rsidR="00100069" w:rsidRPr="00DC26FE" w:rsidRDefault="00DC26FE" w:rsidP="00DC26FE">
    <w:pPr>
      <w:pStyle w:val="EPFooter2"/>
    </w:pPr>
    <w:r w:rsidRPr="00DC26FE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91B2" w14:textId="77777777" w:rsidR="00DC26FE" w:rsidRPr="00DC26FE" w:rsidRDefault="00DC26FE" w:rsidP="00DC26FE">
    <w:pPr>
      <w:pStyle w:val="EPFooter"/>
    </w:pPr>
    <w:r w:rsidRPr="00DC26FE">
      <w:rPr>
        <w:rStyle w:val="HideTWBExt"/>
      </w:rPr>
      <w:t>&lt;PathFdR&gt;</w:t>
    </w:r>
    <w:r w:rsidRPr="00DC26FE">
      <w:t>PR\1336581PL.docx</w:t>
    </w:r>
    <w:r w:rsidRPr="00DC26FE">
      <w:rPr>
        <w:rStyle w:val="HideTWBExt"/>
      </w:rPr>
      <w:t>&lt;/PathFdR&gt;</w:t>
    </w:r>
    <w:r w:rsidRPr="00DC26FE">
      <w:tab/>
    </w:r>
    <w:r w:rsidRPr="00DC26FE">
      <w:fldChar w:fldCharType="begin"/>
    </w:r>
    <w:r w:rsidRPr="00DC26FE">
      <w:instrText xml:space="preserve"> PAGE  \* MERGEFORMAT </w:instrText>
    </w:r>
    <w:r w:rsidRPr="00DC26FE">
      <w:fldChar w:fldCharType="separate"/>
    </w:r>
    <w:r w:rsidRPr="00DC26FE">
      <w:rPr>
        <w:noProof/>
      </w:rPr>
      <w:t>6</w:t>
    </w:r>
    <w:r w:rsidRPr="00DC26FE">
      <w:fldChar w:fldCharType="end"/>
    </w:r>
    <w:r w:rsidRPr="00DC26FE">
      <w:t>/</w:t>
    </w:r>
    <w:fldSimple w:instr=" NUMPAGES  \* MERGEFORMAT ">
      <w:r w:rsidRPr="00DC26FE">
        <w:rPr>
          <w:noProof/>
        </w:rPr>
        <w:t>1</w:t>
      </w:r>
    </w:fldSimple>
    <w:r w:rsidRPr="00DC26FE">
      <w:tab/>
      <w:t>PE</w:t>
    </w:r>
    <w:r w:rsidRPr="00DC26FE">
      <w:rPr>
        <w:rStyle w:val="HideTWBExt"/>
      </w:rPr>
      <w:t>&lt;NoPE&gt;</w:t>
    </w:r>
    <w:r w:rsidRPr="00DC26FE">
      <w:t>784.231</w:t>
    </w:r>
    <w:r w:rsidRPr="00DC26FE">
      <w:rPr>
        <w:rStyle w:val="HideTWBExt"/>
      </w:rPr>
      <w:t>&lt;/NoPE&gt;&lt;Version&gt;</w:t>
    </w:r>
    <w:r w:rsidRPr="00DC26FE">
      <w:t>v01-00</w:t>
    </w:r>
    <w:r w:rsidRPr="00DC26FE">
      <w:rPr>
        <w:rStyle w:val="HideTWBExt"/>
      </w:rPr>
      <w:t>&lt;/Version&gt;</w:t>
    </w:r>
  </w:p>
  <w:p w14:paraId="08DC9AD0" w14:textId="4041D0BA" w:rsidR="00100069" w:rsidRPr="00DC26FE" w:rsidRDefault="00DC26FE" w:rsidP="00DC26FE">
    <w:pPr>
      <w:pStyle w:val="EPFooter2"/>
    </w:pPr>
    <w:r w:rsidRPr="00DC26FE">
      <w:tab/>
    </w:r>
    <w:r w:rsidRPr="00DC26FE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22D3" w14:textId="77777777" w:rsidR="00DC26FE" w:rsidRPr="00DC26FE" w:rsidRDefault="00DC26FE" w:rsidP="00DC26FE">
    <w:pPr>
      <w:pStyle w:val="EPFooter"/>
    </w:pPr>
    <w:r w:rsidRPr="00DC26FE">
      <w:rPr>
        <w:rStyle w:val="HideTWBExt"/>
      </w:rPr>
      <w:t>&lt;PathFdR&gt;</w:t>
    </w:r>
    <w:r w:rsidRPr="00DC26FE">
      <w:t>PR\1336581PL.docx</w:t>
    </w:r>
    <w:r w:rsidRPr="00DC26FE">
      <w:rPr>
        <w:rStyle w:val="HideTWBExt"/>
      </w:rPr>
      <w:t>&lt;/PathFdR&gt;</w:t>
    </w:r>
    <w:r w:rsidRPr="00DC26FE">
      <w:tab/>
    </w:r>
    <w:r w:rsidRPr="00DC26FE">
      <w:tab/>
      <w:t>PE</w:t>
    </w:r>
    <w:r w:rsidRPr="00DC26FE">
      <w:rPr>
        <w:rStyle w:val="HideTWBExt"/>
      </w:rPr>
      <w:t>&lt;NoPE&gt;</w:t>
    </w:r>
    <w:r w:rsidRPr="00DC26FE">
      <w:t>784.231</w:t>
    </w:r>
    <w:r w:rsidRPr="00DC26FE">
      <w:rPr>
        <w:rStyle w:val="HideTWBExt"/>
      </w:rPr>
      <w:t>&lt;/NoPE&gt;&lt;Version&gt;</w:t>
    </w:r>
    <w:r w:rsidRPr="00DC26FE">
      <w:t>v01-00</w:t>
    </w:r>
    <w:r w:rsidRPr="00DC26FE">
      <w:rPr>
        <w:rStyle w:val="HideTWBExt"/>
      </w:rPr>
      <w:t>&lt;/Version&gt;</w:t>
    </w:r>
  </w:p>
  <w:p w14:paraId="52BC5ECC" w14:textId="39D68710" w:rsidR="00100069" w:rsidRPr="00DC26FE" w:rsidRDefault="00DC26FE" w:rsidP="00DC26FE">
    <w:pPr>
      <w:pStyle w:val="EPFooter2"/>
    </w:pPr>
    <w:r w:rsidRPr="00DC26FE">
      <w:t>PL</w:t>
    </w:r>
    <w:r w:rsidRPr="00DC26FE">
      <w:tab/>
    </w:r>
    <w:r w:rsidRPr="00DC26FE">
      <w:rPr>
        <w:b w:val="0"/>
        <w:i/>
        <w:color w:val="C0C0C0"/>
        <w:sz w:val="22"/>
      </w:rPr>
      <w:t>Zjednoczona w różnorodności</w:t>
    </w:r>
    <w:r w:rsidRPr="00DC26FE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DC245" w14:textId="77777777" w:rsidR="00AA5FFA" w:rsidRPr="00DC26FE" w:rsidRDefault="00AA5FFA">
      <w:r w:rsidRPr="00DC26FE">
        <w:separator/>
      </w:r>
    </w:p>
  </w:footnote>
  <w:footnote w:type="continuationSeparator" w:id="0">
    <w:p w14:paraId="6A381EEF" w14:textId="77777777" w:rsidR="00AA5FFA" w:rsidRPr="00DC26FE" w:rsidRDefault="00AA5FFA">
      <w:r w:rsidRPr="00DC26FE">
        <w:continuationSeparator/>
      </w:r>
    </w:p>
  </w:footnote>
  <w:footnote w:id="1">
    <w:p w14:paraId="5C7B8008" w14:textId="78A68BF7" w:rsidR="00841F3C" w:rsidRPr="00DC26FE" w:rsidRDefault="00841F3C" w:rsidP="00841F3C">
      <w:pPr>
        <w:pStyle w:val="FootnoteText"/>
        <w:ind w:left="567" w:hanging="567"/>
        <w:rPr>
          <w:u w:val="single" w:color="0000FF"/>
        </w:rPr>
      </w:pPr>
      <w:r w:rsidRPr="00DC26FE">
        <w:rPr>
          <w:rStyle w:val="FootnoteReference"/>
        </w:rPr>
        <w:footnoteRef/>
      </w:r>
      <w:r w:rsidRPr="00DC26FE">
        <w:t xml:space="preserve"> Dz.U. L 71 z 16.3.2016, s. 3, ELI: </w:t>
      </w:r>
      <w:hyperlink r:id="rId1" w:history="1">
        <w:r w:rsidRPr="00DC26FE">
          <w:rPr>
            <w:rStyle w:val="Hyperlink"/>
          </w:rPr>
          <w:t>http://data.europa.eu/eli/agree_internation/2016/342/oj</w:t>
        </w:r>
      </w:hyperlink>
      <w:r w:rsidRPr="00DC26FE">
        <w:t>.</w:t>
      </w:r>
    </w:p>
  </w:footnote>
  <w:footnote w:id="2">
    <w:p w14:paraId="08EB9D62" w14:textId="499805F4" w:rsidR="00841F3C" w:rsidRPr="00DC26FE" w:rsidRDefault="00841F3C" w:rsidP="00841F3C">
      <w:pPr>
        <w:pStyle w:val="FootnoteText"/>
        <w:ind w:left="567" w:hanging="567"/>
        <w:rPr>
          <w:u w:val="single" w:color="0000FF"/>
        </w:rPr>
      </w:pPr>
      <w:r w:rsidRPr="00DC26FE">
        <w:rPr>
          <w:rStyle w:val="FootnoteReference"/>
        </w:rPr>
        <w:footnoteRef/>
      </w:r>
      <w:r w:rsidRPr="00DC26FE">
        <w:t xml:space="preserve"> Dz.U. L 195 z 27.7.2017, s. 3, ELI: </w:t>
      </w:r>
      <w:hyperlink r:id="rId2" w:history="1">
        <w:r w:rsidRPr="00DC26FE">
          <w:rPr>
            <w:rStyle w:val="Hyperlink"/>
          </w:rPr>
          <w:t>http://data.europa.eu/eli/agree_internation/2017/1388/oj</w:t>
        </w:r>
      </w:hyperlink>
      <w:r w:rsidRPr="00DC26FE">
        <w:t>.</w:t>
      </w:r>
    </w:p>
  </w:footnote>
  <w:footnote w:id="3">
    <w:p w14:paraId="52017059" w14:textId="13FDAB47" w:rsidR="00841F3C" w:rsidRPr="00DC26FE" w:rsidRDefault="00841F3C" w:rsidP="00841F3C">
      <w:pPr>
        <w:pStyle w:val="FootnoteText"/>
        <w:ind w:left="567" w:hanging="567"/>
        <w:rPr>
          <w:u w:val="single" w:color="0000FF"/>
        </w:rPr>
      </w:pPr>
      <w:r w:rsidRPr="00DC26FE">
        <w:rPr>
          <w:rStyle w:val="FootnoteReference"/>
        </w:rPr>
        <w:footnoteRef/>
      </w:r>
      <w:r w:rsidRPr="00DC26FE">
        <w:t xml:space="preserve"> Dz.U. L 330 z 20.9.2021, s. 1, ELI: </w:t>
      </w:r>
      <w:hyperlink r:id="rId3" w:history="1">
        <w:r w:rsidRPr="00DC26FE">
          <w:rPr>
            <w:rStyle w:val="Hyperlink"/>
          </w:rPr>
          <w:t>http://data.europa.eu/eli/reg/2021/1529/oj</w:t>
        </w:r>
      </w:hyperlink>
      <w:r w:rsidRPr="00DC26FE">
        <w:t>.</w:t>
      </w:r>
    </w:p>
  </w:footnote>
  <w:footnote w:id="4">
    <w:p w14:paraId="5451558B" w14:textId="77FFE592" w:rsidR="00073C51" w:rsidRPr="00DC26FE" w:rsidRDefault="00073C51">
      <w:pPr>
        <w:pStyle w:val="FootnoteText"/>
      </w:pPr>
      <w:r w:rsidRPr="00DC26FE">
        <w:rPr>
          <w:rStyle w:val="FootnoteReference"/>
        </w:rPr>
        <w:footnoteRef/>
      </w:r>
      <w:r w:rsidRPr="00DC26FE">
        <w:t xml:space="preserve"> Dz.U. L 110 z 25.4.2023, s. 1, ELI: </w:t>
      </w:r>
      <w:hyperlink r:id="rId4" w:tooltip="Dostęp do dokumentu poprzez identyfikator URI w systemie ELI." w:history="1">
        <w:r w:rsidRPr="00DC26FE">
          <w:rPr>
            <w:rStyle w:val="Hyperlink"/>
          </w:rPr>
          <w:t>http://data.europa.eu/eli/reg/2023/850/oj</w:t>
        </w:r>
      </w:hyperlink>
      <w:r w:rsidRPr="00DC26FE">
        <w:t>.</w:t>
      </w:r>
    </w:p>
  </w:footnote>
  <w:footnote w:id="5">
    <w:p w14:paraId="1C3FE592" w14:textId="234344ED" w:rsidR="00841F3C" w:rsidRPr="00DC26FE" w:rsidRDefault="00841F3C" w:rsidP="00841F3C">
      <w:pPr>
        <w:pStyle w:val="FootnoteText"/>
        <w:ind w:left="567" w:hanging="567"/>
      </w:pPr>
      <w:r w:rsidRPr="00DC26FE">
        <w:rPr>
          <w:rStyle w:val="FootnoteReference"/>
        </w:rPr>
        <w:footnoteRef/>
      </w:r>
      <w:r w:rsidRPr="00DC26FE">
        <w:t xml:space="preserve"> Dz.U. L, 2024/1449, 24.5.2024, </w:t>
      </w:r>
      <w:r w:rsidRPr="00DC26FE">
        <w:rPr>
          <w:color w:val="333333"/>
          <w:shd w:val="clear" w:color="auto" w:fill="FFFFFF"/>
        </w:rPr>
        <w:t>ELI: </w:t>
      </w:r>
      <w:hyperlink r:id="rId5" w:tooltip="Dostęp do dokumentu poprzez identyfikator URI w systemie ELI." w:history="1">
        <w:r w:rsidRPr="00DC26FE">
          <w:rPr>
            <w:rStyle w:val="Hyperlink"/>
            <w:color w:val="337AB7"/>
            <w:shd w:val="clear" w:color="auto" w:fill="FFFFFF"/>
          </w:rPr>
          <w:t>http://data.europa.eu/eli/reg/2024/1449/oj</w:t>
        </w:r>
      </w:hyperlink>
      <w:r w:rsidRPr="00DC26FE">
        <w:t>.</w:t>
      </w:r>
    </w:p>
  </w:footnote>
  <w:footnote w:id="6">
    <w:p w14:paraId="38532F58" w14:textId="39CF4CD3" w:rsidR="006C1C9B" w:rsidRPr="00DC26FE" w:rsidRDefault="006C1C9B">
      <w:pPr>
        <w:pStyle w:val="FootnoteText"/>
      </w:pPr>
      <w:r w:rsidRPr="00DC26FE">
        <w:rPr>
          <w:rStyle w:val="FootnoteReference"/>
        </w:rPr>
        <w:footnoteRef/>
      </w:r>
      <w:r w:rsidRPr="00DC26FE">
        <w:t xml:space="preserve"> Dz.U. L, 2025/1161, 6.6.2025, ELI: </w:t>
      </w:r>
      <w:hyperlink r:id="rId6" w:tgtFrame="_blank" w:tooltip="Dostęp do dokumentu poprzez identyfikator URI w systemie ELI." w:history="1">
        <w:r w:rsidRPr="00DC26FE">
          <w:rPr>
            <w:rStyle w:val="Hyperlink"/>
          </w:rPr>
          <w:t>http://data.europa.eu/eli/dec/2025/1161/oj</w:t>
        </w:r>
      </w:hyperlink>
      <w:r w:rsidRPr="00DC26F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134D" w14:textId="77777777" w:rsidR="00CB1606" w:rsidRDefault="00CB1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3A47" w14:textId="77777777" w:rsidR="00CB1606" w:rsidRDefault="00CB16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A2EB" w14:textId="77777777" w:rsidR="00CB1606" w:rsidRDefault="00CB16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5F7061"/>
    <w:multiLevelType w:val="hybridMultilevel"/>
    <w:tmpl w:val="B2201016"/>
    <w:lvl w:ilvl="0" w:tplc="919A3ACA">
      <w:start w:val="64"/>
      <w:numFmt w:val="bullet"/>
      <w:lvlText w:val="–"/>
      <w:lvlJc w:val="left"/>
      <w:pPr>
        <w:ind w:left="6586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87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94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101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109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116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12346" w:hanging="360"/>
      </w:pPr>
      <w:rPr>
        <w:rFonts w:ascii="Wingdings" w:hAnsi="Wingdings" w:hint="default"/>
      </w:rPr>
    </w:lvl>
  </w:abstractNum>
  <w:abstractNum w:abstractNumId="11" w15:restartNumberingAfterBreak="0">
    <w:nsid w:val="4729239E"/>
    <w:multiLevelType w:val="hybridMultilevel"/>
    <w:tmpl w:val="44E6B4E8"/>
    <w:lvl w:ilvl="0" w:tplc="C9D46EA6">
      <w:start w:val="42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2318922">
    <w:abstractNumId w:val="9"/>
  </w:num>
  <w:num w:numId="2" w16cid:durableId="1314720264">
    <w:abstractNumId w:val="9"/>
  </w:num>
  <w:num w:numId="3" w16cid:durableId="1277560404">
    <w:abstractNumId w:val="7"/>
  </w:num>
  <w:num w:numId="4" w16cid:durableId="917405357">
    <w:abstractNumId w:val="7"/>
  </w:num>
  <w:num w:numId="5" w16cid:durableId="2070761757">
    <w:abstractNumId w:val="6"/>
  </w:num>
  <w:num w:numId="6" w16cid:durableId="1185364906">
    <w:abstractNumId w:val="6"/>
  </w:num>
  <w:num w:numId="7" w16cid:durableId="2060861003">
    <w:abstractNumId w:val="5"/>
  </w:num>
  <w:num w:numId="8" w16cid:durableId="1164587069">
    <w:abstractNumId w:val="5"/>
  </w:num>
  <w:num w:numId="9" w16cid:durableId="2130586006">
    <w:abstractNumId w:val="4"/>
  </w:num>
  <w:num w:numId="10" w16cid:durableId="1746222398">
    <w:abstractNumId w:val="4"/>
  </w:num>
  <w:num w:numId="11" w16cid:durableId="1889410568">
    <w:abstractNumId w:val="8"/>
  </w:num>
  <w:num w:numId="12" w16cid:durableId="1574583377">
    <w:abstractNumId w:val="8"/>
  </w:num>
  <w:num w:numId="13" w16cid:durableId="755369154">
    <w:abstractNumId w:val="3"/>
  </w:num>
  <w:num w:numId="14" w16cid:durableId="870843763">
    <w:abstractNumId w:val="3"/>
  </w:num>
  <w:num w:numId="15" w16cid:durableId="117069609">
    <w:abstractNumId w:val="2"/>
  </w:num>
  <w:num w:numId="16" w16cid:durableId="179977969">
    <w:abstractNumId w:val="2"/>
  </w:num>
  <w:num w:numId="17" w16cid:durableId="1519809369">
    <w:abstractNumId w:val="1"/>
  </w:num>
  <w:num w:numId="18" w16cid:durableId="441148316">
    <w:abstractNumId w:val="1"/>
  </w:num>
  <w:num w:numId="19" w16cid:durableId="402066687">
    <w:abstractNumId w:val="0"/>
  </w:num>
  <w:num w:numId="20" w16cid:durableId="689768998">
    <w:abstractNumId w:val="0"/>
  </w:num>
  <w:num w:numId="21" w16cid:durableId="1211452594">
    <w:abstractNumId w:val="9"/>
  </w:num>
  <w:num w:numId="22" w16cid:durableId="513030430">
    <w:abstractNumId w:val="7"/>
  </w:num>
  <w:num w:numId="23" w16cid:durableId="68698398">
    <w:abstractNumId w:val="6"/>
  </w:num>
  <w:num w:numId="24" w16cid:durableId="784928956">
    <w:abstractNumId w:val="5"/>
  </w:num>
  <w:num w:numId="25" w16cid:durableId="1923293848">
    <w:abstractNumId w:val="4"/>
  </w:num>
  <w:num w:numId="26" w16cid:durableId="1138759994">
    <w:abstractNumId w:val="8"/>
  </w:num>
  <w:num w:numId="27" w16cid:durableId="1978220977">
    <w:abstractNumId w:val="3"/>
  </w:num>
  <w:num w:numId="28" w16cid:durableId="605116844">
    <w:abstractNumId w:val="2"/>
  </w:num>
  <w:num w:numId="29" w16cid:durableId="69815083">
    <w:abstractNumId w:val="1"/>
  </w:num>
  <w:num w:numId="30" w16cid:durableId="1793359436">
    <w:abstractNumId w:val="0"/>
  </w:num>
  <w:num w:numId="31" w16cid:durableId="70667841">
    <w:abstractNumId w:val="9"/>
  </w:num>
  <w:num w:numId="32" w16cid:durableId="1079403450">
    <w:abstractNumId w:val="7"/>
  </w:num>
  <w:num w:numId="33" w16cid:durableId="1345014690">
    <w:abstractNumId w:val="6"/>
  </w:num>
  <w:num w:numId="34" w16cid:durableId="433399623">
    <w:abstractNumId w:val="5"/>
  </w:num>
  <w:num w:numId="35" w16cid:durableId="1385376282">
    <w:abstractNumId w:val="4"/>
  </w:num>
  <w:num w:numId="36" w16cid:durableId="775059620">
    <w:abstractNumId w:val="8"/>
  </w:num>
  <w:num w:numId="37" w16cid:durableId="666901053">
    <w:abstractNumId w:val="3"/>
  </w:num>
  <w:num w:numId="38" w16cid:durableId="1534073700">
    <w:abstractNumId w:val="2"/>
  </w:num>
  <w:num w:numId="39" w16cid:durableId="442771555">
    <w:abstractNumId w:val="1"/>
  </w:num>
  <w:num w:numId="40" w16cid:durableId="1496727773">
    <w:abstractNumId w:val="0"/>
  </w:num>
  <w:num w:numId="41" w16cid:durableId="1852376436">
    <w:abstractNumId w:val="11"/>
  </w:num>
  <w:num w:numId="42" w16cid:durableId="1388837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AFET"/>
    <w:docVar w:name="CONTRIBUTIONMNU" w:val=" 1"/>
    <w:docVar w:name="DOCDT" w:val="04/03/2026"/>
    <w:docVar w:name="LastEditedSection" w:val=" 1"/>
    <w:docVar w:name="MOTIONMNU" w:val=" 3"/>
    <w:docVar w:name="NVAR1" w:val="0"/>
    <w:docVar w:name="RULEMNU" w:val=" 1"/>
    <w:docVar w:name="strDocTypeID" w:val="PR_INI"/>
    <w:docVar w:name="strSubDir" w:val="1336"/>
    <w:docVar w:name="TITLEMNU" w:val=" 1"/>
    <w:docVar w:name="TXTAUTHOR" w:val="Riho Terras"/>
    <w:docVar w:name="TXTLANGUE" w:val="EN"/>
    <w:docVar w:name="TXTLANGUEMIN" w:val="en"/>
    <w:docVar w:name="TXTNRINI" w:val="2025/2252"/>
    <w:docVar w:name="TXTNRPE" w:val="784.231"/>
    <w:docVar w:name="TXTPEorAP" w:val="PE"/>
    <w:docVar w:name="TXTROUTE" w:val="PR\1336581EN.docx"/>
    <w:docVar w:name="TXTTITLE" w:val="the 2025 Commission report on Kosovo"/>
    <w:docVar w:name="TXTVERSION" w:val="01-00"/>
  </w:docVars>
  <w:rsids>
    <w:rsidRoot w:val="00AA5FFA"/>
    <w:rsid w:val="0000399E"/>
    <w:rsid w:val="00040EAC"/>
    <w:rsid w:val="0004565F"/>
    <w:rsid w:val="00071DB7"/>
    <w:rsid w:val="00073C51"/>
    <w:rsid w:val="0007541B"/>
    <w:rsid w:val="00082B37"/>
    <w:rsid w:val="000A7B14"/>
    <w:rsid w:val="000C3013"/>
    <w:rsid w:val="000D0F3D"/>
    <w:rsid w:val="000D1B71"/>
    <w:rsid w:val="000D2631"/>
    <w:rsid w:val="000F32B6"/>
    <w:rsid w:val="000F7836"/>
    <w:rsid w:val="00100069"/>
    <w:rsid w:val="001046B1"/>
    <w:rsid w:val="00105C44"/>
    <w:rsid w:val="0011099D"/>
    <w:rsid w:val="001138EF"/>
    <w:rsid w:val="00136CCC"/>
    <w:rsid w:val="00151335"/>
    <w:rsid w:val="001929E2"/>
    <w:rsid w:val="001B207D"/>
    <w:rsid w:val="001B61CF"/>
    <w:rsid w:val="001D2F17"/>
    <w:rsid w:val="001D656B"/>
    <w:rsid w:val="00204B85"/>
    <w:rsid w:val="00220E6A"/>
    <w:rsid w:val="0023245A"/>
    <w:rsid w:val="002544DF"/>
    <w:rsid w:val="00276B35"/>
    <w:rsid w:val="00310DA8"/>
    <w:rsid w:val="00335F69"/>
    <w:rsid w:val="00343273"/>
    <w:rsid w:val="00386AEC"/>
    <w:rsid w:val="00395A66"/>
    <w:rsid w:val="003E4507"/>
    <w:rsid w:val="003E6413"/>
    <w:rsid w:val="003F7731"/>
    <w:rsid w:val="004016B4"/>
    <w:rsid w:val="00412063"/>
    <w:rsid w:val="004200B3"/>
    <w:rsid w:val="00427897"/>
    <w:rsid w:val="0043010F"/>
    <w:rsid w:val="00431E3D"/>
    <w:rsid w:val="00432B50"/>
    <w:rsid w:val="00452253"/>
    <w:rsid w:val="00455003"/>
    <w:rsid w:val="00466A1A"/>
    <w:rsid w:val="004861E1"/>
    <w:rsid w:val="00497991"/>
    <w:rsid w:val="004B2373"/>
    <w:rsid w:val="004C2F1F"/>
    <w:rsid w:val="004C3337"/>
    <w:rsid w:val="00514A18"/>
    <w:rsid w:val="005178FF"/>
    <w:rsid w:val="00524D00"/>
    <w:rsid w:val="005305DF"/>
    <w:rsid w:val="00531F4C"/>
    <w:rsid w:val="00533B4F"/>
    <w:rsid w:val="00540EDD"/>
    <w:rsid w:val="00584A07"/>
    <w:rsid w:val="00604F5A"/>
    <w:rsid w:val="00610335"/>
    <w:rsid w:val="006272CD"/>
    <w:rsid w:val="0066097A"/>
    <w:rsid w:val="00666B37"/>
    <w:rsid w:val="006C1C9B"/>
    <w:rsid w:val="00703983"/>
    <w:rsid w:val="00705D44"/>
    <w:rsid w:val="00726C82"/>
    <w:rsid w:val="007351EF"/>
    <w:rsid w:val="00766983"/>
    <w:rsid w:val="00770DA1"/>
    <w:rsid w:val="007963C6"/>
    <w:rsid w:val="007B03C3"/>
    <w:rsid w:val="007B1819"/>
    <w:rsid w:val="007D0588"/>
    <w:rsid w:val="007D0E0F"/>
    <w:rsid w:val="007F78FF"/>
    <w:rsid w:val="008016E7"/>
    <w:rsid w:val="00841F3C"/>
    <w:rsid w:val="00865656"/>
    <w:rsid w:val="00872D48"/>
    <w:rsid w:val="008C1DE6"/>
    <w:rsid w:val="008C3DB1"/>
    <w:rsid w:val="008C4C65"/>
    <w:rsid w:val="008D6DE8"/>
    <w:rsid w:val="008F0051"/>
    <w:rsid w:val="0090583E"/>
    <w:rsid w:val="00913BEE"/>
    <w:rsid w:val="00915566"/>
    <w:rsid w:val="00920240"/>
    <w:rsid w:val="0095536F"/>
    <w:rsid w:val="00956282"/>
    <w:rsid w:val="00972CEF"/>
    <w:rsid w:val="00996AC6"/>
    <w:rsid w:val="009971EF"/>
    <w:rsid w:val="009C6D01"/>
    <w:rsid w:val="009E1CE7"/>
    <w:rsid w:val="009E4ABB"/>
    <w:rsid w:val="009F2F39"/>
    <w:rsid w:val="00A13986"/>
    <w:rsid w:val="00A24C7F"/>
    <w:rsid w:val="00A45202"/>
    <w:rsid w:val="00A77A54"/>
    <w:rsid w:val="00AA5FFA"/>
    <w:rsid w:val="00AE1119"/>
    <w:rsid w:val="00AF310F"/>
    <w:rsid w:val="00B065EF"/>
    <w:rsid w:val="00B17532"/>
    <w:rsid w:val="00B215B4"/>
    <w:rsid w:val="00B6383B"/>
    <w:rsid w:val="00B645F2"/>
    <w:rsid w:val="00B82965"/>
    <w:rsid w:val="00BA2A57"/>
    <w:rsid w:val="00BA5076"/>
    <w:rsid w:val="00BB70F1"/>
    <w:rsid w:val="00BC7C60"/>
    <w:rsid w:val="00C00074"/>
    <w:rsid w:val="00C21C5F"/>
    <w:rsid w:val="00C55A76"/>
    <w:rsid w:val="00C65A58"/>
    <w:rsid w:val="00C67F7D"/>
    <w:rsid w:val="00C812C6"/>
    <w:rsid w:val="00C93A60"/>
    <w:rsid w:val="00CB1606"/>
    <w:rsid w:val="00CD3E8A"/>
    <w:rsid w:val="00CE0F04"/>
    <w:rsid w:val="00D216B5"/>
    <w:rsid w:val="00D22498"/>
    <w:rsid w:val="00D31D25"/>
    <w:rsid w:val="00D47BB0"/>
    <w:rsid w:val="00DB4680"/>
    <w:rsid w:val="00DC26FE"/>
    <w:rsid w:val="00DD013B"/>
    <w:rsid w:val="00DD2916"/>
    <w:rsid w:val="00DD324A"/>
    <w:rsid w:val="00DD7B9D"/>
    <w:rsid w:val="00DE1839"/>
    <w:rsid w:val="00DF1F83"/>
    <w:rsid w:val="00DF5D22"/>
    <w:rsid w:val="00E155CA"/>
    <w:rsid w:val="00E3537C"/>
    <w:rsid w:val="00E44E27"/>
    <w:rsid w:val="00E55B36"/>
    <w:rsid w:val="00E567AC"/>
    <w:rsid w:val="00E61690"/>
    <w:rsid w:val="00EA7AA9"/>
    <w:rsid w:val="00EB299A"/>
    <w:rsid w:val="00EC31F3"/>
    <w:rsid w:val="00EE5A4A"/>
    <w:rsid w:val="00EF7B8A"/>
    <w:rsid w:val="00F076A5"/>
    <w:rsid w:val="00F3651F"/>
    <w:rsid w:val="00F36B7B"/>
    <w:rsid w:val="00F66F60"/>
    <w:rsid w:val="00F714A9"/>
    <w:rsid w:val="00F853B5"/>
    <w:rsid w:val="00FC4A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B388EB2"/>
  <w15:chartTrackingRefBased/>
  <w15:docId w15:val="{07533703-884A-4B7B-8C0A-3E6817B7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rsid w:val="00841F3C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customStyle="1" w:styleId="Normal24a">
    <w:name w:val="Normal24a"/>
    <w:basedOn w:val="Normal"/>
    <w:rsid w:val="00220E6A"/>
    <w:pPr>
      <w:spacing w:after="480"/>
    </w:pPr>
  </w:style>
  <w:style w:type="paragraph" w:customStyle="1" w:styleId="NormalBoldCenter">
    <w:name w:val="NormalBoldCenter"/>
    <w:basedOn w:val="Normal"/>
    <w:rsid w:val="00220E6A"/>
    <w:pPr>
      <w:jc w:val="center"/>
    </w:pPr>
    <w:rPr>
      <w:b/>
    </w:rPr>
  </w:style>
  <w:style w:type="paragraph" w:customStyle="1" w:styleId="Footprint12b">
    <w:name w:val="Footprint12b"/>
    <w:basedOn w:val="Normal"/>
    <w:rsid w:val="00220E6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20E6A"/>
    <w:rPr>
      <w:szCs w:val="24"/>
    </w:rPr>
  </w:style>
  <w:style w:type="paragraph" w:styleId="FootnoteText">
    <w:name w:val="footnote text"/>
    <w:basedOn w:val="Normal"/>
    <w:link w:val="FootnoteTextChar"/>
    <w:uiPriority w:val="99"/>
    <w:rsid w:val="00220E6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20E6A"/>
  </w:style>
  <w:style w:type="character" w:styleId="FootnoteReference">
    <w:name w:val="footnote reference"/>
    <w:basedOn w:val="DefaultParagraphFont"/>
    <w:rsid w:val="00220E6A"/>
    <w:rPr>
      <w:vertAlign w:val="superscript"/>
    </w:rPr>
  </w:style>
  <w:style w:type="character" w:styleId="Hyperlink">
    <w:name w:val="Hyperlink"/>
    <w:basedOn w:val="DefaultParagraphFont"/>
    <w:rsid w:val="00220E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E6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8016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016E7"/>
    <w:rPr>
      <w:sz w:val="24"/>
    </w:rPr>
  </w:style>
  <w:style w:type="paragraph" w:styleId="Revision">
    <w:name w:val="Revision"/>
    <w:hidden/>
    <w:uiPriority w:val="99"/>
    <w:semiHidden/>
    <w:rsid w:val="007351EF"/>
    <w:rPr>
      <w:sz w:val="24"/>
    </w:rPr>
  </w:style>
  <w:style w:type="character" w:styleId="CommentReference">
    <w:name w:val="annotation reference"/>
    <w:basedOn w:val="DefaultParagraphFont"/>
    <w:rsid w:val="007351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51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51E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5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51EF"/>
    <w:rPr>
      <w:b/>
      <w:bCs/>
    </w:rPr>
  </w:style>
  <w:style w:type="character" w:styleId="FollowedHyperlink">
    <w:name w:val="FollowedHyperlink"/>
    <w:basedOn w:val="DefaultParagraphFont"/>
    <w:rsid w:val="00C65A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L/ALL/?uri=CELEX:52024DC014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PL/ALL/?uri=CELEX:52023DC069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ALL/?uri=CELEX:52020DC0641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52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dec/2025/1161/oj" TargetMode="External"/><Relationship Id="rId5" Type="http://schemas.openxmlformats.org/officeDocument/2006/relationships/hyperlink" Target="http://data.europa.eu/eli/reg/2024/1449/oj" TargetMode="External"/><Relationship Id="rId4" Type="http://schemas.openxmlformats.org/officeDocument/2006/relationships/hyperlink" Target="http://data.europa.eu/eli/reg/2023/85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21B76-C0E0-4977-90A7-C96CB162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2686</Words>
  <Characters>17788</Characters>
  <Application>Microsoft Office Word</Application>
  <DocSecurity>0</DocSecurity>
  <Lines>317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subject/>
  <dc:creator>TENGELIDOU Gesthimani</dc:creator>
  <cp:keywords/>
  <dc:description/>
  <cp:lastModifiedBy>KLIMKOWSKI Andrzej</cp:lastModifiedBy>
  <cp:revision>2</cp:revision>
  <cp:lastPrinted>2026-03-09T16:30:00Z</cp:lastPrinted>
  <dcterms:created xsi:type="dcterms:W3CDTF">2026-03-19T07:58:00Z</dcterms:created>
  <dcterms:modified xsi:type="dcterms:W3CDTF">2026-03-19T07:58:00Z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[20260301]</vt:lpwstr>
  </property>
  <property fmtid="{D5CDD505-2E9C-101B-9397-08002B2CF9AE}" pid="5" name="&lt;FdR&gt;">
    <vt:lpwstr>1336581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\\eiciBRUpr1\pdocep$\DocEP\DOCS\General\PR\PR_NonLeg\INI\PR_INI.dotx(18/02/2025 08:53:03)</vt:lpwstr>
  </property>
  <property fmtid="{D5CDD505-2E9C-101B-9397-08002B2CF9AE}" pid="8" name="&lt;ModelTra&gt;">
    <vt:lpwstr>\\eiciBRUpr1\pdocep$\DocEP\TRANSFIL\EN\PR_INI.EN(18/02/2025 08:54:04)</vt:lpwstr>
  </property>
  <property fmtid="{D5CDD505-2E9C-101B-9397-08002B2CF9AE}" pid="9" name="&lt;Model&gt;">
    <vt:lpwstr>PR_INI</vt:lpwstr>
  </property>
  <property fmtid="{D5CDD505-2E9C-101B-9397-08002B2CF9AE}" pid="10" name="FooterPath">
    <vt:lpwstr>PR\1336581PL.docx</vt:lpwstr>
  </property>
  <property fmtid="{D5CDD505-2E9C-101B-9397-08002B2CF9AE}" pid="11" name="PE number">
    <vt:lpwstr>784.231</vt:lpwstr>
  </property>
  <property fmtid="{D5CDD505-2E9C-101B-9397-08002B2CF9AE}" pid="12" name="SendToEpades">
    <vt:lpwstr>OK - 2026/03/06 09:19</vt:lpwstr>
  </property>
  <property fmtid="{D5CDD505-2E9C-101B-9397-08002B2CF9AE}" pid="13" name="Bookout">
    <vt:lpwstr>OK - 2026/03/19 08:58</vt:lpwstr>
  </property>
  <property fmtid="{D5CDD505-2E9C-101B-9397-08002B2CF9AE}" pid="14" name="SDLStudio">
    <vt:lpwstr/>
  </property>
</Properties>
</file>