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E7879" w:rsidRPr="008E6381" w14:paraId="0C1B96B6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8C0C9C" w14:textId="77777777" w:rsidR="00C93A60" w:rsidRPr="008E6381" w:rsidRDefault="004551E5" w:rsidP="00C85D0F">
            <w:pPr>
              <w:pStyle w:val="EPName"/>
            </w:pPr>
            <w:r w:rsidRPr="008E6381">
              <w:t>Parlamento Europeu</w:t>
            </w:r>
          </w:p>
          <w:p w14:paraId="7DCC70DB" w14:textId="77777777" w:rsidR="00C93A60" w:rsidRPr="008E6381" w:rsidRDefault="004551E5" w:rsidP="00C85D0F">
            <w:pPr>
              <w:pStyle w:val="EPTerm"/>
            </w:pPr>
            <w:r w:rsidRPr="008E6381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7128240" w14:textId="77777777" w:rsidR="00C93A60" w:rsidRPr="008E6381" w:rsidRDefault="004551E5" w:rsidP="00C85D0F">
            <w:pPr>
              <w:pStyle w:val="EPLogo"/>
            </w:pPr>
            <w:r w:rsidRPr="008E6381">
              <w:rPr>
                <w:noProof/>
                <w:lang w:eastAsia="ja-JP"/>
              </w:rPr>
              <w:drawing>
                <wp:inline distT="0" distB="0" distL="0" distR="0" wp14:anchorId="155736D7" wp14:editId="4DDF80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718635" w14:textId="77777777" w:rsidR="00E3537C" w:rsidRPr="008E6381" w:rsidRDefault="00E3537C" w:rsidP="00E3537C">
      <w:pPr>
        <w:pStyle w:val="LineTop"/>
      </w:pPr>
    </w:p>
    <w:p w14:paraId="33365AAC" w14:textId="77777777" w:rsidR="00E3537C" w:rsidRPr="008E6381" w:rsidRDefault="004551E5" w:rsidP="00E3537C">
      <w:pPr>
        <w:pStyle w:val="EPBody"/>
      </w:pPr>
      <w:r w:rsidRPr="008E6381">
        <w:rPr>
          <w:rStyle w:val="HideTWBExt"/>
          <w:i w:val="0"/>
        </w:rPr>
        <w:t>&lt;Commission&gt;</w:t>
      </w:r>
      <w:r w:rsidRPr="008E6381">
        <w:rPr>
          <w:rStyle w:val="HideTWBInt"/>
          <w:color w:val="auto"/>
        </w:rPr>
        <w:t>{AFET}</w:t>
      </w:r>
      <w:r w:rsidRPr="008E6381">
        <w:t>Comissão dos Assuntos Externos</w:t>
      </w:r>
      <w:r w:rsidRPr="008E6381">
        <w:rPr>
          <w:rStyle w:val="HideTWBExt"/>
          <w:i w:val="0"/>
        </w:rPr>
        <w:t>&lt;/Commission&gt;</w:t>
      </w:r>
    </w:p>
    <w:p w14:paraId="474153E6" w14:textId="77777777" w:rsidR="00E3537C" w:rsidRPr="008E6381" w:rsidRDefault="00E3537C" w:rsidP="00E3537C">
      <w:pPr>
        <w:pStyle w:val="LineBottom"/>
      </w:pPr>
    </w:p>
    <w:p w14:paraId="303C691C" w14:textId="77777777" w:rsidR="00100069" w:rsidRPr="008E6381" w:rsidRDefault="004551E5">
      <w:pPr>
        <w:pStyle w:val="CoverReference"/>
      </w:pPr>
      <w:r w:rsidRPr="008E6381">
        <w:rPr>
          <w:rStyle w:val="HideTWBExt"/>
          <w:b w:val="0"/>
        </w:rPr>
        <w:t>&lt;RefProc&gt;</w:t>
      </w:r>
      <w:r w:rsidRPr="008E6381">
        <w:t>2025/2252</w:t>
      </w:r>
      <w:r w:rsidRPr="008E6381">
        <w:rPr>
          <w:rStyle w:val="HideTWBExt"/>
          <w:b w:val="0"/>
        </w:rPr>
        <w:t>&lt;/RefProc&gt;&lt;RefTypeProc&gt;</w:t>
      </w:r>
      <w:r w:rsidRPr="008E6381">
        <w:t>(INI)</w:t>
      </w:r>
      <w:r w:rsidRPr="008E6381">
        <w:rPr>
          <w:rStyle w:val="HideTWBExt"/>
          <w:b w:val="0"/>
        </w:rPr>
        <w:t>&lt;/RefTypeProc&gt;</w:t>
      </w:r>
    </w:p>
    <w:p w14:paraId="189926C0" w14:textId="77777777" w:rsidR="00100069" w:rsidRPr="008E6381" w:rsidRDefault="004551E5">
      <w:pPr>
        <w:pStyle w:val="CoverDate"/>
      </w:pPr>
      <w:r w:rsidRPr="008E6381">
        <w:rPr>
          <w:rStyle w:val="HideTWBExt"/>
        </w:rPr>
        <w:t>&lt;Date&gt;</w:t>
      </w:r>
      <w:r w:rsidRPr="008E6381">
        <w:rPr>
          <w:rStyle w:val="HideTWBInt"/>
          <w:color w:val="auto"/>
        </w:rPr>
        <w:t>{06/03/2026}</w:t>
      </w:r>
      <w:r w:rsidRPr="008E6381">
        <w:t>6.3.2026</w:t>
      </w:r>
      <w:r w:rsidRPr="008E6381">
        <w:rPr>
          <w:rStyle w:val="HideTWBExt"/>
        </w:rPr>
        <w:t>&lt;/Date&gt;</w:t>
      </w:r>
    </w:p>
    <w:p w14:paraId="4670437B" w14:textId="77777777" w:rsidR="00100069" w:rsidRPr="008E6381" w:rsidRDefault="004551E5">
      <w:pPr>
        <w:pStyle w:val="CoverDocType24a"/>
      </w:pPr>
      <w:r w:rsidRPr="008E6381">
        <w:rPr>
          <w:rStyle w:val="HideTWBExt"/>
          <w:b w:val="0"/>
        </w:rPr>
        <w:t>&lt;TitreType&gt;</w:t>
      </w:r>
      <w:r w:rsidRPr="008E6381">
        <w:t>PROJETO DE RELATÓRIO</w:t>
      </w:r>
      <w:r w:rsidRPr="008E6381">
        <w:rPr>
          <w:rStyle w:val="HideTWBExt"/>
          <w:b w:val="0"/>
        </w:rPr>
        <w:t>&lt;/TitreType&gt;</w:t>
      </w:r>
    </w:p>
    <w:p w14:paraId="5BD99435" w14:textId="77777777" w:rsidR="00100069" w:rsidRPr="008E6381" w:rsidRDefault="004551E5">
      <w:pPr>
        <w:pStyle w:val="CoverNormal"/>
      </w:pPr>
      <w:r w:rsidRPr="008E6381">
        <w:rPr>
          <w:rStyle w:val="HideTWBExt"/>
        </w:rPr>
        <w:t>&lt;Titre&gt;</w:t>
      </w:r>
      <w:r w:rsidRPr="008E6381">
        <w:t xml:space="preserve">sobre o </w:t>
      </w:r>
      <w:r w:rsidRPr="008E6381">
        <w:t>relatório de 2025 da Comissão relativo ao Kosovo</w:t>
      </w:r>
      <w:r w:rsidRPr="008E6381">
        <w:rPr>
          <w:rStyle w:val="HideTWBExt"/>
        </w:rPr>
        <w:t>&lt;/Titre&gt;</w:t>
      </w:r>
    </w:p>
    <w:p w14:paraId="45179CE1" w14:textId="77777777" w:rsidR="00100069" w:rsidRPr="008E6381" w:rsidRDefault="004551E5">
      <w:pPr>
        <w:pStyle w:val="CoverNormal24a"/>
      </w:pPr>
      <w:r w:rsidRPr="008E6381">
        <w:rPr>
          <w:rStyle w:val="HideTWBExt"/>
        </w:rPr>
        <w:t>&lt;DocRef&gt;</w:t>
      </w:r>
      <w:r w:rsidRPr="008E6381">
        <w:t>(2025/2252(INI))</w:t>
      </w:r>
      <w:r w:rsidRPr="008E6381">
        <w:rPr>
          <w:rStyle w:val="HideTWBExt"/>
        </w:rPr>
        <w:t>&lt;/DocRef&gt;</w:t>
      </w:r>
    </w:p>
    <w:p w14:paraId="35EA4598" w14:textId="77777777" w:rsidR="00100069" w:rsidRPr="008E6381" w:rsidRDefault="004551E5">
      <w:pPr>
        <w:pStyle w:val="CoverNormal24a"/>
      </w:pPr>
      <w:r w:rsidRPr="008E6381">
        <w:rPr>
          <w:rStyle w:val="HideTWBExt"/>
        </w:rPr>
        <w:t>&lt;Commission&gt;</w:t>
      </w:r>
      <w:r w:rsidRPr="008E6381">
        <w:rPr>
          <w:rStyle w:val="HideTWBInt"/>
          <w:color w:val="auto"/>
        </w:rPr>
        <w:t>{AFET}</w:t>
      </w:r>
      <w:r w:rsidRPr="008E6381">
        <w:t>Comissão dos Assuntos Externos</w:t>
      </w:r>
      <w:r w:rsidRPr="008E6381">
        <w:rPr>
          <w:rStyle w:val="HideTWBExt"/>
        </w:rPr>
        <w:t>&lt;/Commission&gt;</w:t>
      </w:r>
    </w:p>
    <w:p w14:paraId="777CBA99" w14:textId="77777777" w:rsidR="00100069" w:rsidRPr="008E6381" w:rsidRDefault="004551E5">
      <w:pPr>
        <w:pStyle w:val="CoverNormal24a"/>
      </w:pPr>
      <w:r w:rsidRPr="008E6381">
        <w:t xml:space="preserve">Relator: </w:t>
      </w:r>
      <w:r w:rsidRPr="008E6381">
        <w:rPr>
          <w:rStyle w:val="HideTWBExt"/>
        </w:rPr>
        <w:t>&lt;Depute&gt;</w:t>
      </w:r>
      <w:r w:rsidRPr="008E6381">
        <w:t>Riho Terras</w:t>
      </w:r>
      <w:r w:rsidRPr="008E6381">
        <w:rPr>
          <w:rStyle w:val="HideTWBExt"/>
        </w:rPr>
        <w:t>&lt;/Depute&gt;</w:t>
      </w:r>
    </w:p>
    <w:p w14:paraId="070F6C62" w14:textId="77777777" w:rsidR="00100069" w:rsidRPr="008E6381" w:rsidRDefault="004551E5" w:rsidP="002544DF">
      <w:pPr>
        <w:widowControl/>
        <w:tabs>
          <w:tab w:val="center" w:pos="4677"/>
        </w:tabs>
      </w:pPr>
      <w:r w:rsidRPr="008E6381">
        <w:br w:type="page"/>
      </w:r>
      <w:r w:rsidRPr="008E6381">
        <w:lastRenderedPageBreak/>
        <w:t>PR_INI</w:t>
      </w:r>
    </w:p>
    <w:p w14:paraId="75BD952F" w14:textId="77777777" w:rsidR="00100069" w:rsidRPr="008E6381" w:rsidRDefault="004551E5">
      <w:pPr>
        <w:pStyle w:val="TOCHeading"/>
      </w:pPr>
      <w:r w:rsidRPr="008E6381">
        <w:t>ÍNDICE</w:t>
      </w:r>
    </w:p>
    <w:p w14:paraId="05112503" w14:textId="77777777" w:rsidR="00100069" w:rsidRPr="008E6381" w:rsidRDefault="004551E5">
      <w:pPr>
        <w:pStyle w:val="TOCPage"/>
      </w:pPr>
      <w:r w:rsidRPr="008E6381">
        <w:t>Página</w:t>
      </w:r>
    </w:p>
    <w:p w14:paraId="39A607DE" w14:textId="0BBC59B4" w:rsidR="004551E5" w:rsidRDefault="004551E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8E6381">
        <w:rPr>
          <w:b/>
        </w:rPr>
        <w:fldChar w:fldCharType="begin"/>
      </w:r>
      <w:r w:rsidRPr="008E6381">
        <w:rPr>
          <w:b/>
        </w:rPr>
        <w:instrText xml:space="preserve"> TOC \t "PageHeading</w:instrText>
      </w:r>
      <w:r w:rsidRPr="008E6381">
        <w:rPr>
          <w:b/>
        </w:rPr>
        <w:instrText>;</w:instrText>
      </w:r>
      <w:r w:rsidRPr="008E6381">
        <w:rPr>
          <w:b/>
        </w:rPr>
        <w:instrText xml:space="preserve">1" </w:instrText>
      </w:r>
      <w:r w:rsidRPr="008E6381">
        <w:rPr>
          <w:b/>
        </w:rPr>
        <w:fldChar w:fldCharType="separate"/>
      </w:r>
      <w:r>
        <w:rPr>
          <w:noProof/>
        </w:rPr>
        <w:t>PROPOSTA DE RESOLUÇÃO DO PARLAMENTO EUROPEU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_Toc224725302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3188A5BE" w14:textId="08B647D0" w:rsidR="004551E5" w:rsidRDefault="004551E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EXPOSIÇÃO DE MOTIVOS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_Toc224725303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49420140" w14:textId="624B388C" w:rsidR="00E155CA" w:rsidRPr="008E6381" w:rsidRDefault="004551E5" w:rsidP="0023245A">
      <w:r w:rsidRPr="008E6381">
        <w:rPr>
          <w:b/>
        </w:rPr>
        <w:fldChar w:fldCharType="end"/>
      </w:r>
    </w:p>
    <w:p w14:paraId="0436CB05" w14:textId="77777777" w:rsidR="00100069" w:rsidRPr="008E6381" w:rsidRDefault="004551E5">
      <w:pPr>
        <w:pStyle w:val="PageHeading"/>
      </w:pPr>
      <w:r w:rsidRPr="008E6381">
        <w:br w:type="page"/>
      </w:r>
      <w:bookmarkStart w:id="0" w:name="_Toc224725302"/>
      <w:r w:rsidRPr="008E6381">
        <w:lastRenderedPageBreak/>
        <w:t>PROPOSTA DE RESOLUÇÃO DO PARLAMENTO EUROPEU</w:t>
      </w:r>
      <w:bookmarkEnd w:id="0"/>
    </w:p>
    <w:p w14:paraId="45173F54" w14:textId="77777777" w:rsidR="00100069" w:rsidRPr="008E6381" w:rsidRDefault="004551E5">
      <w:pPr>
        <w:pStyle w:val="NormalBold"/>
      </w:pPr>
      <w:r w:rsidRPr="008E6381">
        <w:t>sobre o relatório de 2025 da Comissão relativo ao Kosovo</w:t>
      </w:r>
    </w:p>
    <w:p w14:paraId="27E5626B" w14:textId="77777777" w:rsidR="00100069" w:rsidRPr="008E6381" w:rsidRDefault="004551E5" w:rsidP="00335F69">
      <w:pPr>
        <w:pStyle w:val="NormalBold"/>
      </w:pPr>
      <w:r w:rsidRPr="008E6381">
        <w:t>(2025/2252(INI))</w:t>
      </w:r>
    </w:p>
    <w:p w14:paraId="25FD61BD" w14:textId="77777777" w:rsidR="00100069" w:rsidRPr="008E6381" w:rsidRDefault="004551E5" w:rsidP="00335F69">
      <w:pPr>
        <w:pStyle w:val="EPComma"/>
      </w:pPr>
      <w:r w:rsidRPr="008E6381">
        <w:rPr>
          <w:i/>
          <w:iCs/>
        </w:rPr>
        <w:t>O Parlamento Europeu</w:t>
      </w:r>
      <w:r w:rsidRPr="008E6381">
        <w:t>,</w:t>
      </w:r>
    </w:p>
    <w:p w14:paraId="049B525A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Acordo de Estabilização e de Associação entre a União Europeia e a Comunidade Europeia da Energia Atómica, por um lado, e o Kosovo, por outro</w:t>
      </w:r>
      <w:r w:rsidRPr="008E6381">
        <w:rPr>
          <w:rStyle w:val="FootnoteReference"/>
        </w:rPr>
        <w:footnoteReference w:id="1"/>
      </w:r>
      <w:r w:rsidRPr="008E6381">
        <w:t>, em vigor desde 1 de abril de 2016,</w:t>
      </w:r>
    </w:p>
    <w:p w14:paraId="55B2ED22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pedido de adesão do Kosovo à União Europeia, de 15 de dezembro de 2022,</w:t>
      </w:r>
    </w:p>
    <w:p w14:paraId="4C401229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pedido de adesão do Kosovo ao Conselho da Europa, de 12 de maio de 2022,</w:t>
      </w:r>
    </w:p>
    <w:p w14:paraId="51057C72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acordo-quadro entre a União Europeia e o Kosovo que estabelece os princípios gerais da participação do Kosovo em programas da União</w:t>
      </w:r>
      <w:r w:rsidRPr="008E6381">
        <w:rPr>
          <w:rStyle w:val="FootnoteReference"/>
        </w:rPr>
        <w:footnoteReference w:id="2"/>
      </w:r>
      <w:r w:rsidRPr="008E6381">
        <w:t>, em vigor desde 1 de agosto de 2017,</w:t>
      </w:r>
    </w:p>
    <w:p w14:paraId="5A83FB2D" w14:textId="1FC94C9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Regulamento (UE) 2021/1529 do Parlamento Europeu e do Conselho, de 15 de setembro de 2021, que cria o Instrumento de Assistência de Pré</w:t>
      </w:r>
      <w:r w:rsidR="00100B0F">
        <w:noBreakHyphen/>
      </w:r>
      <w:r w:rsidRPr="008E6381">
        <w:t>Adesão (IPA III)</w:t>
      </w:r>
      <w:r w:rsidRPr="008E6381">
        <w:rPr>
          <w:rStyle w:val="FootnoteReference"/>
        </w:rPr>
        <w:footnoteReference w:id="3"/>
      </w:r>
      <w:r w:rsidRPr="008E6381">
        <w:t>,</w:t>
      </w:r>
    </w:p>
    <w:p w14:paraId="1447DE6B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Regulamento (UE) 2023/850 do Parlamento Europeu e do Conselho, de 19 de abril de 2023, que altera o Regulamento (UE) 2018/1806 que fixa a lista dos países terceiros cujos nacionais estão sujeitos à obrigação de visto para transpor as fronteiras externas e a lista dos países terceiros cujos nacionais estão isentos dessa obrigação</w:t>
      </w:r>
      <w:r w:rsidRPr="008E6381">
        <w:rPr>
          <w:rStyle w:val="FootnoteReference"/>
        </w:rPr>
        <w:footnoteReference w:id="4"/>
      </w:r>
      <w:r w:rsidRPr="008E6381">
        <w:t>, no que respeita ao Kosovo, permitindo a isenção de visto para os titulares de passaportes biométricos do Kosovo a partir de 1 de janeiro de 2024,</w:t>
      </w:r>
    </w:p>
    <w:p w14:paraId="242C6605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Regulamento (UE) 2024/1449 do Parlamento Europeu e do Conselho, de 14 de maio de 2024, que cria o Mecanismo para as Reformas e o Crescimento nos Balcãs Ocidentais</w:t>
      </w:r>
      <w:r w:rsidRPr="008E6381">
        <w:rPr>
          <w:rStyle w:val="FootnoteReference"/>
        </w:rPr>
        <w:footnoteReference w:id="5"/>
      </w:r>
      <w:r w:rsidRPr="008E6381">
        <w:t>,</w:t>
      </w:r>
    </w:p>
    <w:p w14:paraId="56529BAA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as conclusões da Presidência por ocasião da reunião do Conselho Europeu realizada em Salónica, em 19 e 20 de junho de 2003,</w:t>
      </w:r>
    </w:p>
    <w:p w14:paraId="3A2ABE65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as cimeiras UE-Balcãs Ocidentais realizadas em Sófia, Zagrebe e Brdo pri Kranju, em 2018, 2020 e 2021, respetivamente, e as suas declarações,</w:t>
      </w:r>
    </w:p>
    <w:p w14:paraId="14D70947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 xml:space="preserve">Tendo em conta a reunião dos dirigentes dos Balcãs Ocidentais, de 1 de julho de 2025, </w:t>
      </w:r>
      <w:r w:rsidRPr="008E6381">
        <w:lastRenderedPageBreak/>
        <w:t xml:space="preserve">em Escópia </w:t>
      </w:r>
      <w:r w:rsidRPr="008E6381">
        <w:t>(Macedónia do Norte), sobre o Plano de Crescimento para os Balcãs Ocidentais,</w:t>
      </w:r>
    </w:p>
    <w:p w14:paraId="188BA171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a declaração da Cimeira UE-Balcãs Ocidentais de 17 de dezembro de 2025,</w:t>
      </w:r>
    </w:p>
    <w:p w14:paraId="3FBD2BD1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as conclusões da presidência, de 16 de dezembro de 2025, sobre o alargamento,</w:t>
      </w:r>
    </w:p>
    <w:p w14:paraId="5746BA81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Processo de Berlim, iniciado em 28 de agosto de 2014,</w:t>
      </w:r>
    </w:p>
    <w:p w14:paraId="4F6DCEF0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as conclusões da presidência da Cimeira de 2025 sobre o Processo de Berlim, realizada em 22 de outubro de 2025,</w:t>
      </w:r>
    </w:p>
    <w:p w14:paraId="42A8B27E" w14:textId="2B85F155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a Comunicação da Comissão, de 6 de outubro de 2020, intitulada «Um Plano Económico e de Investimento para os Balcãs Ocidentais» (</w:t>
      </w:r>
      <w:hyperlink r:id="rId9" w:tgtFrame="https://eur-lex.europa.eu/legal-content/EN/ALL/?uri=CELEX:52020DC0641" w:history="1">
        <w:r w:rsidRPr="008E6381">
          <w:t>COM(2020)0641</w:t>
        </w:r>
      </w:hyperlink>
      <w:r w:rsidRPr="008E6381">
        <w:t>),</w:t>
      </w:r>
    </w:p>
    <w:p w14:paraId="5CD4556D" w14:textId="1C25AEA9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a Comunicação da Comissão, de 8 de novembro de 2023, intitulada «Novo plano de crescimento para os Balcãs Ocidentais» (</w:t>
      </w:r>
      <w:hyperlink r:id="rId10" w:tgtFrame="https://eur-lex.europa.eu/legal-content/EN/ALL/?uri=CELEX:52023DC0691" w:history="1">
        <w:r w:rsidRPr="008E6381">
          <w:t>COM(2023)0691</w:t>
        </w:r>
      </w:hyperlink>
      <w:r w:rsidRPr="008E6381">
        <w:t>),</w:t>
      </w:r>
    </w:p>
    <w:p w14:paraId="58DE25A4" w14:textId="5947502F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 xml:space="preserve">Tendo em conta a Comunicação da Comissão, de 20 de março de 2024, sobre reformas e revisões das </w:t>
      </w:r>
      <w:r w:rsidRPr="008E6381">
        <w:t>políticas antes do alargamento (</w:t>
      </w:r>
      <w:hyperlink r:id="rId11" w:tgtFrame="https://eur-lex.europa.eu/legal-content/EN/ALL/?uri=CELEX:52024DC0146" w:history="1">
        <w:r w:rsidRPr="008E6381">
          <w:t>COM(2024)0146</w:t>
        </w:r>
      </w:hyperlink>
      <w:r w:rsidRPr="008E6381">
        <w:t>),</w:t>
      </w:r>
    </w:p>
    <w:p w14:paraId="5D56E5C2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a Comunicação da Comissão, de 4 de novembro de 2025, intitulada «Comunicação de 2025 sobre a política de alargamento da UE» (COM(2025)0690), acompanhada do documento de trabalho dos serviços da Comissão intitulado «Relatório de 2025 relativo ao Kosovo» (SWD(2025)0752),</w:t>
      </w:r>
    </w:p>
    <w:p w14:paraId="69B933DE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Tratado que institui a Comunidade da Energia, assinado em Atenas, em 25 de outubro de 2005, que visa alargar as normas do mercado interno da energia da UE à Europa do Sudeste,</w:t>
      </w:r>
    </w:p>
    <w:p w14:paraId="0107B72D" w14:textId="77777777" w:rsidR="00841F3C" w:rsidRPr="008E6381" w:rsidRDefault="004551E5" w:rsidP="00E44E27">
      <w:pPr>
        <w:pStyle w:val="NormalHanging12a"/>
      </w:pPr>
      <w:r w:rsidRPr="008E6381">
        <w:t>–</w:t>
      </w:r>
      <w:r w:rsidRPr="008E6381">
        <w:tab/>
        <w:t>Tendo em conta a Resolução 1244 do Conselho de Segurança das Nações Unidas, de 10 de junho de 1999, o Parecer Consultivo do Tribunal Internacional de Justiça (TIJ), de 22 de julho de 2010, sobre a conformidade da declaração unilateral de independência do Kosovo com o direito internacional, e a Resolução 64/298 da Assembleia Geral das Nações Unidas, de 9 de setembro de 2010, que reconheceu o teor do parecer do TIJ e se congratulou com a disponibilidade da UE para facilitar o diálogo entre a Sérvia e o Kosov</w:t>
      </w:r>
      <w:r w:rsidRPr="008E6381">
        <w:t>o,</w:t>
      </w:r>
    </w:p>
    <w:p w14:paraId="200ADF90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alinhamento contínuo do Kosovo com a política externa e de segurança comum da UE,</w:t>
      </w:r>
    </w:p>
    <w:p w14:paraId="5C2F6337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primeiro acordo sobre os princípios que regem a normalização das relações entre a Sérvia e o Kosovo, de 19 de abril de 2013, e os acordos de 25 de agosto de 2015, bem como o diálogo em curso promovido pela UE em prol da normalização das relações,</w:t>
      </w:r>
    </w:p>
    <w:p w14:paraId="20FE1A66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Acordo de Bruxelas, de 27 de fevereiro de 2023, e o Acordo de Ohrid, de 18 de março de 2023, bem como o respetivo anexo de aplicação,</w:t>
      </w:r>
    </w:p>
    <w:p w14:paraId="4F477BF1" w14:textId="77777777" w:rsidR="00841F3C" w:rsidRPr="008E6381" w:rsidRDefault="004551E5" w:rsidP="00841F3C">
      <w:pPr>
        <w:pStyle w:val="NormalHanging12a"/>
      </w:pPr>
      <w:r w:rsidRPr="008E6381">
        <w:lastRenderedPageBreak/>
        <w:t>–</w:t>
      </w:r>
      <w:r w:rsidRPr="008E6381">
        <w:tab/>
        <w:t>Tendo em conta a presença e o mandato contínuos da Força da OTAN no Kosovo (KFOR), que continua a contribuir para um ambiente seguro e protegido e a liberdade de circulação no Kosovo,</w:t>
      </w:r>
    </w:p>
    <w:p w14:paraId="046AB1EF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a Decisão (PESC) 2025/1161 do Conselho, de 5 de junho de 2025, que altera a Ação Comum 2008/124/PESC sobre a Missão da União Europeia para o Estado de Direito no Kosovo, EULEX Kosovo</w:t>
      </w:r>
      <w:r w:rsidRPr="008E6381">
        <w:rPr>
          <w:rStyle w:val="FootnoteReference"/>
        </w:rPr>
        <w:footnoteReference w:id="6"/>
      </w:r>
      <w:r w:rsidRPr="008E6381">
        <w:t>, que prorrogou a duração do mandato da missão até 14 de junho de 2027,</w:t>
      </w:r>
    </w:p>
    <w:p w14:paraId="0C38C816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relatório final da Missão de Observação Eleitoral da União Europeia sobre as eleições legislativas realizadas no Kosovo em 2025,</w:t>
      </w:r>
    </w:p>
    <w:p w14:paraId="7960B88C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as suas anteriores resoluções sobre o Kosovo,</w:t>
      </w:r>
    </w:p>
    <w:p w14:paraId="0E94DAC8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 xml:space="preserve">Tendo em conta as recomendações conjuntas adotadas na 12.ª reunião da Comissão Parlamentar de Estabilização e de Associação UE-Kosovo, realizada em 9 de dezembro de 2024, </w:t>
      </w:r>
    </w:p>
    <w:p w14:paraId="7F99F14F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Índice de Perceção da Corrupção de 2025 da Transparência Internacional,</w:t>
      </w:r>
    </w:p>
    <w:p w14:paraId="4FCB6EEA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Índice Mundial da Liberdade de Imprensa de 2025 dos Repórteres Sem Fronteiras,</w:t>
      </w:r>
    </w:p>
    <w:p w14:paraId="4A6AF3BA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artigo 55.º do seu Regimento,</w:t>
      </w:r>
    </w:p>
    <w:p w14:paraId="041515EB" w14:textId="77777777" w:rsidR="00841F3C" w:rsidRPr="008E6381" w:rsidRDefault="004551E5" w:rsidP="00841F3C">
      <w:pPr>
        <w:pStyle w:val="NormalHanging12a"/>
      </w:pPr>
      <w:r w:rsidRPr="008E6381">
        <w:t>–</w:t>
      </w:r>
      <w:r w:rsidRPr="008E6381">
        <w:tab/>
        <w:t>Tendo em conta o relatório da Comissão dos Assuntos Externos (A10</w:t>
      </w:r>
      <w:r w:rsidRPr="008E6381">
        <w:noBreakHyphen/>
        <w:t xml:space="preserve">0000/2026), </w:t>
      </w:r>
    </w:p>
    <w:p w14:paraId="37F688B3" w14:textId="77777777" w:rsidR="007F78FF" w:rsidRPr="008E6381" w:rsidRDefault="004551E5" w:rsidP="007F78FF">
      <w:pPr>
        <w:pStyle w:val="NormalHanging12a"/>
      </w:pPr>
      <w:bookmarkStart w:id="1" w:name="_Hlk222084676"/>
      <w:r w:rsidRPr="008E6381">
        <w:t>A.</w:t>
      </w:r>
      <w:r w:rsidRPr="008E6381">
        <w:tab/>
        <w:t>Considerando que a política de alargamento é um dos instrumentos de política externa da UE mais eficazes e que representa um investimento geoestratégico na paz, democracia, estabilidade e segurança a longo prazo em todo o continente;</w:t>
      </w:r>
    </w:p>
    <w:p w14:paraId="07E71AF0" w14:textId="77777777" w:rsidR="007F78FF" w:rsidRPr="008E6381" w:rsidRDefault="004551E5" w:rsidP="007F78FF">
      <w:pPr>
        <w:pStyle w:val="NormalHanging12a"/>
      </w:pPr>
      <w:r w:rsidRPr="008E6381">
        <w:t>B.</w:t>
      </w:r>
      <w:r w:rsidRPr="008E6381">
        <w:tab/>
        <w:t>Considerando que a democracia, os direitos humanos e o Estado de direito são os valores fundamentais em que a UE se alicerça;</w:t>
      </w:r>
    </w:p>
    <w:p w14:paraId="48012FD8" w14:textId="77777777" w:rsidR="007F78FF" w:rsidRPr="008E6381" w:rsidRDefault="004551E5" w:rsidP="007F78FF">
      <w:pPr>
        <w:pStyle w:val="NormalHanging12a"/>
        <w:rPr>
          <w:b/>
        </w:rPr>
      </w:pPr>
      <w:r w:rsidRPr="008E6381">
        <w:t>C.</w:t>
      </w:r>
      <w:r w:rsidRPr="008E6381">
        <w:tab/>
        <w:t>Considerando que cada país candidato à adesão é avaliado em função do seu mérito próprio; que a execução das reformas necessárias e o cumprimento do conjunto de critérios e valores europeus comuns determinam o calendário e a evolução do processo de adesão;</w:t>
      </w:r>
      <w:r w:rsidRPr="008E6381">
        <w:rPr>
          <w:b/>
        </w:rPr>
        <w:t xml:space="preserve"> </w:t>
      </w:r>
    </w:p>
    <w:p w14:paraId="70955652" w14:textId="77777777" w:rsidR="007F78FF" w:rsidRPr="008E6381" w:rsidRDefault="004551E5" w:rsidP="007F78FF">
      <w:pPr>
        <w:pStyle w:val="NormalHanging12a"/>
      </w:pPr>
      <w:r w:rsidRPr="008E6381">
        <w:t>D.</w:t>
      </w:r>
      <w:r w:rsidRPr="008E6381">
        <w:rPr>
          <w:b/>
        </w:rPr>
        <w:tab/>
      </w:r>
      <w:r w:rsidRPr="008E6381">
        <w:t>Considerando que a trajetória do Kosovo rumo à adesão à UE depende também da normalização das suas relações com a Sérvia;</w:t>
      </w:r>
    </w:p>
    <w:p w14:paraId="2C1D745D" w14:textId="77777777" w:rsidR="007F78FF" w:rsidRPr="008E6381" w:rsidRDefault="004551E5" w:rsidP="007F78FF">
      <w:pPr>
        <w:pStyle w:val="NormalHanging12a"/>
      </w:pPr>
      <w:r w:rsidRPr="008E6381">
        <w:rPr>
          <w:b/>
          <w:i/>
        </w:rPr>
        <w:t>Empenho a favor da adesão à UE</w:t>
      </w:r>
    </w:p>
    <w:p w14:paraId="0105CEE8" w14:textId="77777777" w:rsidR="007F78FF" w:rsidRPr="008E6381" w:rsidRDefault="004551E5" w:rsidP="007F78FF">
      <w:pPr>
        <w:pStyle w:val="NormalHanging12a"/>
      </w:pPr>
      <w:r w:rsidRPr="008E6381">
        <w:t>1.</w:t>
      </w:r>
      <w:r w:rsidRPr="008E6381">
        <w:tab/>
        <w:t xml:space="preserve">Louva o empenho contínuo do Kosovo na via da adesão à UE, que reflete uma clara escolha geopolítica estratégica e um elevado </w:t>
      </w:r>
      <w:r w:rsidRPr="008E6381">
        <w:t xml:space="preserve">nível de apoio público à trajetória europeia do Kosovo; </w:t>
      </w:r>
    </w:p>
    <w:p w14:paraId="56DF59D2" w14:textId="77777777" w:rsidR="007F78FF" w:rsidRPr="008E6381" w:rsidRDefault="004551E5" w:rsidP="007F78FF">
      <w:pPr>
        <w:pStyle w:val="NormalHanging12a"/>
      </w:pPr>
      <w:r w:rsidRPr="008E6381">
        <w:lastRenderedPageBreak/>
        <w:t>2.</w:t>
      </w:r>
      <w:r w:rsidRPr="008E6381">
        <w:tab/>
        <w:t xml:space="preserve">Reitera a sua firme convicção de que o futuro do Kosovo reside na UE, sobretudo tendo em conta a atual dinâmica geopolítica na região, as mudanças rápidas e profundas na política mundial e a crescente rivalidade com regimes autoritários; </w:t>
      </w:r>
    </w:p>
    <w:p w14:paraId="5185A854" w14:textId="77777777" w:rsidR="007F78FF" w:rsidRPr="008E6381" w:rsidRDefault="004551E5" w:rsidP="007F78FF">
      <w:pPr>
        <w:pStyle w:val="NormalHanging12a"/>
      </w:pPr>
      <w:r w:rsidRPr="008E6381">
        <w:t>3.</w:t>
      </w:r>
      <w:r w:rsidRPr="008E6381">
        <w:tab/>
        <w:t>Saúda a formação da nova Assembleia e do novo Governo do Kosovo, em 12 de fevereiro de 2026, na sequência das eleições legislativas antecipadas realizadas em dezembro de 2025 e após mais de um ano de impasse político; lamenta, contudo, a paralisação processo político durante 2025, que resultou num «ano perdido» para o Kosovo; lamenta igualmente que a Assembleia não tenha elegido um novo presidente dentro do prazo constitucional, empurrando assim o país para novas eleições; toma conhecimento da dissolução d</w:t>
      </w:r>
      <w:r w:rsidRPr="008E6381">
        <w:t xml:space="preserve">a Assembleia por decreto presidencial em 6 de março de 2026; </w:t>
      </w:r>
    </w:p>
    <w:p w14:paraId="0F97780F" w14:textId="77777777" w:rsidR="007F78FF" w:rsidRPr="008E6381" w:rsidRDefault="004551E5" w:rsidP="007F78FF">
      <w:pPr>
        <w:pStyle w:val="NormalHanging12a"/>
      </w:pPr>
      <w:r w:rsidRPr="008E6381">
        <w:t>4.</w:t>
      </w:r>
      <w:r w:rsidRPr="008E6381">
        <w:tab/>
        <w:t>Acolhe favoravelmente, além disso, a ratificação pela Assembleia do Kosovo dos acordos no âmbito do Mecanismo para as Reformas e o Crescimento, em 13 de fevereiro de 2026;</w:t>
      </w:r>
    </w:p>
    <w:p w14:paraId="40E58D3F" w14:textId="77777777" w:rsidR="007F78FF" w:rsidRPr="008E6381" w:rsidRDefault="004551E5" w:rsidP="007F78FF">
      <w:pPr>
        <w:pStyle w:val="NormalHanging12a"/>
      </w:pPr>
      <w:r w:rsidRPr="008E6381">
        <w:t>5.</w:t>
      </w:r>
      <w:r w:rsidRPr="008E6381">
        <w:tab/>
        <w:t xml:space="preserve">Salienta que um alargamento credível exige uma dinâmica de reformas sustentada e insta o Kosovo a avançar mais rapidamente no sentido da execução das reformas relacionadas com a UE, em particular no domínio do Estado de direito e das liberdades fundamentais; destaca a necessidade de redefinir as prioridades das referidas reformas para que o Kosovo retome o bom caminho rumo à adesão à UE; </w:t>
      </w:r>
    </w:p>
    <w:p w14:paraId="416893C3" w14:textId="77777777" w:rsidR="007F78FF" w:rsidRPr="008E6381" w:rsidRDefault="004551E5" w:rsidP="007F78FF">
      <w:pPr>
        <w:pStyle w:val="NormalHanging12a"/>
      </w:pPr>
      <w:r w:rsidRPr="008E6381">
        <w:t>6.</w:t>
      </w:r>
      <w:r w:rsidRPr="008E6381">
        <w:tab/>
        <w:t xml:space="preserve">Apoia o pedido de adesão à UE apresentado pelo Kosovo em dezembro de 2022; insta os cinco Estados-Membros que não o reconhecem a evoluir no sentido do reconhecimento, para que o Kosovo possa avançar em pé de igualdade com os outros candidatos; </w:t>
      </w:r>
    </w:p>
    <w:p w14:paraId="63F96C91" w14:textId="77777777" w:rsidR="007F78FF" w:rsidRPr="008E6381" w:rsidRDefault="004551E5" w:rsidP="007F78FF">
      <w:pPr>
        <w:pStyle w:val="NormalHanging12a"/>
      </w:pPr>
      <w:r w:rsidRPr="008E6381">
        <w:t>7.</w:t>
      </w:r>
      <w:r w:rsidRPr="008E6381">
        <w:tab/>
        <w:t>Reitera o pleno apoio ao pedido de adesão do Kosovo ao Conselho da Europa e ao plano de orientação estratégica do país de aderir ao programa Parceria para a Paz da OTAN;</w:t>
      </w:r>
    </w:p>
    <w:p w14:paraId="72C6D083" w14:textId="77777777" w:rsidR="007F78FF" w:rsidRPr="008E6381" w:rsidRDefault="004551E5" w:rsidP="007F78FF">
      <w:pPr>
        <w:pStyle w:val="NormalHanging12a"/>
      </w:pPr>
      <w:r w:rsidRPr="008E6381">
        <w:t>8.</w:t>
      </w:r>
      <w:r w:rsidRPr="008E6381">
        <w:tab/>
        <w:t>Elogia o alinhamento total e contínuo do Kosovo com a política externa e de segurança comum da UE, nomeadamente a aplicação continuada das medidas restritivas da UE contra a Rússia e a Bielorrússia e a sua condenação clara da guerra de agressão da Rússia contra a Ucrânia;</w:t>
      </w:r>
    </w:p>
    <w:p w14:paraId="503A29A0" w14:textId="77777777" w:rsidR="007F78FF" w:rsidRPr="008E6381" w:rsidRDefault="004551E5" w:rsidP="007F78FF">
      <w:pPr>
        <w:pStyle w:val="NormalHanging12a"/>
      </w:pPr>
      <w:r w:rsidRPr="008E6381">
        <w:t>9.</w:t>
      </w:r>
      <w:r w:rsidRPr="008E6381">
        <w:tab/>
        <w:t>Saúda o levantamento progressivo das medidas da UE contra o Kosovo desde maio de 2025 e solicita o levantamento imediato das medidas restantes, que já não se justificam e continuam a ter consequências negativas na sociedade do Kosovo; assinala que estas consequências são visíveis em toda a sociedade e afetaram particularmente as comunidades locais, as organizações da sociedade civil e as pequenas e médias empresas (PME);</w:t>
      </w:r>
    </w:p>
    <w:p w14:paraId="625BB8AA" w14:textId="77777777" w:rsidR="007F78FF" w:rsidRPr="008E6381" w:rsidRDefault="004551E5" w:rsidP="007F78FF">
      <w:pPr>
        <w:pStyle w:val="NormalHanging12a"/>
        <w:rPr>
          <w:i/>
          <w:iCs/>
        </w:rPr>
      </w:pPr>
      <w:r w:rsidRPr="008E6381">
        <w:rPr>
          <w:b/>
          <w:i/>
        </w:rPr>
        <w:t>Democracia e Estado de direito</w:t>
      </w:r>
    </w:p>
    <w:p w14:paraId="73C82DEB" w14:textId="77777777" w:rsidR="007F78FF" w:rsidRPr="008E6381" w:rsidRDefault="004551E5" w:rsidP="007F78FF">
      <w:pPr>
        <w:pStyle w:val="NormalHanging12a"/>
      </w:pPr>
      <w:r w:rsidRPr="008E6381">
        <w:t>10.</w:t>
      </w:r>
      <w:r w:rsidRPr="008E6381">
        <w:rPr>
          <w:b/>
        </w:rPr>
        <w:tab/>
      </w:r>
      <w:r w:rsidRPr="008E6381">
        <w:t>Acolhe com agrado a avaliação geral positiva da realização de eleições legislativas e locais em 2025, observando que estas decorreram de forma pacífica, competitiva e inclusiva;</w:t>
      </w:r>
    </w:p>
    <w:p w14:paraId="61967A3E" w14:textId="77777777" w:rsidR="007F78FF" w:rsidRPr="008E6381" w:rsidRDefault="004551E5" w:rsidP="007F78FF">
      <w:pPr>
        <w:pStyle w:val="NormalHanging12a"/>
      </w:pPr>
      <w:r w:rsidRPr="008E6381">
        <w:lastRenderedPageBreak/>
        <w:t>11.</w:t>
      </w:r>
      <w:r w:rsidRPr="008E6381">
        <w:tab/>
        <w:t xml:space="preserve">Saúda a </w:t>
      </w:r>
      <w:r w:rsidRPr="008E6381">
        <w:t>participação dos sérvios do Kosovo nas eleições legislativas e locais de 2025 e o facto de os quatro presidentes de câmara sérvios recém-nomeados terem sucedido aos seus antecessores albaneses nos municípios de maioria sérvia;</w:t>
      </w:r>
    </w:p>
    <w:p w14:paraId="64DC8FB0" w14:textId="77777777" w:rsidR="007F78FF" w:rsidRPr="008E6381" w:rsidRDefault="004551E5" w:rsidP="007F78FF">
      <w:pPr>
        <w:pStyle w:val="NormalHanging12a"/>
      </w:pPr>
      <w:r w:rsidRPr="008E6381">
        <w:t>12.</w:t>
      </w:r>
      <w:r w:rsidRPr="008E6381">
        <w:tab/>
        <w:t>Lamenta as tentativas contínuas de politizar instituições independentes, nomeadamente a pressão sobre a Comissão Central de Eleições, e as lacunas de governação da Comissão Independente dos Meios de Comunicação Social;</w:t>
      </w:r>
    </w:p>
    <w:p w14:paraId="7C8133BE" w14:textId="77777777" w:rsidR="007F78FF" w:rsidRPr="008E6381" w:rsidRDefault="004551E5" w:rsidP="007F78FF">
      <w:pPr>
        <w:pStyle w:val="NormalHanging12a"/>
      </w:pPr>
      <w:r w:rsidRPr="008E6381">
        <w:t>13.</w:t>
      </w:r>
      <w:r w:rsidRPr="008E6381">
        <w:tab/>
        <w:t>Continua preocupado com a aplicação limitada da estratégia sobre o Estado de direito e com a execução insuficiente das reformas, com a adesão incompleta ao Conselho da Magistratura do Kosovo e ao Conselho do Ministério Público do Kosovo e com os atrasos na execução das reformas judiciais;</w:t>
      </w:r>
    </w:p>
    <w:p w14:paraId="03AAF3F1" w14:textId="77777777" w:rsidR="007F78FF" w:rsidRPr="008E6381" w:rsidRDefault="004551E5" w:rsidP="007F78FF">
      <w:pPr>
        <w:pStyle w:val="NormalHanging12a"/>
      </w:pPr>
      <w:r w:rsidRPr="008E6381">
        <w:t xml:space="preserve">14. </w:t>
      </w:r>
      <w:r w:rsidRPr="008E6381">
        <w:tab/>
        <w:t xml:space="preserve">Manifesta a sua apreensão com os avanços limitados na luta contra a corrupção em geral; assinala com preocupação a descida do Kosovo no Índice Mundial de Corrupção de 2025, onde ocupa o 76.º lugar num total de 182 países e territórios, três posições abaixo do nível de 2024, o que inverte uma tendência anterior de melhoria gradual; </w:t>
      </w:r>
    </w:p>
    <w:p w14:paraId="505D1807" w14:textId="77777777" w:rsidR="007F78FF" w:rsidRPr="008E6381" w:rsidRDefault="004551E5" w:rsidP="007F78FF">
      <w:pPr>
        <w:pStyle w:val="NormalHanging12a"/>
      </w:pPr>
      <w:r w:rsidRPr="008E6381">
        <w:t>15.</w:t>
      </w:r>
      <w:r w:rsidRPr="008E6381">
        <w:tab/>
        <w:t>Saúda o facto de terem sido logrados alguns progressos na luta contra a criminalidade organizada; solicita a rápida adoção de uma estratégia nacional e de um plano de ação contra a criminalidade organizada;</w:t>
      </w:r>
    </w:p>
    <w:p w14:paraId="1E6F9638" w14:textId="77777777" w:rsidR="007F78FF" w:rsidRPr="008E6381" w:rsidRDefault="004551E5" w:rsidP="007F78FF">
      <w:pPr>
        <w:pStyle w:val="NormalHanging12a"/>
      </w:pPr>
      <w:r w:rsidRPr="008E6381">
        <w:t>16.</w:t>
      </w:r>
      <w:r w:rsidRPr="008E6381">
        <w:tab/>
        <w:t>Louva o papel continuado da EULEX no apoio às autoridades do Kosovo para criar instituições sustentáveis e independentes no domínio do Estado de direito;</w:t>
      </w:r>
    </w:p>
    <w:p w14:paraId="39E2955F" w14:textId="77777777" w:rsidR="007F78FF" w:rsidRPr="008E6381" w:rsidRDefault="004551E5" w:rsidP="007F78FF">
      <w:pPr>
        <w:pStyle w:val="NormalHanging12a"/>
        <w:rPr>
          <w:b/>
          <w:bCs/>
          <w:i/>
          <w:iCs/>
        </w:rPr>
      </w:pPr>
      <w:r w:rsidRPr="008E6381">
        <w:rPr>
          <w:b/>
          <w:i/>
        </w:rPr>
        <w:t>Liberdades fundamentais e direitos humanos</w:t>
      </w:r>
    </w:p>
    <w:p w14:paraId="44892BBD" w14:textId="77777777" w:rsidR="007F78FF" w:rsidRPr="008E6381" w:rsidRDefault="004551E5" w:rsidP="007F78FF">
      <w:pPr>
        <w:pStyle w:val="NormalHanging12a"/>
      </w:pPr>
      <w:r w:rsidRPr="008E6381">
        <w:t>17.</w:t>
      </w:r>
      <w:r w:rsidRPr="008E6381">
        <w:tab/>
        <w:t>Observa que, embora o quadro jurídico e institucional em matéria de direitos humanos esteja, em grande medida, em vigor, a sua aplicação continua a ser insuficiente;</w:t>
      </w:r>
    </w:p>
    <w:p w14:paraId="5D5FBD69" w14:textId="77777777" w:rsidR="007F78FF" w:rsidRPr="008E6381" w:rsidRDefault="004551E5" w:rsidP="007F78FF">
      <w:pPr>
        <w:pStyle w:val="NormalHanging12a"/>
      </w:pPr>
      <w:r w:rsidRPr="008E6381">
        <w:t>18.</w:t>
      </w:r>
      <w:r w:rsidRPr="008E6381">
        <w:tab/>
        <w:t>Salienta a necessidade de reforçar a aplicação da legislação que protege os direitos das pessoas pertencentes a comunidades não maioritárias;</w:t>
      </w:r>
    </w:p>
    <w:p w14:paraId="3CF2577C" w14:textId="77777777" w:rsidR="007F78FF" w:rsidRPr="008E6381" w:rsidRDefault="004551E5" w:rsidP="007F78FF">
      <w:pPr>
        <w:pStyle w:val="NormalHanging12a"/>
      </w:pPr>
      <w:r w:rsidRPr="008E6381">
        <w:t>19.</w:t>
      </w:r>
      <w:r w:rsidRPr="008E6381">
        <w:tab/>
        <w:t>Constata o panorama pluralista dos meios de comunicação social do Kosovo, mas lamenta a falta de progressos na garantia da liberdade de expressão; lamenta que a classificação do Kosovo em matéria de liberdade dos meios de comunicação social tenha descido 24 lugares, para a 99.º posição, no Índice Mundial da Liberdade de Imprensa de 2025;</w:t>
      </w:r>
    </w:p>
    <w:p w14:paraId="381310EE" w14:textId="77777777" w:rsidR="007F78FF" w:rsidRPr="008E6381" w:rsidRDefault="004551E5" w:rsidP="007F78FF">
      <w:pPr>
        <w:pStyle w:val="NormalHanging12a"/>
      </w:pPr>
      <w:r w:rsidRPr="008E6381">
        <w:t>20.</w:t>
      </w:r>
      <w:r w:rsidRPr="008E6381">
        <w:tab/>
        <w:t>Reitera a sua preocupação com os ataques e as ameaças a jornalistas e profissionais dos meios de comunicação social; solicita uma melhor resposta do Ministério Público e o alinhamento da legislação relativa aos meios de comunicação social com o acervo da UE e outras normas internacionais pertinentes;</w:t>
      </w:r>
    </w:p>
    <w:p w14:paraId="4E7D4EFB" w14:textId="77777777" w:rsidR="007F78FF" w:rsidRPr="008E6381" w:rsidRDefault="004551E5" w:rsidP="007F78FF">
      <w:pPr>
        <w:pStyle w:val="NormalHanging12a"/>
      </w:pPr>
      <w:r w:rsidRPr="008E6381">
        <w:t>21.</w:t>
      </w:r>
      <w:r w:rsidRPr="008E6381">
        <w:tab/>
        <w:t xml:space="preserve">Destaca a necessidade de assegurar o financiamento sustentável e a independência do organismo público de radiodifusão; preconiza uma supervisão equilibrada e representativa da Radiotelevisão do Kosovo, o organismo público de radiodifusão do Kosovo; </w:t>
      </w:r>
    </w:p>
    <w:p w14:paraId="384BC8D4" w14:textId="57B7F663" w:rsidR="00100B0F" w:rsidRDefault="004551E5" w:rsidP="007F78FF">
      <w:pPr>
        <w:pStyle w:val="NormalHanging12a"/>
      </w:pPr>
      <w:r w:rsidRPr="008E6381">
        <w:t>22.</w:t>
      </w:r>
      <w:r w:rsidRPr="008E6381">
        <w:tab/>
        <w:t xml:space="preserve">Manifesta a sua preocupação com o aumento da desinformação sobre as tensões </w:t>
      </w:r>
      <w:r w:rsidRPr="008E6381">
        <w:lastRenderedPageBreak/>
        <w:t>interétnicas propagadas por intervenientes estrangeiros, sobretudo durante períodos eleitorais; defende uma resposta institucional reforçada e a melhoria da literacia mediática;</w:t>
      </w:r>
    </w:p>
    <w:p w14:paraId="4E643818" w14:textId="7BB07859" w:rsidR="007F78FF" w:rsidRDefault="004551E5" w:rsidP="001B66DC">
      <w:pPr>
        <w:widowControl/>
        <w:rPr>
          <w:b/>
          <w:i/>
        </w:rPr>
      </w:pPr>
      <w:r w:rsidRPr="008E6381">
        <w:rPr>
          <w:b/>
          <w:i/>
        </w:rPr>
        <w:t>Reconciliação e relações de boa vizinhança</w:t>
      </w:r>
    </w:p>
    <w:p w14:paraId="4846EA6A" w14:textId="77777777" w:rsidR="001B66DC" w:rsidRPr="008E6381" w:rsidRDefault="001B66DC" w:rsidP="001B66DC">
      <w:pPr>
        <w:widowControl/>
        <w:rPr>
          <w:b/>
          <w:bCs/>
          <w:i/>
          <w:iCs/>
        </w:rPr>
      </w:pPr>
    </w:p>
    <w:p w14:paraId="75C8CAB4" w14:textId="77777777" w:rsidR="007F78FF" w:rsidRPr="008E6381" w:rsidRDefault="004551E5" w:rsidP="007F78FF">
      <w:pPr>
        <w:pStyle w:val="NormalHanging12a"/>
      </w:pPr>
      <w:r w:rsidRPr="008E6381">
        <w:t>2</w:t>
      </w:r>
      <w:r w:rsidRPr="008E6381">
        <w:t>3.</w:t>
      </w:r>
      <w:r w:rsidRPr="008E6381">
        <w:tab/>
        <w:t>Recorda que a normalização das relações com a Sérvia e a aplicação dos compromissos assumidos no âmbito do Diálogo Belgrado-Pristina continuam a ser parte integrante da perspetiva europeia do Kosovo;</w:t>
      </w:r>
    </w:p>
    <w:p w14:paraId="3315615D" w14:textId="77777777" w:rsidR="007F78FF" w:rsidRPr="008E6381" w:rsidRDefault="004551E5" w:rsidP="007F78FF">
      <w:pPr>
        <w:pStyle w:val="NormalHanging12a"/>
      </w:pPr>
      <w:r w:rsidRPr="008E6381">
        <w:t>24.</w:t>
      </w:r>
      <w:r w:rsidRPr="008E6381">
        <w:tab/>
        <w:t>Reitera o seu apoio incondicional ao diálogo facilitado pela UE e saúda a prorrogação do mandato de Peter Sørensen enquanto representante especial da UE para o Diálogo Belgrado-Pristina até 29 de fevereiro de 2028;</w:t>
      </w:r>
    </w:p>
    <w:p w14:paraId="5644FDEE" w14:textId="77777777" w:rsidR="007F78FF" w:rsidRPr="008E6381" w:rsidRDefault="004551E5" w:rsidP="007F78FF">
      <w:pPr>
        <w:pStyle w:val="NormalHanging12a"/>
      </w:pPr>
      <w:r w:rsidRPr="008E6381">
        <w:t>25.</w:t>
      </w:r>
      <w:r w:rsidRPr="008E6381">
        <w:tab/>
        <w:t xml:space="preserve">Reitera a importância de as autoridades do Kosovo e da Sérvia cooperarem de modo construtivo tendo em vista a consecução de um acordo de normalização abrangente e juridicamente vinculativo, com base no reconhecimento mútuo e em conformidade com o direito internacional; insta o Kosovo e a Sérvia a aplicarem os Acordos de Bruxelas e de Ohrid, designadamente a criação da associação/comunidade de municípios de maioria sérvia, e o levantamento da oposição da Sérvia à adesão do Kosovo a organizações regionais e </w:t>
      </w:r>
      <w:r w:rsidRPr="008E6381">
        <w:t>internacionais, e a absterem-se de ações unilaterais suscetíveis de comprometer o processo de diálogo;</w:t>
      </w:r>
    </w:p>
    <w:p w14:paraId="2FCE88CD" w14:textId="77777777" w:rsidR="007F78FF" w:rsidRPr="008E6381" w:rsidRDefault="004551E5" w:rsidP="007F78FF">
      <w:pPr>
        <w:pStyle w:val="NormalHanging12a"/>
      </w:pPr>
      <w:r w:rsidRPr="008E6381">
        <w:t>26.</w:t>
      </w:r>
      <w:r w:rsidRPr="008E6381">
        <w:tab/>
        <w:t xml:space="preserve">Espera que o Kosovo e a </w:t>
      </w:r>
      <w:r w:rsidRPr="008E6381">
        <w:t>Sérvia cooperem plenamente e adotem todas as medidas necessárias para levar rapidamente a julgamento os autores dos ataques terroristas perpetrados em 2023 em Banjska; lamenta que a Sérvia ainda não tenha julgado os culpados, em especial Milan Radoičić, vice-presidente da Srpska Lista;</w:t>
      </w:r>
    </w:p>
    <w:p w14:paraId="2162E52F" w14:textId="77777777" w:rsidR="007F78FF" w:rsidRPr="008E6381" w:rsidRDefault="004551E5" w:rsidP="007F78FF">
      <w:pPr>
        <w:pStyle w:val="NormalHanging12a"/>
      </w:pPr>
      <w:r w:rsidRPr="008E6381">
        <w:t>27.</w:t>
      </w:r>
      <w:r w:rsidRPr="008E6381">
        <w:tab/>
        <w:t>Assinala que o destino de até 1 590 pessoas desaparecidas continua por resolver, tendo apenas 26 casos sido resolvidos entre abril de 2024 e setembro de 2025;</w:t>
      </w:r>
    </w:p>
    <w:p w14:paraId="69FF0534" w14:textId="77777777" w:rsidR="007F78FF" w:rsidRPr="008E6381" w:rsidRDefault="004551E5" w:rsidP="007F78FF">
      <w:pPr>
        <w:pStyle w:val="NormalHanging12a"/>
      </w:pPr>
      <w:r w:rsidRPr="008E6381">
        <w:t>28.</w:t>
      </w:r>
      <w:r w:rsidRPr="008E6381">
        <w:tab/>
        <w:t>Reitera a importância da KFOR e louva os seus esforços contínuos para garantir um ambiente seguro e protegido no Kosovo e na região dos Balcãs Ocidentais em geral;</w:t>
      </w:r>
    </w:p>
    <w:p w14:paraId="77778084" w14:textId="77777777" w:rsidR="007F78FF" w:rsidRPr="008E6381" w:rsidRDefault="004551E5" w:rsidP="007F78FF">
      <w:pPr>
        <w:pStyle w:val="NormalHanging12a"/>
        <w:rPr>
          <w:b/>
          <w:i/>
        </w:rPr>
      </w:pPr>
      <w:r w:rsidRPr="008E6381">
        <w:rPr>
          <w:b/>
          <w:i/>
        </w:rPr>
        <w:t>Reformas socioeconómicas</w:t>
      </w:r>
    </w:p>
    <w:p w14:paraId="3E8A45FC" w14:textId="77777777" w:rsidR="007F78FF" w:rsidRPr="008E6381" w:rsidRDefault="004551E5" w:rsidP="007F78FF">
      <w:pPr>
        <w:pStyle w:val="NormalHanging12a"/>
      </w:pPr>
      <w:r w:rsidRPr="008E6381">
        <w:t>29.</w:t>
      </w:r>
      <w:r w:rsidRPr="008E6381">
        <w:tab/>
        <w:t>Constata que o Kosovo está moderadamente preparado nos domínios da política económica e monetária e da competitividade; salienta que o país deve alinhar o seu quadro orçamental pelo acervo da UE e corrigir as fragilidades estruturais, designadamente uma base industrial limitada e um acesso difícil das PME ao financiamento;</w:t>
      </w:r>
    </w:p>
    <w:p w14:paraId="59AB9C1A" w14:textId="77777777" w:rsidR="007F78FF" w:rsidRPr="008E6381" w:rsidRDefault="004551E5" w:rsidP="007F78FF">
      <w:pPr>
        <w:pStyle w:val="NormalHanging12a"/>
      </w:pPr>
      <w:r w:rsidRPr="008E6381">
        <w:t>30.</w:t>
      </w:r>
      <w:r w:rsidRPr="008E6381">
        <w:tab/>
        <w:t>Observa que o Kosovo realizou alguns progressos em matéria de preparação para a transformação digital, nomeadamente a expansão dos serviços em linha e a cobertura 5G; lamenta que apenas 10 % dos serviços públicos sejam atualmente oferecidos em linha e que a digitalização continue a estar fragmentada;</w:t>
      </w:r>
    </w:p>
    <w:p w14:paraId="27907D32" w14:textId="77777777" w:rsidR="007F78FF" w:rsidRPr="008E6381" w:rsidRDefault="004551E5" w:rsidP="007F78FF">
      <w:pPr>
        <w:pStyle w:val="NormalHanging12a"/>
      </w:pPr>
      <w:r w:rsidRPr="008E6381">
        <w:rPr>
          <w:b/>
          <w:i/>
        </w:rPr>
        <w:t>Energia, ambiente, desenvolvimento sustentável e conectividade</w:t>
      </w:r>
    </w:p>
    <w:p w14:paraId="6D1FA248" w14:textId="77777777" w:rsidR="007F78FF" w:rsidRPr="008E6381" w:rsidRDefault="004551E5" w:rsidP="007F78FF">
      <w:pPr>
        <w:pStyle w:val="NormalHanging12a"/>
      </w:pPr>
      <w:r w:rsidRPr="008E6381">
        <w:t>31.</w:t>
      </w:r>
      <w:r w:rsidRPr="008E6381">
        <w:tab/>
        <w:t xml:space="preserve">Assinala que o Kosovo continua a depender fortemente de centrais elétricas a carvão </w:t>
      </w:r>
      <w:r w:rsidRPr="008E6381">
        <w:lastRenderedPageBreak/>
        <w:t>obsoletas e deve acelerar os investimentos em eficiência energética;</w:t>
      </w:r>
    </w:p>
    <w:p w14:paraId="71A18A0E" w14:textId="77777777" w:rsidR="007F78FF" w:rsidRPr="008E6381" w:rsidRDefault="004551E5" w:rsidP="007F78FF">
      <w:pPr>
        <w:pStyle w:val="NormalHanging12a"/>
      </w:pPr>
      <w:r w:rsidRPr="008E6381">
        <w:t>32.</w:t>
      </w:r>
      <w:r w:rsidRPr="008E6381">
        <w:tab/>
        <w:t xml:space="preserve">Incentiva o Kosovo a reforçar a sua capacidade institucional e administrativa para executar projetos estratégicos de infraestruturas e continuar a executar projetos pendentes em matéria de conectividade no domínio dos transportes e da energia; </w:t>
      </w:r>
    </w:p>
    <w:p w14:paraId="5D3A3C7C" w14:textId="77777777" w:rsidR="007F78FF" w:rsidRPr="008E6381" w:rsidRDefault="004551E5" w:rsidP="007F78FF">
      <w:pPr>
        <w:pStyle w:val="NormalHanging12a"/>
      </w:pPr>
      <w:r w:rsidRPr="008E6381">
        <w:t>33.</w:t>
      </w:r>
      <w:r w:rsidRPr="008E6381">
        <w:tab/>
        <w:t>Exorta o Kosovo a garantir a adoção de medidas adequadas para gerir as zonas protegidas, alterar a lei sobre a gestão de resíduos e aplicar a lei relativa às alterações climáticas;</w:t>
      </w:r>
    </w:p>
    <w:p w14:paraId="1E2F5590" w14:textId="77777777" w:rsidR="004C2F1F" w:rsidRPr="008E6381" w:rsidRDefault="004551E5" w:rsidP="004C2F1F">
      <w:pPr>
        <w:pStyle w:val="NormalHanging12a"/>
        <w:jc w:val="center"/>
      </w:pPr>
      <w:r w:rsidRPr="008E6381">
        <w:t>°</w:t>
      </w:r>
    </w:p>
    <w:p w14:paraId="18F23A19" w14:textId="77777777" w:rsidR="004C2F1F" w:rsidRPr="008E6381" w:rsidRDefault="004551E5" w:rsidP="008C3DB1">
      <w:pPr>
        <w:pStyle w:val="NormalHanging12a"/>
        <w:jc w:val="center"/>
      </w:pPr>
      <w:r w:rsidRPr="008E6381">
        <w:t>°</w:t>
      </w:r>
      <w:r w:rsidRPr="008E6381">
        <w:tab/>
        <w:t>°</w:t>
      </w:r>
    </w:p>
    <w:p w14:paraId="1FABA12F" w14:textId="77777777" w:rsidR="007F78FF" w:rsidRPr="008E6381" w:rsidRDefault="004551E5" w:rsidP="007F78FF">
      <w:pPr>
        <w:pStyle w:val="NormalHanging12a"/>
      </w:pPr>
      <w:r w:rsidRPr="008E6381">
        <w:t>34.</w:t>
      </w:r>
      <w:r w:rsidRPr="008E6381">
        <w:tab/>
        <w:t>Encarrega a sua Presidente de transmitir a presente resolução ao Presidente do Conselho Europeu, à Comissão, à Vice-Presidente da Comissão/Alta Representante da União para os Negócios Estrangeiros e a Política de Segurança, aos governos e parlamentos dos Estados-Membros e à Presidente, ao Governo e à Assembleia Nacional do Kosov</w:t>
      </w:r>
      <w:bookmarkEnd w:id="1"/>
      <w:r w:rsidRPr="008E6381">
        <w:t>o.</w:t>
      </w:r>
    </w:p>
    <w:p w14:paraId="16534239" w14:textId="77777777" w:rsidR="009F2F39" w:rsidRPr="008E6381" w:rsidRDefault="009F2F39" w:rsidP="007F78FF">
      <w:pPr>
        <w:pStyle w:val="NormalHanging12a"/>
      </w:pPr>
    </w:p>
    <w:p w14:paraId="13203663" w14:textId="77777777" w:rsidR="00276B35" w:rsidRPr="008E6381" w:rsidRDefault="00276B35" w:rsidP="00F3651F">
      <w:pPr>
        <w:sectPr w:rsidR="00276B35" w:rsidRPr="008E6381" w:rsidSect="008E638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55D337D9" w14:textId="13DBDB6C" w:rsidR="00276B35" w:rsidRPr="008E6381" w:rsidRDefault="004551E5" w:rsidP="00276B35">
      <w:pPr>
        <w:pStyle w:val="PageHeading"/>
      </w:pPr>
      <w:bookmarkStart w:id="2" w:name="_Toc224725303"/>
      <w:r w:rsidRPr="008E6381">
        <w:lastRenderedPageBreak/>
        <w:t>EXPOSIÇÃO DE MOTIVOS</w:t>
      </w:r>
      <w:bookmarkEnd w:id="2"/>
    </w:p>
    <w:p w14:paraId="23126F67" w14:textId="77777777" w:rsidR="009F2F39" w:rsidRPr="008E6381" w:rsidRDefault="004551E5" w:rsidP="009F2F39">
      <w:pPr>
        <w:pStyle w:val="Normal12a"/>
        <w:jc w:val="both"/>
      </w:pPr>
      <w:r w:rsidRPr="008E6381">
        <w:t xml:space="preserve">O Parlamento Europeu acompanha de perto a </w:t>
      </w:r>
      <w:r w:rsidRPr="008E6381">
        <w:t xml:space="preserve">evolução política e socioeconómica do Kosovo. Pretendemos, com o presente relatório, apresentar a avaliação do Parlamento sobre a situação no Kosovo e, juntamente com o relatório intercalar de 2025 da Comissão Europeia, também a avaliação política do Parlamento sobre o período em análise no Kosovo. Em suma, 2025 deve ser considerado um ano perdido para o Kosovo, uma vez que, após as eleições ordinárias para a Assembleia Nacional em fevereiro, não puderam entrar em funcionamento nem um órgão legislativo nem </w:t>
      </w:r>
      <w:r w:rsidRPr="008E6381">
        <w:t>um governo. Embora as três eleições que tiveram lugar no Kosovo em 2025 (duas legislativas e uma local) tenham decorrido de forma pacífica e ordeira, o processo político normal foi fortemente perturbado. Consequentemente, várias reformas políticas e económicas foram afetadas e não foi possível executar o Plano de Crescimento para os Balcãs Ocidentais.</w:t>
      </w:r>
    </w:p>
    <w:p w14:paraId="154887A8" w14:textId="77777777" w:rsidR="009F2F39" w:rsidRPr="008E6381" w:rsidRDefault="004551E5" w:rsidP="009F2F39">
      <w:pPr>
        <w:pStyle w:val="Normal12a"/>
        <w:jc w:val="both"/>
      </w:pPr>
      <w:r w:rsidRPr="008E6381">
        <w:t>Conforme realçado em relatórios anteriores do Parlamento Europeu, o Kosovo realizou progressos notáveis em matéria de reformas eleitorais, resiliência económica e proteção dos direitos fundamentais. No entanto, subsistem desafios nos domínios da reforma judicial, da liberdade dos meios de comunicação social, da eficiência da administração pública e da digitalização dos serviços públicos. Para que o Kosovo avance na via da integração europeia, é essencial que o país continue empenhado em levar a cabo reforma</w:t>
      </w:r>
      <w:r w:rsidRPr="008E6381">
        <w:t>s abrangentes e uma governação inclusiva.</w:t>
      </w:r>
    </w:p>
    <w:p w14:paraId="1A88E537" w14:textId="553A28E2" w:rsidR="009F2F39" w:rsidRPr="008E6381" w:rsidRDefault="004551E5" w:rsidP="009F2F39">
      <w:pPr>
        <w:pStyle w:val="Normal12a"/>
        <w:jc w:val="both"/>
      </w:pPr>
      <w:r w:rsidRPr="008E6381">
        <w:t xml:space="preserve">Vários dos desafios enfrentados pelo Kosovo são problemas herdados do passado, cuja resolução exige a participação de toda a região no processo mais vasto de integração na União Europeia. Lamentavelmente, o diálogo Pristina-Belgrado, iniciado para encontrar um compromisso aceitável para as partes envolvidas, não produziu os resultados esperados. O diálogo esteve basicamente suspenso durante 2025. Tal deveu-se igualmente ao facto de o Kosovo carecer de um governo com mandato e autoridade e de as negociações </w:t>
      </w:r>
      <w:r w:rsidRPr="008E6381">
        <w:t>sob esta forma não terem futuro. A Comissão Europeia, bem como o Parlamento Europeu e os Estados</w:t>
      </w:r>
      <w:r w:rsidR="00100B0F">
        <w:noBreakHyphen/>
      </w:r>
      <w:r w:rsidRPr="008E6381">
        <w:t>Membros, devem fazer todos os possíveis para que o Diálogo Pristina-Belgrado continue com um vigor renovado. A prorrogação do mandato do representante especial, Peter Sørensen, até fevereiro de 2028 é, por conseguinte, muito bem-vinda.</w:t>
      </w:r>
    </w:p>
    <w:p w14:paraId="10CE36C4" w14:textId="77777777" w:rsidR="009F2F39" w:rsidRPr="008E6381" w:rsidRDefault="004551E5" w:rsidP="009F2F39">
      <w:pPr>
        <w:pStyle w:val="Normal12a"/>
        <w:jc w:val="both"/>
      </w:pPr>
      <w:r w:rsidRPr="008E6381">
        <w:t>O alargamento da União Europeia tem sido uma das histórias de sucesso mais importantes da UE e deve prosseguir. O objetivo geopolítico mais vasto do alargamento consiste em eliminar as chamadas zonas cinzentas do mapa da Europa. As alterações significativas ocorridas no contexto da guerra de agressão da Rússia contra a Ucrânia devem reforçar a prontidão da União Europeia para enfrentar a concorrência de intervenientes mundiais autoritários. Tanto a Rússia como a China demonstraram que têm interesses muito c</w:t>
      </w:r>
      <w:r w:rsidRPr="008E6381">
        <w:t>laros nos Balcãs Ocidentais.</w:t>
      </w:r>
    </w:p>
    <w:p w14:paraId="20FB7534" w14:textId="77777777" w:rsidR="00100B0F" w:rsidRDefault="004551E5" w:rsidP="009F2F39">
      <w:pPr>
        <w:pStyle w:val="Normal12a"/>
        <w:jc w:val="both"/>
      </w:pPr>
      <w:r w:rsidRPr="008E6381">
        <w:t>A integração europeia do Kosovo é um processo bidirecional. Para que o Kosovo leve a cabo as reformas necessárias, é necessária a assistência da União Europeia. A liberalização dos vistos reforçou ainda mais os contactos interpessoais e a perspetiva europeia dos cidadãos do Kosovo. Contudo, as medidas punitivas introduzidas em 2023 tiveram um impacto muito negativo nos progressos do Kosovo rumo à Europa. Embora as medidas da UE tenham começado gradualmente a ser atenuadas, os seus efeitos na sociedade conti</w:t>
      </w:r>
      <w:r w:rsidRPr="008E6381">
        <w:t xml:space="preserve">nuam a ser muito preocupantes. Várias organizações da sociedade civil, minorias nacionais e pequenas e médias empresas, que receberam um apoio operacional significativo de programas da UE, são especialmente afetadas pelas medidas. As medidas podem também repercutir-se negativamente na credibilidade da </w:t>
      </w:r>
    </w:p>
    <w:p w14:paraId="5217B121" w14:textId="62DCAA45" w:rsidR="009F2F39" w:rsidRPr="008E6381" w:rsidRDefault="004551E5" w:rsidP="009F2F39">
      <w:pPr>
        <w:pStyle w:val="Normal12a"/>
        <w:jc w:val="both"/>
      </w:pPr>
      <w:r w:rsidRPr="008E6381">
        <w:lastRenderedPageBreak/>
        <w:t>União Europeia entre a população do Kosovo. Embora o apoio à União Europeia tenha permanecido muito elevado, ainda existe o risco de poder vir a diminuir como consequência das medidas.</w:t>
      </w:r>
    </w:p>
    <w:p w14:paraId="71F3141B" w14:textId="72258829" w:rsidR="004861E1" w:rsidRPr="008E6381" w:rsidRDefault="004551E5" w:rsidP="004861E1">
      <w:pPr>
        <w:pStyle w:val="Normal12a"/>
        <w:jc w:val="both"/>
      </w:pPr>
      <w:r w:rsidRPr="008E6381">
        <w:t xml:space="preserve">Com o presente relatório, o relator pretende apresentar uma visão de conjunto e uma avaliação do Parlamento Europeu sobre as realizações e os desafios mais importantes que o Kosovo enfrenta atualmente e num futuro próximo. É certo que o presente relatório não pode abarcar todos os domínios e desafios problemáticos. Um dos pré-requisitos importantes para a elaboração do presente relatório foi a oportunidade visitar o Kosovo durante uma missão de recolha de informações e de realizar reuniões com organizações </w:t>
      </w:r>
      <w:r w:rsidRPr="008E6381">
        <w:t>da sociedade civil, representantes das minorias nacionais e representantes empresariais, entre outros.</w:t>
      </w:r>
    </w:p>
    <w:sectPr w:rsidR="004861E1" w:rsidRPr="008E6381" w:rsidSect="004861E1">
      <w:footnotePr>
        <w:numRestart w:val="eachSect"/>
      </w:footnotePr>
      <w:endnotePr>
        <w:numFmt w:val="decimal"/>
      </w:endnotePr>
      <w:pgSz w:w="11906" w:h="16838" w:code="9"/>
      <w:pgMar w:top="0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C74A4" w14:textId="77777777" w:rsidR="004551E5" w:rsidRPr="008E6381" w:rsidRDefault="004551E5">
      <w:r w:rsidRPr="008E6381">
        <w:separator/>
      </w:r>
    </w:p>
  </w:endnote>
  <w:endnote w:type="continuationSeparator" w:id="0">
    <w:p w14:paraId="1683B434" w14:textId="77777777" w:rsidR="004551E5" w:rsidRPr="008E6381" w:rsidRDefault="004551E5">
      <w:r w:rsidRPr="008E63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D52FC" w14:textId="77777777" w:rsidR="008E6381" w:rsidRPr="008E6381" w:rsidRDefault="008E6381" w:rsidP="008E6381">
    <w:pPr>
      <w:pStyle w:val="EPFooter"/>
    </w:pPr>
    <w:r w:rsidRPr="008E6381">
      <w:t>PE</w:t>
    </w:r>
    <w:r w:rsidRPr="008E6381">
      <w:rPr>
        <w:rStyle w:val="HideTWBExt"/>
      </w:rPr>
      <w:t>&lt;NoPE&gt;</w:t>
    </w:r>
    <w:r w:rsidRPr="008E6381">
      <w:t>784.231</w:t>
    </w:r>
    <w:r w:rsidRPr="008E6381">
      <w:rPr>
        <w:rStyle w:val="HideTWBExt"/>
      </w:rPr>
      <w:t>&lt;/NoPE&gt;&lt;Version&gt;</w:t>
    </w:r>
    <w:r w:rsidRPr="008E6381">
      <w:t>v01-00</w:t>
    </w:r>
    <w:r w:rsidRPr="008E6381">
      <w:rPr>
        <w:rStyle w:val="HideTWBExt"/>
      </w:rPr>
      <w:t>&lt;/Version&gt;</w:t>
    </w:r>
    <w:r w:rsidRPr="008E6381">
      <w:tab/>
    </w:r>
    <w:r w:rsidRPr="008E6381">
      <w:fldChar w:fldCharType="begin"/>
    </w:r>
    <w:r w:rsidRPr="008E6381">
      <w:instrText xml:space="preserve"> PAGE  \* MERGEFORMAT </w:instrText>
    </w:r>
    <w:r w:rsidRPr="008E6381">
      <w:fldChar w:fldCharType="separate"/>
    </w:r>
    <w:r w:rsidRPr="008E6381">
      <w:rPr>
        <w:noProof/>
      </w:rPr>
      <w:t>2</w:t>
    </w:r>
    <w:r w:rsidRPr="008E6381">
      <w:fldChar w:fldCharType="end"/>
    </w:r>
    <w:r w:rsidRPr="008E6381">
      <w:t>/</w:t>
    </w:r>
    <w:fldSimple w:instr=" NUMPAGES  \* MERGEFORMAT ">
      <w:r w:rsidRPr="008E6381">
        <w:rPr>
          <w:noProof/>
        </w:rPr>
        <w:t>11</w:t>
      </w:r>
    </w:fldSimple>
    <w:r w:rsidRPr="008E6381">
      <w:tab/>
    </w:r>
    <w:r w:rsidRPr="008E6381">
      <w:rPr>
        <w:rStyle w:val="HideTWBExt"/>
      </w:rPr>
      <w:t>&lt;PathFdR&gt;</w:t>
    </w:r>
    <w:r w:rsidRPr="008E6381">
      <w:t>PR\1336581PT.docx</w:t>
    </w:r>
    <w:r w:rsidRPr="008E6381">
      <w:rPr>
        <w:rStyle w:val="HideTWBExt"/>
      </w:rPr>
      <w:t>&lt;/PathFdR&gt;</w:t>
    </w:r>
  </w:p>
  <w:p w14:paraId="15254859" w14:textId="028795E6" w:rsidR="00100069" w:rsidRPr="008E6381" w:rsidRDefault="008E6381" w:rsidP="008E6381">
    <w:pPr>
      <w:pStyle w:val="EPFooter2"/>
    </w:pPr>
    <w:r w:rsidRPr="008E6381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FAD4C" w14:textId="77777777" w:rsidR="008E6381" w:rsidRPr="008E6381" w:rsidRDefault="008E6381" w:rsidP="008E6381">
    <w:pPr>
      <w:pStyle w:val="EPFooter"/>
    </w:pPr>
    <w:r w:rsidRPr="008E6381">
      <w:rPr>
        <w:rStyle w:val="HideTWBExt"/>
      </w:rPr>
      <w:t>&lt;PathFdR&gt;</w:t>
    </w:r>
    <w:r w:rsidRPr="008E6381">
      <w:t>PR\1336581PT.docx</w:t>
    </w:r>
    <w:r w:rsidRPr="008E6381">
      <w:rPr>
        <w:rStyle w:val="HideTWBExt"/>
      </w:rPr>
      <w:t>&lt;/PathFdR&gt;</w:t>
    </w:r>
    <w:r w:rsidRPr="008E6381">
      <w:tab/>
    </w:r>
    <w:r w:rsidRPr="008E6381">
      <w:fldChar w:fldCharType="begin"/>
    </w:r>
    <w:r w:rsidRPr="008E6381">
      <w:instrText xml:space="preserve"> PAGE  \* MERGEFORMAT </w:instrText>
    </w:r>
    <w:r w:rsidRPr="008E6381">
      <w:fldChar w:fldCharType="separate"/>
    </w:r>
    <w:r w:rsidRPr="008E6381">
      <w:rPr>
        <w:noProof/>
      </w:rPr>
      <w:t>11</w:t>
    </w:r>
    <w:r w:rsidRPr="008E6381">
      <w:fldChar w:fldCharType="end"/>
    </w:r>
    <w:r w:rsidRPr="008E6381">
      <w:t>/</w:t>
    </w:r>
    <w:fldSimple w:instr=" NUMPAGES  \* MERGEFORMAT ">
      <w:r w:rsidRPr="008E6381">
        <w:rPr>
          <w:noProof/>
        </w:rPr>
        <w:t>11</w:t>
      </w:r>
    </w:fldSimple>
    <w:r w:rsidRPr="008E6381">
      <w:tab/>
      <w:t>PE</w:t>
    </w:r>
    <w:r w:rsidRPr="008E6381">
      <w:rPr>
        <w:rStyle w:val="HideTWBExt"/>
      </w:rPr>
      <w:t>&lt;NoPE&gt;</w:t>
    </w:r>
    <w:r w:rsidRPr="008E6381">
      <w:t>784.231</w:t>
    </w:r>
    <w:r w:rsidRPr="008E6381">
      <w:rPr>
        <w:rStyle w:val="HideTWBExt"/>
      </w:rPr>
      <w:t>&lt;/NoPE&gt;&lt;Version&gt;</w:t>
    </w:r>
    <w:r w:rsidRPr="008E6381">
      <w:t>v01-00</w:t>
    </w:r>
    <w:r w:rsidRPr="008E6381">
      <w:rPr>
        <w:rStyle w:val="HideTWBExt"/>
      </w:rPr>
      <w:t>&lt;/Version&gt;</w:t>
    </w:r>
  </w:p>
  <w:p w14:paraId="0E802092" w14:textId="4F389443" w:rsidR="00100069" w:rsidRPr="008E6381" w:rsidRDefault="008E6381" w:rsidP="008E6381">
    <w:pPr>
      <w:pStyle w:val="EPFooter2"/>
    </w:pPr>
    <w:r w:rsidRPr="008E6381">
      <w:tab/>
    </w:r>
    <w:r w:rsidRPr="008E6381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6A0BF" w14:textId="77777777" w:rsidR="008E6381" w:rsidRPr="008E6381" w:rsidRDefault="008E6381" w:rsidP="008E6381">
    <w:pPr>
      <w:pStyle w:val="EPFooter"/>
    </w:pPr>
    <w:r w:rsidRPr="008E6381">
      <w:rPr>
        <w:rStyle w:val="HideTWBExt"/>
      </w:rPr>
      <w:t>&lt;PathFdR&gt;</w:t>
    </w:r>
    <w:r w:rsidRPr="008E6381">
      <w:t>PR\1336581PT.docx</w:t>
    </w:r>
    <w:r w:rsidRPr="008E6381">
      <w:rPr>
        <w:rStyle w:val="HideTWBExt"/>
      </w:rPr>
      <w:t>&lt;/PathFdR&gt;</w:t>
    </w:r>
    <w:r w:rsidRPr="008E6381">
      <w:tab/>
    </w:r>
    <w:r w:rsidRPr="008E6381">
      <w:tab/>
      <w:t>PE</w:t>
    </w:r>
    <w:r w:rsidRPr="008E6381">
      <w:rPr>
        <w:rStyle w:val="HideTWBExt"/>
      </w:rPr>
      <w:t>&lt;NoPE&gt;</w:t>
    </w:r>
    <w:r w:rsidRPr="008E6381">
      <w:t>784.231</w:t>
    </w:r>
    <w:r w:rsidRPr="008E6381">
      <w:rPr>
        <w:rStyle w:val="HideTWBExt"/>
      </w:rPr>
      <w:t>&lt;/NoPE&gt;&lt;Version&gt;</w:t>
    </w:r>
    <w:r w:rsidRPr="008E6381">
      <w:t>v01-00</w:t>
    </w:r>
    <w:r w:rsidRPr="008E6381">
      <w:rPr>
        <w:rStyle w:val="HideTWBExt"/>
      </w:rPr>
      <w:t>&lt;/Version&gt;</w:t>
    </w:r>
  </w:p>
  <w:p w14:paraId="2310A0B4" w14:textId="6C2CF073" w:rsidR="00100069" w:rsidRPr="008E6381" w:rsidRDefault="008E6381" w:rsidP="008E6381">
    <w:pPr>
      <w:pStyle w:val="EPFooter2"/>
    </w:pPr>
    <w:r w:rsidRPr="008E6381">
      <w:t>PT</w:t>
    </w:r>
    <w:r w:rsidRPr="008E6381">
      <w:tab/>
    </w:r>
    <w:r w:rsidRPr="008E6381">
      <w:rPr>
        <w:b w:val="0"/>
        <w:i/>
        <w:color w:val="C0C0C0"/>
        <w:sz w:val="22"/>
      </w:rPr>
      <w:t>Unida na diversidade</w:t>
    </w:r>
    <w:r w:rsidRPr="008E6381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A496C" w14:textId="77777777" w:rsidR="00AA5FFA" w:rsidRPr="008E6381" w:rsidRDefault="004551E5">
      <w:r w:rsidRPr="008E6381">
        <w:separator/>
      </w:r>
    </w:p>
  </w:footnote>
  <w:footnote w:type="continuationSeparator" w:id="0">
    <w:p w14:paraId="63664296" w14:textId="77777777" w:rsidR="00AA5FFA" w:rsidRPr="008E6381" w:rsidRDefault="004551E5">
      <w:r w:rsidRPr="008E6381">
        <w:continuationSeparator/>
      </w:r>
    </w:p>
  </w:footnote>
  <w:footnote w:id="1">
    <w:p w14:paraId="3A544179" w14:textId="54F3AB38" w:rsidR="00841F3C" w:rsidRPr="008E6381" w:rsidRDefault="004551E5" w:rsidP="00841F3C">
      <w:pPr>
        <w:pStyle w:val="FootnoteText"/>
        <w:ind w:left="567" w:hanging="567"/>
        <w:rPr>
          <w:u w:val="single" w:color="0000FF"/>
        </w:rPr>
      </w:pPr>
      <w:r w:rsidRPr="008E6381">
        <w:rPr>
          <w:rStyle w:val="FootnoteReference"/>
        </w:rPr>
        <w:footnoteRef/>
      </w:r>
      <w:r w:rsidRPr="008E6381">
        <w:t xml:space="preserve"> JO L 71 de 16.3.2016, p. 3, ELI: </w:t>
      </w:r>
      <w:hyperlink r:id="rId1" w:history="1">
        <w:r w:rsidRPr="008E6381">
          <w:rPr>
            <w:rStyle w:val="Hyperlink"/>
          </w:rPr>
          <w:t>http://data.europa.eu/eli/agree_internation/2016/342/oj</w:t>
        </w:r>
      </w:hyperlink>
      <w:r w:rsidRPr="008E6381">
        <w:t>.</w:t>
      </w:r>
    </w:p>
  </w:footnote>
  <w:footnote w:id="2">
    <w:p w14:paraId="4D6086BD" w14:textId="48D44B9F" w:rsidR="00841F3C" w:rsidRPr="008E6381" w:rsidRDefault="004551E5" w:rsidP="00841F3C">
      <w:pPr>
        <w:pStyle w:val="FootnoteText"/>
        <w:ind w:left="567" w:hanging="567"/>
        <w:rPr>
          <w:u w:val="single" w:color="0000FF"/>
        </w:rPr>
      </w:pPr>
      <w:r w:rsidRPr="008E6381">
        <w:rPr>
          <w:rStyle w:val="FootnoteReference"/>
        </w:rPr>
        <w:footnoteRef/>
      </w:r>
      <w:r w:rsidRPr="008E6381">
        <w:t xml:space="preserve"> JO L 195 de 27.7.2017, p. 3, ELI: </w:t>
      </w:r>
      <w:hyperlink r:id="rId2" w:history="1">
        <w:r w:rsidRPr="008E6381">
          <w:rPr>
            <w:rStyle w:val="Hyperlink"/>
          </w:rPr>
          <w:t>http://data.europa.eu/eli/agree_internation/2017/1388/oj</w:t>
        </w:r>
      </w:hyperlink>
      <w:r w:rsidRPr="008E6381">
        <w:t>.</w:t>
      </w:r>
    </w:p>
  </w:footnote>
  <w:footnote w:id="3">
    <w:p w14:paraId="0B1DDAF4" w14:textId="49DC0E7A" w:rsidR="00841F3C" w:rsidRPr="008E6381" w:rsidRDefault="004551E5" w:rsidP="00841F3C">
      <w:pPr>
        <w:pStyle w:val="FootnoteText"/>
        <w:ind w:left="567" w:hanging="567"/>
        <w:rPr>
          <w:u w:val="single" w:color="0000FF"/>
        </w:rPr>
      </w:pPr>
      <w:r w:rsidRPr="008E6381">
        <w:rPr>
          <w:rStyle w:val="FootnoteReference"/>
        </w:rPr>
        <w:footnoteRef/>
      </w:r>
      <w:r w:rsidRPr="008E6381">
        <w:t xml:space="preserve"> JO L 330 de 20.9.2021, p. 1, ELI: </w:t>
      </w:r>
      <w:hyperlink r:id="rId3" w:history="1">
        <w:r w:rsidRPr="008E6381">
          <w:rPr>
            <w:rStyle w:val="Hyperlink"/>
          </w:rPr>
          <w:t>http://data.europa.eu/eli/reg/2021/1529/oj</w:t>
        </w:r>
      </w:hyperlink>
      <w:r w:rsidRPr="008E6381">
        <w:t>.</w:t>
      </w:r>
    </w:p>
  </w:footnote>
  <w:footnote w:id="4">
    <w:p w14:paraId="13657166" w14:textId="7B0F889D" w:rsidR="00073C51" w:rsidRPr="008E6381" w:rsidRDefault="004551E5">
      <w:pPr>
        <w:pStyle w:val="FootnoteText"/>
      </w:pPr>
      <w:r w:rsidRPr="008E6381">
        <w:rPr>
          <w:rStyle w:val="FootnoteReference"/>
        </w:rPr>
        <w:footnoteRef/>
      </w:r>
      <w:r w:rsidRPr="008E6381">
        <w:t xml:space="preserve"> JO L 110 de 25.4.2023, p. 1, ELI: </w:t>
      </w:r>
      <w:hyperlink r:id="rId4" w:tooltip="Permite aceder ao documento através do seu identificador ELI." w:history="1">
        <w:r w:rsidRPr="008E6381">
          <w:rPr>
            <w:rStyle w:val="Hyperlink"/>
          </w:rPr>
          <w:t>http://data.europa.eu/eli/reg/2023/850/oj</w:t>
        </w:r>
      </w:hyperlink>
      <w:r w:rsidRPr="008E6381">
        <w:t>.</w:t>
      </w:r>
    </w:p>
  </w:footnote>
  <w:footnote w:id="5">
    <w:p w14:paraId="35BC16B8" w14:textId="7243C5CD" w:rsidR="00841F3C" w:rsidRPr="008E6381" w:rsidRDefault="004551E5" w:rsidP="00841F3C">
      <w:pPr>
        <w:pStyle w:val="FootnoteText"/>
        <w:ind w:left="567" w:hanging="567"/>
      </w:pPr>
      <w:r w:rsidRPr="008E6381">
        <w:rPr>
          <w:rStyle w:val="FootnoteReference"/>
        </w:rPr>
        <w:footnoteRef/>
      </w:r>
      <w:r w:rsidRPr="008E6381">
        <w:t xml:space="preserve"> JO L, 2024/1449, 24.5.2024, </w:t>
      </w:r>
      <w:r w:rsidRPr="008E6381">
        <w:rPr>
          <w:color w:val="333333"/>
          <w:shd w:val="clear" w:color="auto" w:fill="FFFFFF"/>
        </w:rPr>
        <w:t>ELI: </w:t>
      </w:r>
      <w:hyperlink r:id="rId5" w:tooltip="Permite aceder ao documento através do seu identificador ELI." w:history="1">
        <w:r w:rsidRPr="008E6381">
          <w:rPr>
            <w:rStyle w:val="Hyperlink"/>
            <w:color w:val="337AB7"/>
            <w:shd w:val="clear" w:color="auto" w:fill="FFFFFF"/>
          </w:rPr>
          <w:t>http://data.europa.eu/eli/reg/2024/1449/oj</w:t>
        </w:r>
      </w:hyperlink>
      <w:r w:rsidRPr="008E6381">
        <w:t>.</w:t>
      </w:r>
    </w:p>
  </w:footnote>
  <w:footnote w:id="6">
    <w:p w14:paraId="0BC06152" w14:textId="2FA67EB3" w:rsidR="006C1C9B" w:rsidRPr="008E6381" w:rsidRDefault="004551E5">
      <w:pPr>
        <w:pStyle w:val="FootnoteText"/>
      </w:pPr>
      <w:r w:rsidRPr="008E6381">
        <w:rPr>
          <w:rStyle w:val="FootnoteReference"/>
        </w:rPr>
        <w:footnoteRef/>
      </w:r>
      <w:r w:rsidRPr="008E6381">
        <w:t xml:space="preserve"> JO L, 2025/1161, 6.6.2025, ELI: </w:t>
      </w:r>
      <w:hyperlink r:id="rId6" w:tgtFrame="_blank" w:tooltip="Permite aceder ao documento através do seu identificador ELI." w:history="1">
        <w:r w:rsidRPr="008E6381">
          <w:rPr>
            <w:rStyle w:val="Hyperlink"/>
          </w:rPr>
          <w:t>http://data.europa.eu/eli/dec/2025/1161/oj</w:t>
        </w:r>
      </w:hyperlink>
      <w:r w:rsidRPr="008E638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44D5A" w14:textId="77777777" w:rsidR="00100B0F" w:rsidRDefault="00100B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55E9C" w14:textId="77777777" w:rsidR="00100B0F" w:rsidRDefault="00100B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28F53" w14:textId="77777777" w:rsidR="00100B0F" w:rsidRDefault="00100B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65F7061"/>
    <w:multiLevelType w:val="hybridMultilevel"/>
    <w:tmpl w:val="B2201016"/>
    <w:lvl w:ilvl="0" w:tplc="5F4EB3D4">
      <w:start w:val="64"/>
      <w:numFmt w:val="bullet"/>
      <w:lvlText w:val="–"/>
      <w:lvlJc w:val="left"/>
      <w:pPr>
        <w:ind w:left="6586" w:hanging="360"/>
      </w:pPr>
      <w:rPr>
        <w:rFonts w:ascii="Times New Roman" w:eastAsia="Times New Roman" w:hAnsi="Times New Roman" w:cs="Times New Roman" w:hint="default"/>
      </w:rPr>
    </w:lvl>
    <w:lvl w:ilvl="1" w:tplc="4BC08034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2" w:tplc="AAF06CA0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  <w:lvl w:ilvl="3" w:tplc="9FF85770">
      <w:start w:val="1"/>
      <w:numFmt w:val="bullet"/>
      <w:lvlText w:val=""/>
      <w:lvlJc w:val="left"/>
      <w:pPr>
        <w:ind w:left="8746" w:hanging="360"/>
      </w:pPr>
      <w:rPr>
        <w:rFonts w:ascii="Symbol" w:hAnsi="Symbol" w:hint="default"/>
      </w:rPr>
    </w:lvl>
    <w:lvl w:ilvl="4" w:tplc="CD3CEE16">
      <w:start w:val="1"/>
      <w:numFmt w:val="bullet"/>
      <w:lvlText w:val="o"/>
      <w:lvlJc w:val="left"/>
      <w:pPr>
        <w:ind w:left="9466" w:hanging="360"/>
      </w:pPr>
      <w:rPr>
        <w:rFonts w:ascii="Courier New" w:hAnsi="Courier New" w:cs="Courier New" w:hint="default"/>
      </w:rPr>
    </w:lvl>
    <w:lvl w:ilvl="5" w:tplc="7BD4E8FA">
      <w:start w:val="1"/>
      <w:numFmt w:val="bullet"/>
      <w:lvlText w:val=""/>
      <w:lvlJc w:val="left"/>
      <w:pPr>
        <w:ind w:left="10186" w:hanging="360"/>
      </w:pPr>
      <w:rPr>
        <w:rFonts w:ascii="Wingdings" w:hAnsi="Wingdings" w:hint="default"/>
      </w:rPr>
    </w:lvl>
    <w:lvl w:ilvl="6" w:tplc="6562F4A4">
      <w:start w:val="1"/>
      <w:numFmt w:val="bullet"/>
      <w:lvlText w:val=""/>
      <w:lvlJc w:val="left"/>
      <w:pPr>
        <w:ind w:left="10906" w:hanging="360"/>
      </w:pPr>
      <w:rPr>
        <w:rFonts w:ascii="Symbol" w:hAnsi="Symbol" w:hint="default"/>
      </w:rPr>
    </w:lvl>
    <w:lvl w:ilvl="7" w:tplc="012C7238">
      <w:start w:val="1"/>
      <w:numFmt w:val="bullet"/>
      <w:lvlText w:val="o"/>
      <w:lvlJc w:val="left"/>
      <w:pPr>
        <w:ind w:left="11626" w:hanging="360"/>
      </w:pPr>
      <w:rPr>
        <w:rFonts w:ascii="Courier New" w:hAnsi="Courier New" w:cs="Courier New" w:hint="default"/>
      </w:rPr>
    </w:lvl>
    <w:lvl w:ilvl="8" w:tplc="306050E0">
      <w:start w:val="1"/>
      <w:numFmt w:val="bullet"/>
      <w:lvlText w:val=""/>
      <w:lvlJc w:val="left"/>
      <w:pPr>
        <w:ind w:left="12346" w:hanging="360"/>
      </w:pPr>
      <w:rPr>
        <w:rFonts w:ascii="Wingdings" w:hAnsi="Wingdings" w:hint="default"/>
      </w:rPr>
    </w:lvl>
  </w:abstractNum>
  <w:abstractNum w:abstractNumId="11" w15:restartNumberingAfterBreak="0">
    <w:nsid w:val="4729239E"/>
    <w:multiLevelType w:val="hybridMultilevel"/>
    <w:tmpl w:val="44E6B4E8"/>
    <w:lvl w:ilvl="0" w:tplc="05EC9BC6">
      <w:start w:val="42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A01E2E5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6A01A3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5FAFFB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DF613B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57448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6D86D5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3080C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6C269C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2318922">
    <w:abstractNumId w:val="9"/>
  </w:num>
  <w:num w:numId="2" w16cid:durableId="1314720264">
    <w:abstractNumId w:val="9"/>
  </w:num>
  <w:num w:numId="3" w16cid:durableId="1277560404">
    <w:abstractNumId w:val="7"/>
  </w:num>
  <w:num w:numId="4" w16cid:durableId="917405357">
    <w:abstractNumId w:val="7"/>
  </w:num>
  <w:num w:numId="5" w16cid:durableId="2070761757">
    <w:abstractNumId w:val="6"/>
  </w:num>
  <w:num w:numId="6" w16cid:durableId="1185364906">
    <w:abstractNumId w:val="6"/>
  </w:num>
  <w:num w:numId="7" w16cid:durableId="2060861003">
    <w:abstractNumId w:val="5"/>
  </w:num>
  <w:num w:numId="8" w16cid:durableId="1164587069">
    <w:abstractNumId w:val="5"/>
  </w:num>
  <w:num w:numId="9" w16cid:durableId="2130586006">
    <w:abstractNumId w:val="4"/>
  </w:num>
  <w:num w:numId="10" w16cid:durableId="1746222398">
    <w:abstractNumId w:val="4"/>
  </w:num>
  <w:num w:numId="11" w16cid:durableId="1889410568">
    <w:abstractNumId w:val="8"/>
  </w:num>
  <w:num w:numId="12" w16cid:durableId="1574583377">
    <w:abstractNumId w:val="8"/>
  </w:num>
  <w:num w:numId="13" w16cid:durableId="755369154">
    <w:abstractNumId w:val="3"/>
  </w:num>
  <w:num w:numId="14" w16cid:durableId="870843763">
    <w:abstractNumId w:val="3"/>
  </w:num>
  <w:num w:numId="15" w16cid:durableId="117069609">
    <w:abstractNumId w:val="2"/>
  </w:num>
  <w:num w:numId="16" w16cid:durableId="179977969">
    <w:abstractNumId w:val="2"/>
  </w:num>
  <w:num w:numId="17" w16cid:durableId="1519809369">
    <w:abstractNumId w:val="1"/>
  </w:num>
  <w:num w:numId="18" w16cid:durableId="441148316">
    <w:abstractNumId w:val="1"/>
  </w:num>
  <w:num w:numId="19" w16cid:durableId="402066687">
    <w:abstractNumId w:val="0"/>
  </w:num>
  <w:num w:numId="20" w16cid:durableId="689768998">
    <w:abstractNumId w:val="0"/>
  </w:num>
  <w:num w:numId="21" w16cid:durableId="1211452594">
    <w:abstractNumId w:val="9"/>
  </w:num>
  <w:num w:numId="22" w16cid:durableId="513030430">
    <w:abstractNumId w:val="7"/>
  </w:num>
  <w:num w:numId="23" w16cid:durableId="68698398">
    <w:abstractNumId w:val="6"/>
  </w:num>
  <w:num w:numId="24" w16cid:durableId="784928956">
    <w:abstractNumId w:val="5"/>
  </w:num>
  <w:num w:numId="25" w16cid:durableId="1923293848">
    <w:abstractNumId w:val="4"/>
  </w:num>
  <w:num w:numId="26" w16cid:durableId="1138759994">
    <w:abstractNumId w:val="8"/>
  </w:num>
  <w:num w:numId="27" w16cid:durableId="1978220977">
    <w:abstractNumId w:val="3"/>
  </w:num>
  <w:num w:numId="28" w16cid:durableId="605116844">
    <w:abstractNumId w:val="2"/>
  </w:num>
  <w:num w:numId="29" w16cid:durableId="69815083">
    <w:abstractNumId w:val="1"/>
  </w:num>
  <w:num w:numId="30" w16cid:durableId="1793359436">
    <w:abstractNumId w:val="0"/>
  </w:num>
  <w:num w:numId="31" w16cid:durableId="70667841">
    <w:abstractNumId w:val="9"/>
  </w:num>
  <w:num w:numId="32" w16cid:durableId="1079403450">
    <w:abstractNumId w:val="7"/>
  </w:num>
  <w:num w:numId="33" w16cid:durableId="1345014690">
    <w:abstractNumId w:val="6"/>
  </w:num>
  <w:num w:numId="34" w16cid:durableId="433399623">
    <w:abstractNumId w:val="5"/>
  </w:num>
  <w:num w:numId="35" w16cid:durableId="1385376282">
    <w:abstractNumId w:val="4"/>
  </w:num>
  <w:num w:numId="36" w16cid:durableId="775059620">
    <w:abstractNumId w:val="8"/>
  </w:num>
  <w:num w:numId="37" w16cid:durableId="666901053">
    <w:abstractNumId w:val="3"/>
  </w:num>
  <w:num w:numId="38" w16cid:durableId="1534073700">
    <w:abstractNumId w:val="2"/>
  </w:num>
  <w:num w:numId="39" w16cid:durableId="442771555">
    <w:abstractNumId w:val="1"/>
  </w:num>
  <w:num w:numId="40" w16cid:durableId="1496727773">
    <w:abstractNumId w:val="0"/>
  </w:num>
  <w:num w:numId="41" w16cid:durableId="1852376436">
    <w:abstractNumId w:val="11"/>
  </w:num>
  <w:num w:numId="42" w16cid:durableId="1388837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PMNU" w:val=" 1"/>
    <w:docVar w:name="COMKEY" w:val="AFET"/>
    <w:docVar w:name="CONTRIBUTIONMNU" w:val=" 1"/>
    <w:docVar w:name="DOCDT" w:val="04/03/2026"/>
    <w:docVar w:name="LastEditedSection" w:val=" 1"/>
    <w:docVar w:name="MOTIONMNU" w:val=" 3"/>
    <w:docVar w:name="NVAR1" w:val="0"/>
    <w:docVar w:name="RULEMNU" w:val=" 1"/>
    <w:docVar w:name="strDocTypeID" w:val="PR_INI"/>
    <w:docVar w:name="strSubDir" w:val="1336"/>
    <w:docVar w:name="TITLEMNU" w:val=" 1"/>
    <w:docVar w:name="TXTAUTHOR" w:val="Riho Terras"/>
    <w:docVar w:name="TXTLANGUE" w:val="EN"/>
    <w:docVar w:name="TXTLANGUEMIN" w:val="en"/>
    <w:docVar w:name="TXTNRINI" w:val="2025/2252"/>
    <w:docVar w:name="TXTNRPE" w:val="784.231"/>
    <w:docVar w:name="TXTPEorAP" w:val="PE"/>
    <w:docVar w:name="TXTROUTE" w:val="PR\1336581EN.docx"/>
    <w:docVar w:name="TXTTITLE" w:val="the 2025 Commission report on Kosovo"/>
    <w:docVar w:name="TXTVERSION" w:val="01-00"/>
  </w:docVars>
  <w:rsids>
    <w:rsidRoot w:val="00AA5FFA"/>
    <w:rsid w:val="0000399E"/>
    <w:rsid w:val="00040EAC"/>
    <w:rsid w:val="0004565F"/>
    <w:rsid w:val="00071DB7"/>
    <w:rsid w:val="00073C51"/>
    <w:rsid w:val="0007541B"/>
    <w:rsid w:val="00082B37"/>
    <w:rsid w:val="000A7B14"/>
    <w:rsid w:val="000C3013"/>
    <w:rsid w:val="000D0F3D"/>
    <w:rsid w:val="000D1B71"/>
    <w:rsid w:val="000D2631"/>
    <w:rsid w:val="000F32B6"/>
    <w:rsid w:val="000F7836"/>
    <w:rsid w:val="00100069"/>
    <w:rsid w:val="00100B0F"/>
    <w:rsid w:val="001046B1"/>
    <w:rsid w:val="00105C44"/>
    <w:rsid w:val="0011099D"/>
    <w:rsid w:val="001138EF"/>
    <w:rsid w:val="00136CCC"/>
    <w:rsid w:val="00151335"/>
    <w:rsid w:val="001929E2"/>
    <w:rsid w:val="001B207D"/>
    <w:rsid w:val="001B61CF"/>
    <w:rsid w:val="001B66DC"/>
    <w:rsid w:val="001D2F17"/>
    <w:rsid w:val="001D656B"/>
    <w:rsid w:val="00204B85"/>
    <w:rsid w:val="00220E6A"/>
    <w:rsid w:val="0023245A"/>
    <w:rsid w:val="002544DF"/>
    <w:rsid w:val="00276B35"/>
    <w:rsid w:val="003043BB"/>
    <w:rsid w:val="00310DA8"/>
    <w:rsid w:val="00335F69"/>
    <w:rsid w:val="00343273"/>
    <w:rsid w:val="00386AEC"/>
    <w:rsid w:val="00395A66"/>
    <w:rsid w:val="003E4507"/>
    <w:rsid w:val="003E6413"/>
    <w:rsid w:val="003F7731"/>
    <w:rsid w:val="004016B4"/>
    <w:rsid w:val="00412063"/>
    <w:rsid w:val="004200B3"/>
    <w:rsid w:val="00427897"/>
    <w:rsid w:val="0043010F"/>
    <w:rsid w:val="00431E3D"/>
    <w:rsid w:val="00432B50"/>
    <w:rsid w:val="00452253"/>
    <w:rsid w:val="00455003"/>
    <w:rsid w:val="004551E5"/>
    <w:rsid w:val="00466A1A"/>
    <w:rsid w:val="004861E1"/>
    <w:rsid w:val="00497991"/>
    <w:rsid w:val="004B2373"/>
    <w:rsid w:val="004C2F1F"/>
    <w:rsid w:val="004C3337"/>
    <w:rsid w:val="005107FE"/>
    <w:rsid w:val="00514A18"/>
    <w:rsid w:val="005178FF"/>
    <w:rsid w:val="00524D00"/>
    <w:rsid w:val="005305DF"/>
    <w:rsid w:val="00531F4C"/>
    <w:rsid w:val="00533B4F"/>
    <w:rsid w:val="00540EDD"/>
    <w:rsid w:val="00584A07"/>
    <w:rsid w:val="00604F5A"/>
    <w:rsid w:val="00610335"/>
    <w:rsid w:val="006272CD"/>
    <w:rsid w:val="0066097A"/>
    <w:rsid w:val="006C1C9B"/>
    <w:rsid w:val="00703983"/>
    <w:rsid w:val="00705D44"/>
    <w:rsid w:val="00726C82"/>
    <w:rsid w:val="007351EF"/>
    <w:rsid w:val="00766983"/>
    <w:rsid w:val="00770DA1"/>
    <w:rsid w:val="007963C6"/>
    <w:rsid w:val="007B03C3"/>
    <w:rsid w:val="007B1819"/>
    <w:rsid w:val="007D0588"/>
    <w:rsid w:val="007D0E0F"/>
    <w:rsid w:val="007F78FF"/>
    <w:rsid w:val="008016E7"/>
    <w:rsid w:val="00841F3C"/>
    <w:rsid w:val="00865656"/>
    <w:rsid w:val="00872D48"/>
    <w:rsid w:val="008C1DE6"/>
    <w:rsid w:val="008C3DB1"/>
    <w:rsid w:val="008C4C65"/>
    <w:rsid w:val="008D6DE8"/>
    <w:rsid w:val="008E6381"/>
    <w:rsid w:val="008F0051"/>
    <w:rsid w:val="0090583E"/>
    <w:rsid w:val="00913BEE"/>
    <w:rsid w:val="00915566"/>
    <w:rsid w:val="00920240"/>
    <w:rsid w:val="0095536F"/>
    <w:rsid w:val="00956282"/>
    <w:rsid w:val="00972CEF"/>
    <w:rsid w:val="00996AC6"/>
    <w:rsid w:val="009971EF"/>
    <w:rsid w:val="009C6D01"/>
    <w:rsid w:val="009E1CE7"/>
    <w:rsid w:val="009E4ABB"/>
    <w:rsid w:val="009F2F39"/>
    <w:rsid w:val="00A13986"/>
    <w:rsid w:val="00A24C7F"/>
    <w:rsid w:val="00A45202"/>
    <w:rsid w:val="00A77A54"/>
    <w:rsid w:val="00AA5FFA"/>
    <w:rsid w:val="00AE1119"/>
    <w:rsid w:val="00AF310F"/>
    <w:rsid w:val="00B065EF"/>
    <w:rsid w:val="00B17532"/>
    <w:rsid w:val="00B215B4"/>
    <w:rsid w:val="00B6383B"/>
    <w:rsid w:val="00B82965"/>
    <w:rsid w:val="00BA2A57"/>
    <w:rsid w:val="00BA5076"/>
    <w:rsid w:val="00BB70F1"/>
    <w:rsid w:val="00BC7C60"/>
    <w:rsid w:val="00BE7879"/>
    <w:rsid w:val="00C00074"/>
    <w:rsid w:val="00C21C5F"/>
    <w:rsid w:val="00C55A76"/>
    <w:rsid w:val="00C65A58"/>
    <w:rsid w:val="00C67F7D"/>
    <w:rsid w:val="00C812C6"/>
    <w:rsid w:val="00C85D0F"/>
    <w:rsid w:val="00C93A60"/>
    <w:rsid w:val="00CD3E8A"/>
    <w:rsid w:val="00CE0F04"/>
    <w:rsid w:val="00D216B5"/>
    <w:rsid w:val="00D22498"/>
    <w:rsid w:val="00D31D25"/>
    <w:rsid w:val="00D47BB0"/>
    <w:rsid w:val="00DB4680"/>
    <w:rsid w:val="00DD013B"/>
    <w:rsid w:val="00DD2916"/>
    <w:rsid w:val="00DD324A"/>
    <w:rsid w:val="00DD7B9D"/>
    <w:rsid w:val="00DE1839"/>
    <w:rsid w:val="00DF1F83"/>
    <w:rsid w:val="00DF5D22"/>
    <w:rsid w:val="00E155CA"/>
    <w:rsid w:val="00E3537C"/>
    <w:rsid w:val="00E44E27"/>
    <w:rsid w:val="00E55B36"/>
    <w:rsid w:val="00E567AC"/>
    <w:rsid w:val="00E61690"/>
    <w:rsid w:val="00EA7AA9"/>
    <w:rsid w:val="00EB299A"/>
    <w:rsid w:val="00EC31F3"/>
    <w:rsid w:val="00EE5A4A"/>
    <w:rsid w:val="00EF7B8A"/>
    <w:rsid w:val="00F076A5"/>
    <w:rsid w:val="00F3651F"/>
    <w:rsid w:val="00F36B7B"/>
    <w:rsid w:val="00F66F60"/>
    <w:rsid w:val="00F714A9"/>
    <w:rsid w:val="00F853B5"/>
    <w:rsid w:val="00FC4AC1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1DFAC"/>
  <w15:chartTrackingRefBased/>
  <w15:docId w15:val="{07533703-884A-4B7B-8C0A-3E6817B7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rsid w:val="00841F3C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customStyle="1" w:styleId="Normal12a">
    <w:name w:val="Normal12a"/>
    <w:basedOn w:val="Normal"/>
    <w:rsid w:val="00276B35"/>
    <w:pPr>
      <w:spacing w:after="240"/>
    </w:pPr>
  </w:style>
  <w:style w:type="paragraph" w:customStyle="1" w:styleId="CoverNormal12a">
    <w:name w:val="CoverNormal12a"/>
    <w:basedOn w:val="Normal"/>
    <w:rsid w:val="00C21C5F"/>
    <w:pPr>
      <w:spacing w:after="240"/>
      <w:ind w:left="1418"/>
    </w:pPr>
  </w:style>
  <w:style w:type="paragraph" w:customStyle="1" w:styleId="Normal24a">
    <w:name w:val="Normal24a"/>
    <w:basedOn w:val="Normal"/>
    <w:rsid w:val="00220E6A"/>
    <w:pPr>
      <w:spacing w:after="480"/>
    </w:pPr>
  </w:style>
  <w:style w:type="paragraph" w:customStyle="1" w:styleId="NormalBoldCenter">
    <w:name w:val="NormalBoldCenter"/>
    <w:basedOn w:val="Normal"/>
    <w:rsid w:val="00220E6A"/>
    <w:pPr>
      <w:jc w:val="center"/>
    </w:pPr>
    <w:rPr>
      <w:b/>
    </w:rPr>
  </w:style>
  <w:style w:type="paragraph" w:customStyle="1" w:styleId="Footprint12b">
    <w:name w:val="Footprint12b"/>
    <w:basedOn w:val="Normal"/>
    <w:rsid w:val="00220E6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20E6A"/>
    <w:rPr>
      <w:szCs w:val="24"/>
    </w:rPr>
  </w:style>
  <w:style w:type="paragraph" w:styleId="FootnoteText">
    <w:name w:val="footnote text"/>
    <w:basedOn w:val="Normal"/>
    <w:link w:val="FootnoteTextChar"/>
    <w:uiPriority w:val="99"/>
    <w:rsid w:val="00220E6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20E6A"/>
  </w:style>
  <w:style w:type="character" w:styleId="FootnoteReference">
    <w:name w:val="footnote reference"/>
    <w:basedOn w:val="DefaultParagraphFont"/>
    <w:rsid w:val="00220E6A"/>
    <w:rPr>
      <w:vertAlign w:val="superscript"/>
    </w:rPr>
  </w:style>
  <w:style w:type="character" w:styleId="Hyperlink">
    <w:name w:val="Hyperlink"/>
    <w:basedOn w:val="DefaultParagraphFont"/>
    <w:rsid w:val="00220E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0E6A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8016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016E7"/>
    <w:rPr>
      <w:sz w:val="24"/>
    </w:rPr>
  </w:style>
  <w:style w:type="paragraph" w:styleId="Revision">
    <w:name w:val="Revision"/>
    <w:hidden/>
    <w:uiPriority w:val="99"/>
    <w:semiHidden/>
    <w:rsid w:val="007351EF"/>
    <w:rPr>
      <w:sz w:val="24"/>
    </w:rPr>
  </w:style>
  <w:style w:type="character" w:styleId="CommentReference">
    <w:name w:val="annotation reference"/>
    <w:basedOn w:val="DefaultParagraphFont"/>
    <w:rsid w:val="007351E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51E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351E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351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351EF"/>
    <w:rPr>
      <w:b/>
      <w:bCs/>
    </w:rPr>
  </w:style>
  <w:style w:type="character" w:styleId="FollowedHyperlink">
    <w:name w:val="FollowedHyperlink"/>
    <w:basedOn w:val="DefaultParagraphFont"/>
    <w:rsid w:val="00C65A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PT/ALL/?uri=CELEX:52024DC014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ur-lex.europa.eu/legal-content/PT/ALL/?uri=CELEX:52023DC069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PT/ALL/?uri=CELEX:52020DC0641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1/1529/oj" TargetMode="External"/><Relationship Id="rId2" Type="http://schemas.openxmlformats.org/officeDocument/2006/relationships/hyperlink" Target="http://data.europa.eu/eli/agree_internation/2017/1388/oj" TargetMode="External"/><Relationship Id="rId1" Type="http://schemas.openxmlformats.org/officeDocument/2006/relationships/hyperlink" Target="http://data.europa.eu/eli/agree_internation/2016/342/oj" TargetMode="External"/><Relationship Id="rId6" Type="http://schemas.openxmlformats.org/officeDocument/2006/relationships/hyperlink" Target="http://data.europa.eu/eli/dec/2025/1161/oj" TargetMode="External"/><Relationship Id="rId5" Type="http://schemas.openxmlformats.org/officeDocument/2006/relationships/hyperlink" Target="http://data.europa.eu/eli/reg/2024/1449/oj" TargetMode="External"/><Relationship Id="rId4" Type="http://schemas.openxmlformats.org/officeDocument/2006/relationships/hyperlink" Target="http://data.europa.eu/eli/reg/2023/85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21B76-C0E0-4977-90A7-C96CB1625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3396</Words>
  <Characters>17829</Characters>
  <Application>Microsoft Office Word</Application>
  <DocSecurity>0</DocSecurity>
  <Lines>330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21096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TENGELIDOU Gesthimani</dc:creator>
  <cp:lastModifiedBy>SILVA Carla Marina</cp:lastModifiedBy>
  <cp:revision>2</cp:revision>
  <cp:lastPrinted>2026-03-09T16:30:00Z</cp:lastPrinted>
  <dcterms:created xsi:type="dcterms:W3CDTF">2026-03-18T10:21:00Z</dcterms:created>
  <dcterms:modified xsi:type="dcterms:W3CDTF">2026-03-18T10:21:00Z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1336581</vt:lpwstr>
  </property>
  <property fmtid="{D5CDD505-2E9C-101B-9397-08002B2CF9AE}" pid="4" name="&lt;Model&gt;">
    <vt:lpwstr>PR_INI</vt:lpwstr>
  </property>
  <property fmtid="{D5CDD505-2E9C-101B-9397-08002B2CF9AE}" pid="5" name="&lt;ModelCod&gt;">
    <vt:lpwstr>\\eiciBRUpr1\pdocep$\DocEP\DOCS\General\PR\PR_NonLeg\INI\PR_INI.dotx(18/02/2025 08:53:03)</vt:lpwstr>
  </property>
  <property fmtid="{D5CDD505-2E9C-101B-9397-08002B2CF9AE}" pid="6" name="&lt;ModelTra&gt;">
    <vt:lpwstr>\\eiciBRUpr1\pdocep$\DocEP\TRANSFIL\EN\PR_INI.EN(18/02/2025 08:54:04)</vt:lpwstr>
  </property>
  <property fmtid="{D5CDD505-2E9C-101B-9397-08002B2CF9AE}" pid="7" name="&lt;Type&gt;">
    <vt:lpwstr>PR</vt:lpwstr>
  </property>
  <property fmtid="{D5CDD505-2E9C-101B-9397-08002B2CF9AE}" pid="8" name="Bookout">
    <vt:lpwstr>OK - 2026/03/18 11:19</vt:lpwstr>
  </property>
  <property fmtid="{D5CDD505-2E9C-101B-9397-08002B2CF9AE}" pid="9" name="Created with">
    <vt:lpwstr>10.2.1 Build [20260110]</vt:lpwstr>
  </property>
  <property fmtid="{D5CDD505-2E9C-101B-9397-08002B2CF9AE}" pid="10" name="FooterPath">
    <vt:lpwstr>PR\1336581PT.docx</vt:lpwstr>
  </property>
  <property fmtid="{D5CDD505-2E9C-101B-9397-08002B2CF9AE}" pid="11" name="LastEdited with">
    <vt:lpwstr>10.2.1 Build [20260301]</vt:lpwstr>
  </property>
  <property fmtid="{D5CDD505-2E9C-101B-9397-08002B2CF9AE}" pid="12" name="PE number">
    <vt:lpwstr>784.231</vt:lpwstr>
  </property>
  <property fmtid="{D5CDD505-2E9C-101B-9397-08002B2CF9AE}" pid="13" name="SDLStudio">
    <vt:lpwstr/>
  </property>
  <property fmtid="{D5CDD505-2E9C-101B-9397-08002B2CF9AE}" pid="14" name="SendToEpades">
    <vt:lpwstr>OK - 2026/03/06 09:19</vt:lpwstr>
  </property>
</Properties>
</file>