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C93A60" w:rsidRPr="004109B0" w14:paraId="4BDF7DAC" w14:textId="77777777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59328B57" w14:textId="522D61D0" w:rsidR="00C93A60" w:rsidRPr="004109B0" w:rsidRDefault="004109B0" w:rsidP="00C85D0F">
            <w:pPr>
              <w:pStyle w:val="EPName"/>
            </w:pPr>
            <w:r>
              <w:t>Evropský parlament</w:t>
            </w:r>
          </w:p>
          <w:p w14:paraId="03187362" w14:textId="12DAB7B8" w:rsidR="00C93A60" w:rsidRPr="006B03D6" w:rsidRDefault="006B03D6" w:rsidP="00C85D0F">
            <w:pPr>
              <w:pStyle w:val="EPTerm"/>
            </w:pPr>
            <w:r>
              <w:t>2024-2029</w:t>
            </w:r>
          </w:p>
        </w:tc>
        <w:tc>
          <w:tcPr>
            <w:tcW w:w="2268" w:type="dxa"/>
            <w:shd w:val="clear" w:color="auto" w:fill="auto"/>
          </w:tcPr>
          <w:p w14:paraId="5C0F23DB" w14:textId="77777777" w:rsidR="00C93A60" w:rsidRPr="004109B0" w:rsidRDefault="00C93A60" w:rsidP="00C85D0F">
            <w:pPr>
              <w:pStyle w:val="EPLogo"/>
            </w:pPr>
            <w:r w:rsidRPr="004109B0">
              <w:rPr>
                <w:noProof/>
                <w:lang w:eastAsia="ja-JP"/>
              </w:rPr>
              <w:drawing>
                <wp:inline distT="0" distB="0" distL="0" distR="0" wp14:anchorId="2821701E" wp14:editId="25D6F94E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7E51CA7" w14:textId="77777777" w:rsidR="00E3537C" w:rsidRPr="004109B0" w:rsidRDefault="00E3537C" w:rsidP="00E3537C">
      <w:pPr>
        <w:pStyle w:val="LineTop"/>
      </w:pPr>
    </w:p>
    <w:p w14:paraId="0B892576" w14:textId="44016C4E" w:rsidR="00E3537C" w:rsidRPr="004109B0" w:rsidRDefault="00E3537C" w:rsidP="00E3537C">
      <w:pPr>
        <w:pStyle w:val="EPBody"/>
      </w:pPr>
      <w:r w:rsidRPr="009061C1">
        <w:rPr>
          <w:rStyle w:val="HideTWBExt"/>
          <w:i w:val="0"/>
          <w:szCs w:val="20"/>
        </w:rPr>
        <w:t>&lt;Commission&gt;</w:t>
      </w:r>
      <w:r w:rsidRPr="009061C1">
        <w:rPr>
          <w:rStyle w:val="HideTWBInt"/>
          <w:i w:val="0"/>
          <w:szCs w:val="20"/>
        </w:rPr>
        <w:t>{AFET}</w:t>
      </w:r>
      <w:r>
        <w:t>Výbor pro zahraniční věci</w:t>
      </w:r>
      <w:r w:rsidRPr="009061C1">
        <w:rPr>
          <w:rStyle w:val="HideTWBExt"/>
          <w:i w:val="0"/>
          <w:szCs w:val="20"/>
        </w:rPr>
        <w:t>&lt;/Commission&gt;</w:t>
      </w:r>
    </w:p>
    <w:p w14:paraId="276EDDD6" w14:textId="77777777" w:rsidR="00E3537C" w:rsidRPr="004109B0" w:rsidRDefault="00E3537C" w:rsidP="00E3537C">
      <w:pPr>
        <w:pStyle w:val="LineBottom"/>
      </w:pPr>
    </w:p>
    <w:p w14:paraId="63411688" w14:textId="679DB71F" w:rsidR="00100069" w:rsidRPr="004109B0" w:rsidRDefault="00100069">
      <w:pPr>
        <w:pStyle w:val="CoverReference"/>
      </w:pPr>
      <w:r w:rsidRPr="009061C1">
        <w:rPr>
          <w:rStyle w:val="HideTWBExt"/>
          <w:b w:val="0"/>
        </w:rPr>
        <w:t>&lt;RefProc&gt;</w:t>
      </w:r>
      <w:r>
        <w:t>2025/2250</w:t>
      </w:r>
      <w:r w:rsidRPr="009061C1">
        <w:rPr>
          <w:rStyle w:val="HideTWBExt"/>
          <w:b w:val="0"/>
        </w:rPr>
        <w:t>&lt;/RefProc&gt;&lt;RefTypeProc&gt;</w:t>
      </w:r>
      <w:r>
        <w:t>(INI)</w:t>
      </w:r>
      <w:r w:rsidRPr="009061C1">
        <w:rPr>
          <w:rStyle w:val="HideTWBExt"/>
          <w:b w:val="0"/>
        </w:rPr>
        <w:t>&lt;/RefTypeProc&gt;</w:t>
      </w:r>
    </w:p>
    <w:p w14:paraId="530A5DA9" w14:textId="09AE7E68" w:rsidR="00100069" w:rsidRPr="004109B0" w:rsidRDefault="00100069">
      <w:pPr>
        <w:pStyle w:val="CoverDate"/>
      </w:pPr>
      <w:r w:rsidRPr="009061C1">
        <w:rPr>
          <w:rStyle w:val="HideTWBExt"/>
        </w:rPr>
        <w:t>&lt;Date&gt;</w:t>
      </w:r>
      <w:r w:rsidRPr="009061C1">
        <w:rPr>
          <w:rStyle w:val="HideTWBInt"/>
        </w:rPr>
        <w:t>{16/02/2026}</w:t>
      </w:r>
      <w:r>
        <w:t>16.2.2026</w:t>
      </w:r>
      <w:r w:rsidRPr="009061C1">
        <w:rPr>
          <w:rStyle w:val="HideTWBExt"/>
        </w:rPr>
        <w:t>&lt;/Date&gt;</w:t>
      </w:r>
    </w:p>
    <w:p w14:paraId="4FB7F8B5" w14:textId="58627F02" w:rsidR="00100069" w:rsidRPr="004109B0" w:rsidRDefault="00100069">
      <w:pPr>
        <w:pStyle w:val="CoverDocType24a"/>
      </w:pPr>
      <w:r w:rsidRPr="009061C1">
        <w:rPr>
          <w:rStyle w:val="HideTWBExt"/>
          <w:b w:val="0"/>
        </w:rPr>
        <w:t>&lt;TitreType&gt;</w:t>
      </w:r>
      <w:r>
        <w:t>NÁVRH ZPRÁVY</w:t>
      </w:r>
      <w:r w:rsidRPr="009061C1">
        <w:rPr>
          <w:rStyle w:val="HideTWBExt"/>
          <w:b w:val="0"/>
        </w:rPr>
        <w:t>&lt;/TitreType&gt;</w:t>
      </w:r>
    </w:p>
    <w:p w14:paraId="5FCD0933" w14:textId="5112C241" w:rsidR="00100069" w:rsidRPr="004109B0" w:rsidRDefault="00100069">
      <w:pPr>
        <w:pStyle w:val="CoverNormal"/>
      </w:pPr>
      <w:r w:rsidRPr="009061C1">
        <w:rPr>
          <w:rStyle w:val="HideTWBExt"/>
        </w:rPr>
        <w:t>&lt;Titre&gt;</w:t>
      </w:r>
      <w:r w:rsidR="008B2288">
        <w:t>o </w:t>
      </w:r>
      <w:r>
        <w:t xml:space="preserve">zprávě Komise </w:t>
      </w:r>
      <w:r w:rsidR="008B2288">
        <w:t>o </w:t>
      </w:r>
      <w:r>
        <w:t>Albánii za rok 2025</w:t>
      </w:r>
      <w:r w:rsidRPr="009061C1">
        <w:rPr>
          <w:rStyle w:val="HideTWBExt"/>
        </w:rPr>
        <w:t>&lt;/Titre&gt;</w:t>
      </w:r>
    </w:p>
    <w:p w14:paraId="57E6D460" w14:textId="79F5E357" w:rsidR="00100069" w:rsidRPr="004109B0" w:rsidRDefault="00100069">
      <w:pPr>
        <w:pStyle w:val="CoverNormal24a"/>
      </w:pPr>
      <w:r w:rsidRPr="009061C1">
        <w:rPr>
          <w:rStyle w:val="HideTWBExt"/>
        </w:rPr>
        <w:t>&lt;DocRef&gt;</w:t>
      </w:r>
      <w:r>
        <w:t>(2025/2250(INI))</w:t>
      </w:r>
      <w:r w:rsidRPr="009061C1">
        <w:rPr>
          <w:rStyle w:val="HideTWBExt"/>
        </w:rPr>
        <w:t>&lt;/DocRef&gt;</w:t>
      </w:r>
    </w:p>
    <w:p w14:paraId="4D6E4176" w14:textId="792D107A" w:rsidR="00100069" w:rsidRPr="004109B0" w:rsidRDefault="00100069">
      <w:pPr>
        <w:pStyle w:val="CoverNormal24a"/>
      </w:pPr>
      <w:r w:rsidRPr="009061C1">
        <w:rPr>
          <w:rStyle w:val="HideTWBExt"/>
        </w:rPr>
        <w:t>&lt;Commission&gt;</w:t>
      </w:r>
      <w:r w:rsidRPr="009061C1">
        <w:rPr>
          <w:rStyle w:val="HideTWBInt"/>
        </w:rPr>
        <w:t>{AFET}</w:t>
      </w:r>
      <w:r>
        <w:t>Výbor pro zahraniční věci</w:t>
      </w:r>
      <w:r w:rsidRPr="009061C1">
        <w:rPr>
          <w:rStyle w:val="HideTWBExt"/>
        </w:rPr>
        <w:t>&lt;/Commission&gt;</w:t>
      </w:r>
    </w:p>
    <w:p w14:paraId="19D23CDD" w14:textId="37A6F661" w:rsidR="00100069" w:rsidRPr="004109B0" w:rsidRDefault="006B03D6">
      <w:pPr>
        <w:pStyle w:val="CoverNormal24a"/>
      </w:pPr>
      <w:r>
        <w:t xml:space="preserve">Zpravodaj: </w:t>
      </w:r>
      <w:r w:rsidRPr="009061C1">
        <w:rPr>
          <w:rStyle w:val="HideTWBExt"/>
        </w:rPr>
        <w:t>&lt;Depute&gt;</w:t>
      </w:r>
      <w:r>
        <w:t xml:space="preserve">Andreas </w:t>
      </w:r>
      <w:proofErr w:type="spellStart"/>
      <w:r>
        <w:t>Schieder</w:t>
      </w:r>
      <w:proofErr w:type="spellEnd"/>
      <w:r w:rsidRPr="009061C1">
        <w:rPr>
          <w:rStyle w:val="HideTWBExt"/>
        </w:rPr>
        <w:t>&lt;/Depute&gt;</w:t>
      </w:r>
    </w:p>
    <w:p w14:paraId="07B39935" w14:textId="0A8ABFE6" w:rsidR="00100069" w:rsidRPr="004109B0" w:rsidRDefault="00100069" w:rsidP="002544DF">
      <w:pPr>
        <w:widowControl/>
        <w:tabs>
          <w:tab w:val="center" w:pos="4677"/>
        </w:tabs>
      </w:pPr>
      <w:r>
        <w:br w:type="page"/>
      </w:r>
      <w:r>
        <w:lastRenderedPageBreak/>
        <w:t>PR_INI</w:t>
      </w:r>
    </w:p>
    <w:p w14:paraId="10092ECB" w14:textId="302CD59C" w:rsidR="00100069" w:rsidRPr="004109B0" w:rsidRDefault="004109B0">
      <w:pPr>
        <w:pStyle w:val="TOCHeading"/>
      </w:pPr>
      <w:r>
        <w:t>OBSAH</w:t>
      </w:r>
    </w:p>
    <w:p w14:paraId="4B54DF7D" w14:textId="2C20C761" w:rsidR="00100069" w:rsidRPr="004109B0" w:rsidRDefault="004109B0">
      <w:pPr>
        <w:pStyle w:val="TOCPage"/>
      </w:pPr>
      <w:r>
        <w:t>Strana</w:t>
      </w:r>
    </w:p>
    <w:p w14:paraId="08D3677E" w14:textId="1AE47F7E" w:rsidR="009061C1" w:rsidRDefault="002544DF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kern w:val="2"/>
          <w:szCs w:val="24"/>
          <w:lang w:val="en-GB"/>
          <w14:ligatures w14:val="standardContextual"/>
        </w:rPr>
      </w:pPr>
      <w:r w:rsidRPr="004109B0">
        <w:rPr>
          <w:b/>
        </w:rPr>
        <w:fldChar w:fldCharType="begin"/>
      </w:r>
      <w:r w:rsidRPr="004109B0">
        <w:rPr>
          <w:b/>
        </w:rPr>
        <w:instrText xml:space="preserve"> TOC \t "PageHeading</w:instrText>
      </w:r>
      <w:r w:rsidR="009061C1">
        <w:rPr>
          <w:b/>
        </w:rPr>
        <w:instrText>;</w:instrText>
      </w:r>
      <w:r w:rsidRPr="004109B0">
        <w:rPr>
          <w:b/>
        </w:rPr>
        <w:instrText xml:space="preserve">1" </w:instrText>
      </w:r>
      <w:r w:rsidRPr="004109B0">
        <w:rPr>
          <w:b/>
        </w:rPr>
        <w:fldChar w:fldCharType="separate"/>
      </w:r>
      <w:r w:rsidR="009061C1">
        <w:rPr>
          <w:noProof/>
        </w:rPr>
        <w:t>NÁVRH USNESENÍ EVROPSKÉHO PARLAMENTU</w:t>
      </w:r>
      <w:r w:rsidR="009061C1">
        <w:rPr>
          <w:noProof/>
        </w:rPr>
        <w:tab/>
      </w:r>
      <w:r w:rsidR="009061C1">
        <w:rPr>
          <w:noProof/>
        </w:rPr>
        <w:fldChar w:fldCharType="begin"/>
      </w:r>
      <w:r w:rsidR="009061C1">
        <w:rPr>
          <w:noProof/>
        </w:rPr>
        <w:instrText xml:space="preserve"> PAGEREF _Toc223420048 \h </w:instrText>
      </w:r>
      <w:r w:rsidR="009061C1">
        <w:rPr>
          <w:noProof/>
        </w:rPr>
      </w:r>
      <w:r w:rsidR="009061C1">
        <w:rPr>
          <w:noProof/>
        </w:rPr>
        <w:fldChar w:fldCharType="separate"/>
      </w:r>
      <w:r w:rsidR="009061C1">
        <w:rPr>
          <w:noProof/>
        </w:rPr>
        <w:t>3</w:t>
      </w:r>
      <w:r w:rsidR="009061C1">
        <w:rPr>
          <w:noProof/>
        </w:rPr>
        <w:fldChar w:fldCharType="end"/>
      </w:r>
    </w:p>
    <w:p w14:paraId="31360AE4" w14:textId="37B84B53" w:rsidR="009061C1" w:rsidRDefault="009061C1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kern w:val="2"/>
          <w:szCs w:val="24"/>
          <w:lang w:val="en-GB"/>
          <w14:ligatures w14:val="standardContextual"/>
        </w:rPr>
      </w:pPr>
      <w:r>
        <w:rPr>
          <w:noProof/>
        </w:rPr>
        <w:t>VYSVĚTLUJÍCÍ PROHLÁŠENÍ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_Toc223420049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14:paraId="014C9690" w14:textId="789226B6" w:rsidR="009061C1" w:rsidRDefault="009061C1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kern w:val="2"/>
          <w:szCs w:val="24"/>
          <w:lang w:val="en-GB"/>
          <w14:ligatures w14:val="standardContextual"/>
        </w:rPr>
      </w:pPr>
      <w:r>
        <w:rPr>
          <w:noProof/>
        </w:rPr>
        <w:t>PŘÍLOHA: ZVEŘEJŇOVÁNÍ PODNĚTŮ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_Toc223420050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14:paraId="433BD97E" w14:textId="7238BB98" w:rsidR="00E155CA" w:rsidRPr="004109B0" w:rsidRDefault="002544DF" w:rsidP="0023245A">
      <w:r w:rsidRPr="004109B0">
        <w:rPr>
          <w:b/>
        </w:rPr>
        <w:fldChar w:fldCharType="end"/>
      </w:r>
    </w:p>
    <w:p w14:paraId="1D39E493" w14:textId="77777777" w:rsidR="006B03D6" w:rsidRPr="004109B0" w:rsidRDefault="00100069" w:rsidP="006B03D6">
      <w:pPr>
        <w:pStyle w:val="PageHeading"/>
      </w:pPr>
      <w:r>
        <w:br w:type="page"/>
      </w:r>
      <w:bookmarkStart w:id="0" w:name="_Toc223420048"/>
      <w:r>
        <w:t>NÁVRH USNESENÍ EVROPSKÉHO PARLAMENTU</w:t>
      </w:r>
      <w:bookmarkEnd w:id="0"/>
    </w:p>
    <w:p w14:paraId="51028DD4" w14:textId="44B195A8" w:rsidR="006B03D6" w:rsidRPr="004109B0" w:rsidRDefault="008B2288" w:rsidP="006B03D6">
      <w:pPr>
        <w:pStyle w:val="NormalBold"/>
      </w:pPr>
      <w:r>
        <w:t>o </w:t>
      </w:r>
      <w:r w:rsidR="006B03D6">
        <w:t xml:space="preserve">zprávě Komise </w:t>
      </w:r>
      <w:r>
        <w:t>o </w:t>
      </w:r>
      <w:r w:rsidR="006B03D6">
        <w:t>Albánii za rok 2025</w:t>
      </w:r>
    </w:p>
    <w:p w14:paraId="6A07E138" w14:textId="77777777" w:rsidR="006B03D6" w:rsidRPr="004109B0" w:rsidRDefault="006B03D6" w:rsidP="006B03D6">
      <w:pPr>
        <w:pStyle w:val="NormalBold"/>
      </w:pPr>
      <w:r>
        <w:t>(2025/2250(INI))</w:t>
      </w:r>
    </w:p>
    <w:p w14:paraId="4B580E10" w14:textId="77777777" w:rsidR="006B03D6" w:rsidRPr="004109B0" w:rsidRDefault="006B03D6" w:rsidP="006B03D6">
      <w:pPr>
        <w:pStyle w:val="EPComma"/>
      </w:pPr>
      <w:r>
        <w:rPr>
          <w:i/>
        </w:rPr>
        <w:t>Evropský parlament</w:t>
      </w:r>
      <w:r>
        <w:t>,</w:t>
      </w:r>
    </w:p>
    <w:p w14:paraId="0C206B29" w14:textId="0E9C4F2C" w:rsidR="006B03D6" w:rsidRPr="00454E1B" w:rsidRDefault="006B03D6" w:rsidP="006B03D6">
      <w:pPr>
        <w:pStyle w:val="NormalHanging12a"/>
      </w:pPr>
      <w:r>
        <w:t>–</w:t>
      </w:r>
      <w:r>
        <w:tab/>
      </w:r>
      <w:r w:rsidR="008B2288">
        <w:t>s </w:t>
      </w:r>
      <w:r>
        <w:t>ohledem na Dohodu o stabilizaci a přidružení mezi Evropskými společenstvími a jejich členskými státy na jedné straně a Albánskou republikou na straně druhé</w:t>
      </w:r>
      <w:r w:rsidRPr="00454E1B">
        <w:rPr>
          <w:vertAlign w:val="superscript"/>
        </w:rPr>
        <w:footnoteReference w:id="1"/>
      </w:r>
      <w:r>
        <w:t>,</w:t>
      </w:r>
    </w:p>
    <w:p w14:paraId="52BBB439" w14:textId="1A315F93" w:rsidR="006B03D6" w:rsidRPr="00454E1B" w:rsidRDefault="006B03D6" w:rsidP="006B03D6">
      <w:pPr>
        <w:pStyle w:val="NormalHanging12a"/>
      </w:pPr>
      <w:r>
        <w:t>–</w:t>
      </w:r>
      <w:r>
        <w:tab/>
      </w:r>
      <w:r w:rsidR="008B2288">
        <w:t>s </w:t>
      </w:r>
      <w:r>
        <w:t>ohledem na žádost Albánie o členství v EU podanou dne 24. dubna 2009,</w:t>
      </w:r>
    </w:p>
    <w:p w14:paraId="05FDCE9E" w14:textId="3AED6004" w:rsidR="006B03D6" w:rsidRPr="00454E1B" w:rsidRDefault="006B03D6" w:rsidP="006B03D6">
      <w:pPr>
        <w:pStyle w:val="NormalHanging12a"/>
      </w:pPr>
      <w:r>
        <w:t>–</w:t>
      </w:r>
      <w:r>
        <w:tab/>
      </w:r>
      <w:r w:rsidR="008B2288">
        <w:t>s </w:t>
      </w:r>
      <w:r>
        <w:t>ohledem na nařízení Evropského parlamentu a Rady (EU) 2021/1529 ze dne 15. září 2021, kterým se zřizuje Nástroj předvstupní pomoci (NPP III)</w:t>
      </w:r>
      <w:r w:rsidRPr="00454E1B">
        <w:rPr>
          <w:vertAlign w:val="superscript"/>
        </w:rPr>
        <w:footnoteReference w:id="2"/>
      </w:r>
      <w:r>
        <w:t>,</w:t>
      </w:r>
    </w:p>
    <w:p w14:paraId="74EC4A0E" w14:textId="316AE732" w:rsidR="006B03D6" w:rsidRPr="00454E1B" w:rsidRDefault="006B03D6" w:rsidP="006B03D6">
      <w:pPr>
        <w:pStyle w:val="NormalHanging12a"/>
      </w:pPr>
      <w:r>
        <w:t>–</w:t>
      </w:r>
      <w:r>
        <w:tab/>
      </w:r>
      <w:r w:rsidR="008B2288">
        <w:t>s </w:t>
      </w:r>
      <w:r>
        <w:t xml:space="preserve">ohledem na nařízení Evropského parlamentu </w:t>
      </w:r>
      <w:r w:rsidR="008B2288">
        <w:t>a </w:t>
      </w:r>
      <w:r>
        <w:t>Rady (EU) 2024/1449 ze dne 14.</w:t>
      </w:r>
      <w:r w:rsidR="008B2288">
        <w:t> </w:t>
      </w:r>
      <w:r>
        <w:t xml:space="preserve">května 2024 </w:t>
      </w:r>
      <w:r w:rsidR="008B2288">
        <w:t>o </w:t>
      </w:r>
      <w:r>
        <w:t xml:space="preserve">zřízení nástroje pro reformy </w:t>
      </w:r>
      <w:r w:rsidR="008B2288">
        <w:t>a </w:t>
      </w:r>
      <w:r>
        <w:t>růst pro země západního Balkánu</w:t>
      </w:r>
      <w:r w:rsidRPr="00454E1B">
        <w:rPr>
          <w:vertAlign w:val="superscript"/>
        </w:rPr>
        <w:footnoteReference w:id="3"/>
      </w:r>
      <w:r>
        <w:t>,</w:t>
      </w:r>
    </w:p>
    <w:p w14:paraId="27E1DFF1" w14:textId="090ED291" w:rsidR="006B03D6" w:rsidRPr="00454E1B" w:rsidRDefault="006B03D6" w:rsidP="006B03D6">
      <w:pPr>
        <w:pStyle w:val="NormalHanging12a"/>
      </w:pPr>
      <w:r>
        <w:t>–</w:t>
      </w:r>
      <w:r>
        <w:tab/>
      </w:r>
      <w:r w:rsidR="008B2288">
        <w:t>s </w:t>
      </w:r>
      <w:r>
        <w:t>ohledem na sdělení Komise ze dne 5. února 2020 s názvem „Posílení procesu přistoupení – přesvědčivá perspektiva EU pro západní Balkán“ (COM(2020)0057),</w:t>
      </w:r>
    </w:p>
    <w:p w14:paraId="1F58E6E9" w14:textId="23CFF953" w:rsidR="006B03D6" w:rsidRPr="00454E1B" w:rsidRDefault="006B03D6" w:rsidP="006B03D6">
      <w:pPr>
        <w:pStyle w:val="NormalHanging12a"/>
      </w:pPr>
      <w:r>
        <w:t>–</w:t>
      </w:r>
      <w:r>
        <w:tab/>
      </w:r>
      <w:r w:rsidR="008B2288">
        <w:t>s </w:t>
      </w:r>
      <w:r>
        <w:t>ohledem na sdělení Komise ze dne 8. listopadu 2023 nazvané „Nový plán růstu pro západní Balkán“(COM(2023)0691),</w:t>
      </w:r>
    </w:p>
    <w:p w14:paraId="309F41A0" w14:textId="485C8C09" w:rsidR="006B03D6" w:rsidRPr="00454E1B" w:rsidRDefault="006B03D6" w:rsidP="006B03D6">
      <w:pPr>
        <w:pStyle w:val="NormalHanging12a"/>
      </w:pPr>
      <w:r>
        <w:t>–</w:t>
      </w:r>
      <w:r>
        <w:tab/>
      </w:r>
      <w:r w:rsidR="008B2288">
        <w:t>s </w:t>
      </w:r>
      <w:r>
        <w:t>ohledem na reformní program Albánie předložený v rámci Nástroje EU pro reformy a růst ve znění schváleném Komisí dne 23. října 2024,</w:t>
      </w:r>
    </w:p>
    <w:p w14:paraId="68A56DD1" w14:textId="755414ED" w:rsidR="006B03D6" w:rsidRPr="00454E1B" w:rsidRDefault="006B03D6" w:rsidP="006B03D6">
      <w:pPr>
        <w:pStyle w:val="NormalHanging12a"/>
      </w:pPr>
      <w:r>
        <w:t>–</w:t>
      </w:r>
      <w:r>
        <w:tab/>
      </w:r>
      <w:r w:rsidR="008B2288">
        <w:t>s </w:t>
      </w:r>
      <w:r>
        <w:t>ohledem na sdělení Komise ze dne 8. července 2025 nazvané „Zpráva o právním státu 2025“ (COM(2025)0900), doprovázené pracovním dokumentem útvarů Komise nazvaným „Zpráva o právním státu 2025 – kapitola o stavu právního státu v Albánii (SWD(2025)0928),</w:t>
      </w:r>
    </w:p>
    <w:p w14:paraId="2D72CAD6" w14:textId="1F7C5A2B" w:rsidR="006B03D6" w:rsidRPr="00454E1B" w:rsidRDefault="006B03D6" w:rsidP="006B03D6">
      <w:pPr>
        <w:pStyle w:val="NormalHanging12a"/>
      </w:pPr>
      <w:r>
        <w:t>–</w:t>
      </w:r>
      <w:r>
        <w:tab/>
      </w:r>
      <w:r w:rsidR="008B2288">
        <w:t>s </w:t>
      </w:r>
      <w:r>
        <w:t>ohledem na sdělení Komise ze dne 4. listopadu 2025 nazvané „Sdělení o politice rozšíření EU pro rok 2025“ (COM(2025)0690), doprovázené pracovním dokumentem útvarů Komise nazvaným „Zpráva o Albánii za rok 2025“ (SWD(2025)0750),</w:t>
      </w:r>
    </w:p>
    <w:p w14:paraId="27DC3A67" w14:textId="328B244F" w:rsidR="006B03D6" w:rsidRPr="00454E1B" w:rsidRDefault="006B03D6" w:rsidP="006B03D6">
      <w:pPr>
        <w:pStyle w:val="NormalHanging12a"/>
      </w:pPr>
      <w:r>
        <w:t>–</w:t>
      </w:r>
      <w:r>
        <w:tab/>
      </w:r>
      <w:r w:rsidR="008B2288">
        <w:t>s </w:t>
      </w:r>
      <w:r>
        <w:t>ohledem na závěrečnou zprávu ze dne 23. října 2025, kterou k parlamentním volbám v Albánii, jež se konaly dne 11. května 2025, vypracovala volební pozorovatelská mise Úřadu pro demokratické instituce a lidská práva Organizace pro bezpečnost a spolupráci v Evropě (OBSE/ODIHR),</w:t>
      </w:r>
    </w:p>
    <w:p w14:paraId="46B93FE8" w14:textId="055DB8AF" w:rsidR="006B03D6" w:rsidRPr="00454E1B" w:rsidRDefault="006B03D6" w:rsidP="006B03D6">
      <w:pPr>
        <w:pStyle w:val="NormalHanging12a"/>
      </w:pPr>
      <w:r>
        <w:t>–</w:t>
      </w:r>
      <w:r>
        <w:tab/>
      </w:r>
      <w:r w:rsidR="008B2288">
        <w:t>s </w:t>
      </w:r>
      <w:r>
        <w:t xml:space="preserve">ohledem na prohlášení ze summitu EU </w:t>
      </w:r>
      <w:r w:rsidR="008B2288">
        <w:t>a </w:t>
      </w:r>
      <w:r>
        <w:t>zemí západního Balkánu konaného dne 17.</w:t>
      </w:r>
      <w:r w:rsidR="008B2288">
        <w:t> </w:t>
      </w:r>
      <w:r>
        <w:t xml:space="preserve">prosince 2025 </w:t>
      </w:r>
      <w:r w:rsidR="008B2288">
        <w:t>v </w:t>
      </w:r>
      <w:r>
        <w:t>Bruselu,</w:t>
      </w:r>
    </w:p>
    <w:p w14:paraId="4BD593DA" w14:textId="439CE86A" w:rsidR="006B03D6" w:rsidRPr="00454E1B" w:rsidRDefault="006B03D6" w:rsidP="006B03D6">
      <w:pPr>
        <w:pStyle w:val="NormalHanging12a"/>
      </w:pPr>
      <w:r>
        <w:t>–</w:t>
      </w:r>
      <w:r>
        <w:tab/>
      </w:r>
      <w:r w:rsidR="008B2288">
        <w:t>s </w:t>
      </w:r>
      <w:r>
        <w:t>ohledem na svá předchozí usnesení o Albánii,</w:t>
      </w:r>
    </w:p>
    <w:p w14:paraId="5B95F39A" w14:textId="56EE45FE" w:rsidR="006B03D6" w:rsidRPr="00454E1B" w:rsidRDefault="006B03D6" w:rsidP="006B03D6">
      <w:pPr>
        <w:pStyle w:val="NormalHanging12a"/>
      </w:pPr>
      <w:r>
        <w:t>–</w:t>
      </w:r>
      <w:r>
        <w:tab/>
      </w:r>
      <w:r w:rsidR="008B2288">
        <w:t>s </w:t>
      </w:r>
      <w:r>
        <w:t>ohledem na článek 55 jednacího řádu,</w:t>
      </w:r>
    </w:p>
    <w:p w14:paraId="22AF39E2" w14:textId="43DEA022" w:rsidR="006B03D6" w:rsidRPr="00454E1B" w:rsidRDefault="006B03D6" w:rsidP="006B03D6">
      <w:pPr>
        <w:pStyle w:val="NormalHanging12a"/>
      </w:pPr>
      <w:r>
        <w:t>–</w:t>
      </w:r>
      <w:r>
        <w:tab/>
      </w:r>
      <w:r w:rsidR="008B2288">
        <w:t>s </w:t>
      </w:r>
      <w:r>
        <w:t>ohledem na zprávu Výboru pro zahraniční věci (A10-0000/2026),</w:t>
      </w:r>
    </w:p>
    <w:p w14:paraId="374C4BE6" w14:textId="6584B53B" w:rsidR="006B03D6" w:rsidRPr="00454E1B" w:rsidRDefault="006B03D6" w:rsidP="006B03D6">
      <w:pPr>
        <w:pStyle w:val="NormalHanging12a"/>
      </w:pPr>
      <w:r>
        <w:t>A.</w:t>
      </w:r>
      <w:r>
        <w:tab/>
        <w:t xml:space="preserve">vzhledem </w:t>
      </w:r>
      <w:r w:rsidR="008B2288">
        <w:t>k </w:t>
      </w:r>
      <w:r>
        <w:t xml:space="preserve">tomu, že rozšíření EU je nadále strategickou investicí do míru, bezpečnosti, stability </w:t>
      </w:r>
      <w:r w:rsidR="008B2288">
        <w:t>a </w:t>
      </w:r>
      <w:r>
        <w:t xml:space="preserve">demokratického </w:t>
      </w:r>
      <w:r w:rsidR="008B2288">
        <w:t>a </w:t>
      </w:r>
      <w:r>
        <w:t>socioekonomického rozvoje na celém evropském kontinentu;</w:t>
      </w:r>
    </w:p>
    <w:p w14:paraId="05088442" w14:textId="4634B0F4" w:rsidR="006B03D6" w:rsidRPr="00454E1B" w:rsidRDefault="006B03D6" w:rsidP="006B03D6">
      <w:pPr>
        <w:pStyle w:val="NormalHanging12a"/>
      </w:pPr>
      <w:r>
        <w:t>B.</w:t>
      </w:r>
      <w:r>
        <w:tab/>
        <w:t xml:space="preserve">vzhledem </w:t>
      </w:r>
      <w:r w:rsidR="008B2288">
        <w:t>k </w:t>
      </w:r>
      <w:r>
        <w:t xml:space="preserve">tomu, že Albánie si udržuje jasný strategický kurz směrem </w:t>
      </w:r>
      <w:r w:rsidR="008B2288">
        <w:t>k </w:t>
      </w:r>
      <w:r>
        <w:t xml:space="preserve">členství </w:t>
      </w:r>
      <w:r w:rsidR="008B2288">
        <w:t>v </w:t>
      </w:r>
      <w:r>
        <w:t xml:space="preserve">EU </w:t>
      </w:r>
      <w:r w:rsidR="008B2288">
        <w:t>a </w:t>
      </w:r>
      <w:r>
        <w:t xml:space="preserve">prokázala plný soulad se společnou zahraniční </w:t>
      </w:r>
      <w:r w:rsidR="008B2288">
        <w:t>a </w:t>
      </w:r>
      <w:r>
        <w:t>bezpečnostní politikou EU (SZBP);</w:t>
      </w:r>
    </w:p>
    <w:p w14:paraId="32C69951" w14:textId="7C99F4C7" w:rsidR="006B03D6" w:rsidRPr="00454E1B" w:rsidRDefault="006B03D6" w:rsidP="006B03D6">
      <w:pPr>
        <w:pStyle w:val="NormalHanging12a"/>
      </w:pPr>
      <w:r>
        <w:t>C.</w:t>
      </w:r>
      <w:r>
        <w:tab/>
        <w:t xml:space="preserve">vzhledem k tomu, že Albánie, která je kandidátskou zemí EU od roku 2014, zahájila přístupová jednání v červenci 2022, v listopadu 2023 úspěšně dokončila proces prověřování </w:t>
      </w:r>
      <w:r w:rsidR="008B2288">
        <w:t>a v </w:t>
      </w:r>
      <w:r>
        <w:t>období od 15. října 2024 do 17. listopadu 2025 otevřela všechny tematické okruhy jednání;</w:t>
      </w:r>
    </w:p>
    <w:p w14:paraId="07F47AE4" w14:textId="7DF0B508" w:rsidR="006B03D6" w:rsidRPr="00454E1B" w:rsidRDefault="006B03D6" w:rsidP="006B03D6">
      <w:pPr>
        <w:pStyle w:val="NormalHanging12a"/>
      </w:pPr>
      <w:r>
        <w:t>D.</w:t>
      </w:r>
      <w:r>
        <w:tab/>
        <w:t xml:space="preserve">vzhledem </w:t>
      </w:r>
      <w:r w:rsidR="008B2288">
        <w:t>k </w:t>
      </w:r>
      <w:r>
        <w:t xml:space="preserve">tomu, že ve zprávě Komise </w:t>
      </w:r>
      <w:r w:rsidR="008B2288">
        <w:t>o </w:t>
      </w:r>
      <w:r>
        <w:t xml:space="preserve">Albánii za rok 2025 se potvrzuje, že země nadále dosahuje pokroku ve většině oblastí souvisejících </w:t>
      </w:r>
      <w:r w:rsidR="008B2288">
        <w:t>s </w:t>
      </w:r>
      <w:r>
        <w:t xml:space="preserve">přistoupením, </w:t>
      </w:r>
      <w:r w:rsidR="008B2288">
        <w:t>a </w:t>
      </w:r>
      <w:r>
        <w:t xml:space="preserve">zároveň je </w:t>
      </w:r>
      <w:r w:rsidR="008B2288">
        <w:t>v </w:t>
      </w:r>
      <w:r>
        <w:t xml:space="preserve">ní zdůrazněno, že je zapotřebí hlubších, soudržnějších </w:t>
      </w:r>
      <w:r w:rsidR="008B2288">
        <w:t>a </w:t>
      </w:r>
      <w:r>
        <w:t>nezvratných reforem;</w:t>
      </w:r>
    </w:p>
    <w:p w14:paraId="491B34B9" w14:textId="162A58ED" w:rsidR="006B03D6" w:rsidRPr="00454E1B" w:rsidRDefault="006B03D6" w:rsidP="006B03D6">
      <w:pPr>
        <w:pStyle w:val="NormalHanging12a"/>
      </w:pPr>
      <w:r>
        <w:t>E.</w:t>
      </w:r>
      <w:r>
        <w:tab/>
        <w:t xml:space="preserve">vzhledem </w:t>
      </w:r>
      <w:r w:rsidR="008B2288">
        <w:t>k </w:t>
      </w:r>
      <w:r>
        <w:t xml:space="preserve">tomu, že důvěryhodnost procesu rozšíření závisí spíše na přísné podmíněnosti, pokroku založeném na zásluhách </w:t>
      </w:r>
      <w:r w:rsidR="008B2288">
        <w:t>a </w:t>
      </w:r>
      <w:r>
        <w:t>účinném provádění reforem než na formálním přijímání samotných právních předpisů;</w:t>
      </w:r>
    </w:p>
    <w:p w14:paraId="33C28A61" w14:textId="685DDFCA" w:rsidR="006B03D6" w:rsidRPr="00454E1B" w:rsidRDefault="006B03D6" w:rsidP="006B03D6">
      <w:pPr>
        <w:pStyle w:val="NormalHanging12a"/>
      </w:pPr>
      <w:r>
        <w:t>F.</w:t>
      </w:r>
      <w:r>
        <w:tab/>
        <w:t xml:space="preserve">vzhledem </w:t>
      </w:r>
      <w:r w:rsidR="008B2288">
        <w:t>k </w:t>
      </w:r>
      <w:r>
        <w:t xml:space="preserve">tomu, že pro cestu Albánie </w:t>
      </w:r>
      <w:r w:rsidR="008B2288">
        <w:t>k </w:t>
      </w:r>
      <w:r>
        <w:t xml:space="preserve">přistoupení má nadále zásadní význam posilování demokratických institucí, nezávislost soudnictví, protikorupční úsilí, svoboda sdělovacích prostředků </w:t>
      </w:r>
      <w:r w:rsidR="008B2288">
        <w:t>a </w:t>
      </w:r>
      <w:r>
        <w:t>základní práva;</w:t>
      </w:r>
    </w:p>
    <w:p w14:paraId="494377AA" w14:textId="77777777" w:rsidR="006B03D6" w:rsidRPr="00454E1B" w:rsidRDefault="006B03D6" w:rsidP="006B03D6">
      <w:pPr>
        <w:pStyle w:val="NormalHanging12a"/>
      </w:pPr>
      <w:r>
        <w:t>G.</w:t>
      </w:r>
      <w:r>
        <w:tab/>
        <w:t xml:space="preserve">vzhledem k tomu, že dosud nebyla plně zohledněna doporučení OBSE/ODIHR týkající se dalšího zlepšení průběhu voleb v Albánii; </w:t>
      </w:r>
    </w:p>
    <w:p w14:paraId="3C529916" w14:textId="2595408A" w:rsidR="006B03D6" w:rsidRPr="00454E1B" w:rsidRDefault="006B03D6" w:rsidP="006B03D6">
      <w:pPr>
        <w:pStyle w:val="NormalHanging12a"/>
      </w:pPr>
      <w:r>
        <w:t>1.</w:t>
      </w:r>
      <w:r>
        <w:tab/>
        <w:t xml:space="preserve">vítá mimořádný závazek Albánie </w:t>
      </w:r>
      <w:r w:rsidR="008B2288">
        <w:t>k </w:t>
      </w:r>
      <w:r>
        <w:t xml:space="preserve">integraci do EU, který je založen na konsensu všech politických stran </w:t>
      </w:r>
      <w:r w:rsidR="008B2288">
        <w:t>a </w:t>
      </w:r>
      <w:r>
        <w:t xml:space="preserve">naprosté podpoře občanů, </w:t>
      </w:r>
      <w:r w:rsidR="008B2288">
        <w:t>a </w:t>
      </w:r>
      <w:r>
        <w:t xml:space="preserve">oceňuje skutečnost, že Albánie otevřela všechny tematické okruhy přístupových jednání během pouhých 13 měsíců; </w:t>
      </w:r>
    </w:p>
    <w:p w14:paraId="47C7C326" w14:textId="208C592E" w:rsidR="006B03D6" w:rsidRPr="00454E1B" w:rsidRDefault="006B03D6" w:rsidP="006B03D6">
      <w:pPr>
        <w:pStyle w:val="NormalHanging12a"/>
      </w:pPr>
      <w:r>
        <w:t>2.</w:t>
      </w:r>
      <w:r>
        <w:tab/>
        <w:t xml:space="preserve">vítá ambici Albánie uzavřít přístupová jednání do konce roku 2027 </w:t>
      </w:r>
      <w:r w:rsidR="008B2288">
        <w:t>a </w:t>
      </w:r>
      <w:r>
        <w:t xml:space="preserve">rychlý pokrok, jehož bylo </w:t>
      </w:r>
      <w:r w:rsidR="008B2288">
        <w:t>v </w:t>
      </w:r>
      <w:r>
        <w:t xml:space="preserve">posledních letech dosaženo; zdůrazňuje, že je třeba zajistit důsledné provádění právních předpisů; </w:t>
      </w:r>
    </w:p>
    <w:p w14:paraId="559660B2" w14:textId="425B8AF9" w:rsidR="006B03D6" w:rsidRPr="00454E1B" w:rsidRDefault="006B03D6" w:rsidP="006B03D6">
      <w:pPr>
        <w:pStyle w:val="NormalHanging12a"/>
      </w:pPr>
      <w:r>
        <w:t>3.</w:t>
      </w:r>
      <w:r>
        <w:tab/>
        <w:t xml:space="preserve">konstatuje, že Komise hodnotí albánský volební rámec jako obecně dostačující pro konání voleb založených na soutěži mezi kandidáty, přičemž opět vyjadřuje obavy ohledně nerovných podmínek, zneužívání administrativních zdrojů, obvinění </w:t>
      </w:r>
      <w:r w:rsidR="008B2288">
        <w:t>z </w:t>
      </w:r>
      <w:r>
        <w:t xml:space="preserve">kupování hlasů </w:t>
      </w:r>
      <w:r w:rsidR="008B2288">
        <w:t>a </w:t>
      </w:r>
      <w:r>
        <w:t xml:space="preserve">nátlaku na voliče; vyzývá proto většinu </w:t>
      </w:r>
      <w:r w:rsidR="008B2288">
        <w:t>a </w:t>
      </w:r>
      <w:r>
        <w:t xml:space="preserve">opozici, aby </w:t>
      </w:r>
      <w:r w:rsidR="008B2288">
        <w:t>v </w:t>
      </w:r>
      <w:r>
        <w:t xml:space="preserve">úzké spolupráci </w:t>
      </w:r>
      <w:r w:rsidR="008B2288">
        <w:t>s </w:t>
      </w:r>
      <w:r>
        <w:t xml:space="preserve">občanskou společností konstruktivně </w:t>
      </w:r>
      <w:r w:rsidR="008B2288">
        <w:t>a </w:t>
      </w:r>
      <w:r>
        <w:t xml:space="preserve">inkluzivně usilovaly </w:t>
      </w:r>
      <w:r w:rsidR="008B2288">
        <w:t>o </w:t>
      </w:r>
      <w:r>
        <w:t xml:space="preserve">komplexní volební reformu </w:t>
      </w:r>
      <w:r w:rsidR="008B2288">
        <w:t>a </w:t>
      </w:r>
      <w:r>
        <w:t xml:space="preserve">aby </w:t>
      </w:r>
      <w:r w:rsidR="008B2288">
        <w:t>v </w:t>
      </w:r>
      <w:r>
        <w:t xml:space="preserve">dostatečném předstihu před budoucími volebními cykly plně provedly zbývající doporučení OBSE/ODIHR </w:t>
      </w:r>
      <w:r w:rsidR="008B2288">
        <w:t>a </w:t>
      </w:r>
      <w:r>
        <w:t>Benátské komise;</w:t>
      </w:r>
    </w:p>
    <w:p w14:paraId="050868FB" w14:textId="25B8CAE3" w:rsidR="006B03D6" w:rsidRPr="00454E1B" w:rsidRDefault="006B03D6" w:rsidP="006B03D6">
      <w:pPr>
        <w:pStyle w:val="NormalHanging12a"/>
      </w:pPr>
      <w:r>
        <w:t>4.</w:t>
      </w:r>
      <w:r>
        <w:tab/>
        <w:t xml:space="preserve">vyjadřuje znepokojení nad pokračující politickou polarizací </w:t>
      </w:r>
      <w:r w:rsidR="008B2288">
        <w:t>a </w:t>
      </w:r>
      <w:r>
        <w:t xml:space="preserve">konfrontačním politickým diskursem, které podkopávají parlamentní dohled, důvěru veřejnosti </w:t>
      </w:r>
      <w:r w:rsidR="008B2288">
        <w:t>a </w:t>
      </w:r>
      <w:r>
        <w:t>účinné fungování demokratických institucí;</w:t>
      </w:r>
    </w:p>
    <w:p w14:paraId="2EB01045" w14:textId="35D92186" w:rsidR="006B03D6" w:rsidRPr="00454E1B" w:rsidRDefault="006B03D6" w:rsidP="006B03D6">
      <w:pPr>
        <w:pStyle w:val="NormalHanging12a"/>
      </w:pPr>
      <w:r>
        <w:t>5.</w:t>
      </w:r>
      <w:r>
        <w:tab/>
        <w:t xml:space="preserve">vybízí </w:t>
      </w:r>
      <w:r w:rsidR="008B2288">
        <w:t>k </w:t>
      </w:r>
      <w:r>
        <w:t xml:space="preserve">důslednější parlamentní kontrole výkonné moci, větší transparentnosti legislativních postupů </w:t>
      </w:r>
      <w:r w:rsidR="008B2288">
        <w:t>a </w:t>
      </w:r>
      <w:r>
        <w:t xml:space="preserve">smysluplnějším konzultacím </w:t>
      </w:r>
      <w:r w:rsidR="008B2288">
        <w:t>s </w:t>
      </w:r>
      <w:r>
        <w:t xml:space="preserve">organizacemi občanské společnosti, sociálními partnery </w:t>
      </w:r>
      <w:r w:rsidR="008B2288">
        <w:t>a </w:t>
      </w:r>
      <w:r>
        <w:t>nezávislými institucemi;</w:t>
      </w:r>
    </w:p>
    <w:p w14:paraId="336CEB8D" w14:textId="06B4DC5D" w:rsidR="006B03D6" w:rsidRPr="00454E1B" w:rsidRDefault="006B03D6" w:rsidP="006B03D6">
      <w:pPr>
        <w:pStyle w:val="NormalHanging12a"/>
        <w:rPr>
          <w:b/>
          <w:bCs/>
          <w:i/>
          <w:iCs/>
        </w:rPr>
      </w:pPr>
      <w:r>
        <w:rPr>
          <w:b/>
          <w:i/>
        </w:rPr>
        <w:t xml:space="preserve">Právní stát, soudnictví </w:t>
      </w:r>
      <w:r w:rsidR="008B2288">
        <w:rPr>
          <w:b/>
          <w:i/>
        </w:rPr>
        <w:t>a </w:t>
      </w:r>
      <w:r>
        <w:rPr>
          <w:b/>
          <w:i/>
        </w:rPr>
        <w:t>boj proti korupci</w:t>
      </w:r>
    </w:p>
    <w:p w14:paraId="74955ACF" w14:textId="4C38681B" w:rsidR="006B03D6" w:rsidRPr="00454E1B" w:rsidRDefault="006B03D6" w:rsidP="006B03D6">
      <w:pPr>
        <w:pStyle w:val="NormalHanging12a"/>
      </w:pPr>
      <w:r>
        <w:t>6.</w:t>
      </w:r>
      <w:r>
        <w:tab/>
        <w:t xml:space="preserve">vítá, že pokračuje proces reformy soudnictví, včetně prověřování soudců </w:t>
      </w:r>
      <w:r w:rsidR="008B2288">
        <w:t>a </w:t>
      </w:r>
      <w:r>
        <w:t xml:space="preserve">státních zástupců, což přispívá ke zvýšení odpovědnosti </w:t>
      </w:r>
      <w:r w:rsidR="008B2288">
        <w:t>a </w:t>
      </w:r>
      <w:r>
        <w:t xml:space="preserve">integrity </w:t>
      </w:r>
      <w:r w:rsidR="008B2288">
        <w:t>v </w:t>
      </w:r>
      <w:r>
        <w:t xml:space="preserve">soudnictví; bere však na vědomí přetrvávající problémy týkající se účinnosti soudnictví, hromadění nevyřízených případů, jednotnosti judikatury </w:t>
      </w:r>
      <w:r w:rsidR="008B2288">
        <w:t>a </w:t>
      </w:r>
      <w:r>
        <w:t xml:space="preserve">pokusů </w:t>
      </w:r>
      <w:r w:rsidR="008B2288">
        <w:t>o </w:t>
      </w:r>
      <w:r>
        <w:t>nepřípustné ovlivňování;</w:t>
      </w:r>
    </w:p>
    <w:p w14:paraId="20C9A831" w14:textId="1D073BD7" w:rsidR="006B03D6" w:rsidRPr="00454E1B" w:rsidRDefault="006B03D6" w:rsidP="006B03D6">
      <w:pPr>
        <w:pStyle w:val="NormalHanging12a"/>
      </w:pPr>
      <w:r>
        <w:t>7.</w:t>
      </w:r>
      <w:r>
        <w:tab/>
        <w:t xml:space="preserve">vyzývá </w:t>
      </w:r>
      <w:r w:rsidR="008B2288">
        <w:t>k </w:t>
      </w:r>
      <w:r>
        <w:t xml:space="preserve">dalšímu posílení orgánů soudní správy, zajištění jejich nezávislosti, transparentnosti </w:t>
      </w:r>
      <w:r w:rsidR="008B2288">
        <w:t>a </w:t>
      </w:r>
      <w:r>
        <w:t xml:space="preserve">odborné způsobilosti </w:t>
      </w:r>
      <w:r w:rsidR="008B2288">
        <w:t>a k </w:t>
      </w:r>
      <w:r>
        <w:t xml:space="preserve">trvalým investicím do soudní infrastruktury </w:t>
      </w:r>
      <w:r w:rsidR="008B2288">
        <w:t>a </w:t>
      </w:r>
      <w:r>
        <w:t>digitalizace;</w:t>
      </w:r>
    </w:p>
    <w:p w14:paraId="73463657" w14:textId="147BEC9A" w:rsidR="006B03D6" w:rsidRPr="00454E1B" w:rsidRDefault="006B03D6" w:rsidP="006B03D6">
      <w:pPr>
        <w:pStyle w:val="NormalHanging12a"/>
      </w:pPr>
      <w:r>
        <w:t>8.</w:t>
      </w:r>
      <w:r>
        <w:tab/>
        <w:t xml:space="preserve">zdůrazňuje, že korupce vzbuzuje </w:t>
      </w:r>
      <w:r w:rsidR="008B2288">
        <w:t>i </w:t>
      </w:r>
      <w:r>
        <w:t xml:space="preserve">nadále velké obavy </w:t>
      </w:r>
      <w:r w:rsidR="008B2288">
        <w:t>a </w:t>
      </w:r>
      <w:r>
        <w:t xml:space="preserve">že navzdory pokroku </w:t>
      </w:r>
      <w:r w:rsidR="008B2288">
        <w:t>v </w:t>
      </w:r>
      <w:r>
        <w:t xml:space="preserve">právním </w:t>
      </w:r>
      <w:r w:rsidR="008B2288">
        <w:t>a </w:t>
      </w:r>
      <w:r>
        <w:t xml:space="preserve">institucionálním rámci musí Albánie nadále upevňovat své výsledky </w:t>
      </w:r>
      <w:r w:rsidR="008B2288">
        <w:t>v </w:t>
      </w:r>
      <w:r>
        <w:t xml:space="preserve">oblasti vyšetřování, stíhání </w:t>
      </w:r>
      <w:r w:rsidR="008B2288">
        <w:t>a </w:t>
      </w:r>
      <w:r>
        <w:t xml:space="preserve">pravomocných odsouzení, zejména </w:t>
      </w:r>
      <w:r w:rsidR="008B2288">
        <w:t>v </w:t>
      </w:r>
      <w:r>
        <w:t>případech korupce na vysoké úrovni;</w:t>
      </w:r>
    </w:p>
    <w:p w14:paraId="679F9FF0" w14:textId="43D24B9E" w:rsidR="006B03D6" w:rsidRPr="00454E1B" w:rsidRDefault="006B03D6" w:rsidP="006B03D6">
      <w:pPr>
        <w:pStyle w:val="NormalHanging12a"/>
      </w:pPr>
      <w:r>
        <w:t>9.</w:t>
      </w:r>
      <w:r>
        <w:tab/>
        <w:t xml:space="preserve">trvá na tom, že korupci je třeba řešit na všech úrovních, aby se posílila důvěra občanů ve státní instituce </w:t>
      </w:r>
      <w:r w:rsidR="008B2288">
        <w:t>a </w:t>
      </w:r>
      <w:r>
        <w:t>zajistilo se předvídatelné podnikatelské prostředí;</w:t>
      </w:r>
    </w:p>
    <w:p w14:paraId="71C7AF99" w14:textId="36BBB611" w:rsidR="006B03D6" w:rsidRPr="00454E1B" w:rsidRDefault="006B03D6" w:rsidP="006B03D6">
      <w:pPr>
        <w:pStyle w:val="NormalHanging12a"/>
      </w:pPr>
      <w:r>
        <w:t>10.</w:t>
      </w:r>
      <w:r>
        <w:tab/>
        <w:t xml:space="preserve">zdůrazňuje, že je důležité účinně bojovat proti organizované trestné činnosti, včetně praní peněz </w:t>
      </w:r>
      <w:r w:rsidR="008B2288">
        <w:t>a </w:t>
      </w:r>
      <w:r>
        <w:t xml:space="preserve">sítí pro obchodování </w:t>
      </w:r>
      <w:r w:rsidR="008B2288">
        <w:t>s </w:t>
      </w:r>
      <w:r>
        <w:t xml:space="preserve">drogami, </w:t>
      </w:r>
      <w:r w:rsidR="008B2288">
        <w:t>a </w:t>
      </w:r>
      <w:r>
        <w:t xml:space="preserve">vyzývá </w:t>
      </w:r>
      <w:r w:rsidR="008B2288">
        <w:t>k </w:t>
      </w:r>
      <w:r>
        <w:t xml:space="preserve">intenzivnější spolupráci </w:t>
      </w:r>
      <w:r w:rsidR="008B2288">
        <w:t>s </w:t>
      </w:r>
      <w:r>
        <w:t xml:space="preserve">agenturami EU, jako je Europol </w:t>
      </w:r>
      <w:r w:rsidR="008B2288">
        <w:t>a </w:t>
      </w:r>
      <w:proofErr w:type="spellStart"/>
      <w:r>
        <w:t>Eurojust</w:t>
      </w:r>
      <w:proofErr w:type="spellEnd"/>
      <w:r>
        <w:t>;</w:t>
      </w:r>
    </w:p>
    <w:p w14:paraId="14A872A0" w14:textId="75E6CE21" w:rsidR="006B03D6" w:rsidRPr="00454E1B" w:rsidRDefault="006B03D6" w:rsidP="006B03D6">
      <w:pPr>
        <w:pStyle w:val="NormalHanging12a"/>
        <w:rPr>
          <w:b/>
          <w:bCs/>
          <w:i/>
          <w:iCs/>
        </w:rPr>
      </w:pPr>
      <w:r>
        <w:rPr>
          <w:b/>
          <w:i/>
        </w:rPr>
        <w:t xml:space="preserve">Základní práva </w:t>
      </w:r>
      <w:r w:rsidR="008B2288">
        <w:rPr>
          <w:b/>
          <w:i/>
        </w:rPr>
        <w:t>a </w:t>
      </w:r>
      <w:r>
        <w:rPr>
          <w:b/>
          <w:i/>
        </w:rPr>
        <w:t>svoboda sdělovacích prostředků</w:t>
      </w:r>
    </w:p>
    <w:p w14:paraId="1D422949" w14:textId="0A3EAAE7" w:rsidR="006B03D6" w:rsidRPr="00454E1B" w:rsidRDefault="006B03D6" w:rsidP="006B03D6">
      <w:pPr>
        <w:pStyle w:val="NormalHanging12a"/>
      </w:pPr>
      <w:r>
        <w:t>11.</w:t>
      </w:r>
      <w:r>
        <w:tab/>
        <w:t xml:space="preserve">vyzývá </w:t>
      </w:r>
      <w:r w:rsidR="008B2288">
        <w:t>k </w:t>
      </w:r>
      <w:r>
        <w:t xml:space="preserve">dalšímu úsilí </w:t>
      </w:r>
      <w:r w:rsidR="008B2288">
        <w:t>o </w:t>
      </w:r>
      <w:r>
        <w:t xml:space="preserve">ochranu svobody projevu </w:t>
      </w:r>
      <w:r w:rsidR="008B2288">
        <w:t>a </w:t>
      </w:r>
      <w:r>
        <w:t xml:space="preserve">plurality sdělovacích prostředků, včetně větší transparentnosti, pokud jde </w:t>
      </w:r>
      <w:r w:rsidR="008B2288">
        <w:t>o </w:t>
      </w:r>
      <w:r>
        <w:t xml:space="preserve">možné střety zájmů vlastníků sdělovacích prostředků, záruk proti politickému </w:t>
      </w:r>
      <w:r w:rsidR="008B2288">
        <w:t>a </w:t>
      </w:r>
      <w:r>
        <w:t xml:space="preserve">ekonomickému tlaku na novináře </w:t>
      </w:r>
      <w:r w:rsidR="008B2288">
        <w:t>a </w:t>
      </w:r>
      <w:r>
        <w:t xml:space="preserve">účinného vyšetřování hrozeb </w:t>
      </w:r>
      <w:r w:rsidR="008B2288">
        <w:t>a </w:t>
      </w:r>
      <w:r>
        <w:t>útoků zaměřených na pracovníky sdělovacích prostředků;</w:t>
      </w:r>
    </w:p>
    <w:p w14:paraId="0E36A21A" w14:textId="4979B90B" w:rsidR="006B03D6" w:rsidRPr="00454E1B" w:rsidRDefault="006B03D6" w:rsidP="006B03D6">
      <w:pPr>
        <w:pStyle w:val="NormalHanging12a"/>
      </w:pPr>
      <w:r>
        <w:t>12.</w:t>
      </w:r>
      <w:r>
        <w:tab/>
        <w:t xml:space="preserve">vybízí Albánii, aby posílila institucionální rámec pro ochranu menšin </w:t>
      </w:r>
      <w:r w:rsidR="008B2288">
        <w:t>a </w:t>
      </w:r>
      <w:r>
        <w:t xml:space="preserve">zranitelných skupin, včetně Romů </w:t>
      </w:r>
      <w:r w:rsidR="008B2288">
        <w:t>a </w:t>
      </w:r>
      <w:r>
        <w:t xml:space="preserve">Egypťanů, osob se zdravotním postižením, migrujících pracovníků </w:t>
      </w:r>
      <w:r w:rsidR="008B2288">
        <w:t>a </w:t>
      </w:r>
      <w:r>
        <w:t xml:space="preserve">osob LGBTIQ+, </w:t>
      </w:r>
      <w:r w:rsidR="008B2288">
        <w:t>a </w:t>
      </w:r>
      <w:r>
        <w:t xml:space="preserve">aby zajistila účinné provádění antidiskriminačních právních předpisů; je znepokojen tím, že </w:t>
      </w:r>
      <w:r w:rsidR="008B2288">
        <w:t>v </w:t>
      </w:r>
      <w:r>
        <w:t xml:space="preserve">politickém diskursu je slyšet </w:t>
      </w:r>
      <w:proofErr w:type="spellStart"/>
      <w:r>
        <w:t>protigenderová</w:t>
      </w:r>
      <w:proofErr w:type="spellEnd"/>
      <w:r>
        <w:t xml:space="preserve"> rétorika;</w:t>
      </w:r>
    </w:p>
    <w:p w14:paraId="60F564FC" w14:textId="76A27E10" w:rsidR="006B03D6" w:rsidRPr="00454E1B" w:rsidRDefault="006B03D6" w:rsidP="006B03D6">
      <w:pPr>
        <w:pStyle w:val="NormalHanging12a"/>
      </w:pPr>
      <w:r>
        <w:t>13.</w:t>
      </w:r>
      <w:r>
        <w:tab/>
        <w:t xml:space="preserve">zdůrazňuje, že je třeba zlepšit přístup ke spravedlnosti, zejména pro zranitelné </w:t>
      </w:r>
      <w:r w:rsidR="008B2288">
        <w:t>a </w:t>
      </w:r>
      <w:proofErr w:type="spellStart"/>
      <w:r>
        <w:t>marginalizované</w:t>
      </w:r>
      <w:proofErr w:type="spellEnd"/>
      <w:r>
        <w:t xml:space="preserve"> skupiny;</w:t>
      </w:r>
    </w:p>
    <w:p w14:paraId="412FF176" w14:textId="713F3C10" w:rsidR="006B03D6" w:rsidRPr="00454E1B" w:rsidRDefault="006B03D6" w:rsidP="006B03D6">
      <w:pPr>
        <w:pStyle w:val="NormalHanging12a"/>
        <w:rPr>
          <w:b/>
          <w:bCs/>
          <w:i/>
          <w:iCs/>
        </w:rPr>
      </w:pPr>
      <w:r>
        <w:rPr>
          <w:b/>
          <w:i/>
        </w:rPr>
        <w:t xml:space="preserve">Reforma veřejné správy </w:t>
      </w:r>
      <w:r w:rsidR="008B2288">
        <w:rPr>
          <w:b/>
          <w:i/>
        </w:rPr>
        <w:t>a </w:t>
      </w:r>
      <w:r>
        <w:rPr>
          <w:b/>
          <w:i/>
        </w:rPr>
        <w:t>správa věcí veřejných</w:t>
      </w:r>
    </w:p>
    <w:p w14:paraId="674F1481" w14:textId="0D695A8A" w:rsidR="006B03D6" w:rsidRPr="00454E1B" w:rsidRDefault="006B03D6" w:rsidP="006B03D6">
      <w:pPr>
        <w:pStyle w:val="NormalHanging12a"/>
      </w:pPr>
      <w:r>
        <w:t>14.</w:t>
      </w:r>
      <w:r>
        <w:tab/>
        <w:t xml:space="preserve">uznává pokrok dosažený </w:t>
      </w:r>
      <w:r w:rsidR="008B2288">
        <w:t>v </w:t>
      </w:r>
      <w:r>
        <w:t xml:space="preserve">reformě veřejné správy, včetně strategického plánování </w:t>
      </w:r>
      <w:r w:rsidR="008B2288">
        <w:t>a </w:t>
      </w:r>
      <w:r>
        <w:t xml:space="preserve">koordinace; zdůrazňuje však, že je třeba vyvinout další úsilí </w:t>
      </w:r>
      <w:r w:rsidR="008B2288">
        <w:t>k </w:t>
      </w:r>
      <w:r>
        <w:t xml:space="preserve">zajištění náboru na základě zásluh </w:t>
      </w:r>
      <w:r w:rsidR="008B2288">
        <w:t>a </w:t>
      </w:r>
      <w:r>
        <w:t>odpolitizování veřejné služby;</w:t>
      </w:r>
    </w:p>
    <w:p w14:paraId="5FD2947E" w14:textId="26986F0A" w:rsidR="006B03D6" w:rsidRPr="00454E1B" w:rsidRDefault="006B03D6" w:rsidP="006B03D6">
      <w:pPr>
        <w:pStyle w:val="NormalHanging12a"/>
      </w:pPr>
      <w:r>
        <w:t>15.</w:t>
      </w:r>
      <w:r>
        <w:tab/>
        <w:t xml:space="preserve">vyzývá ke zlepšení politického plánování, rozhodování založeného na faktech </w:t>
      </w:r>
      <w:r w:rsidR="008B2288">
        <w:t>a </w:t>
      </w:r>
      <w:r>
        <w:t>transparentních rozpočtových procesů, včetně posíleného parlamentního dohledu nad veřejnými financemi;</w:t>
      </w:r>
    </w:p>
    <w:p w14:paraId="2C979ABD" w14:textId="31A58AAF" w:rsidR="006B03D6" w:rsidRPr="00454E1B" w:rsidRDefault="006B03D6" w:rsidP="006B03D6">
      <w:pPr>
        <w:pStyle w:val="NormalHanging12a"/>
        <w:rPr>
          <w:b/>
          <w:bCs/>
          <w:i/>
          <w:iCs/>
        </w:rPr>
      </w:pPr>
      <w:r>
        <w:rPr>
          <w:b/>
          <w:i/>
        </w:rPr>
        <w:t xml:space="preserve">Socioekonomické reformy </w:t>
      </w:r>
      <w:r w:rsidR="008B2288">
        <w:rPr>
          <w:b/>
          <w:i/>
        </w:rPr>
        <w:t>a </w:t>
      </w:r>
      <w:r>
        <w:rPr>
          <w:b/>
          <w:i/>
        </w:rPr>
        <w:t>životní prostředí</w:t>
      </w:r>
    </w:p>
    <w:p w14:paraId="4F180CE4" w14:textId="375DA4C0" w:rsidR="006B03D6" w:rsidRPr="00454E1B" w:rsidRDefault="006B03D6" w:rsidP="006B03D6">
      <w:pPr>
        <w:pStyle w:val="NormalHanging12a"/>
      </w:pPr>
      <w:r>
        <w:t>16.</w:t>
      </w:r>
      <w:r>
        <w:tab/>
        <w:t xml:space="preserve">vítá zapojení Albánie do provádění plánu růstu EU pro západní Balkán; konstatuje však, že přetrvávají strukturální nedostatky, včetně neformální ekonomiky, omezeného růstu produktivity </w:t>
      </w:r>
      <w:r w:rsidR="008B2288">
        <w:t>a </w:t>
      </w:r>
      <w:r>
        <w:t>náročného podnikatelského prostředí; znovu opakuje, že je důležité zlepšit dopravní infrastrukturu mezi zeměmi západního Balkánu a vybudovat propojení s členskými státy EU;</w:t>
      </w:r>
    </w:p>
    <w:p w14:paraId="68B36490" w14:textId="0F8030F2" w:rsidR="006B03D6" w:rsidRPr="00454E1B" w:rsidRDefault="006B03D6" w:rsidP="006B03D6">
      <w:pPr>
        <w:pStyle w:val="NormalHanging12a"/>
      </w:pPr>
      <w:r>
        <w:t>17.</w:t>
      </w:r>
      <w:r>
        <w:tab/>
        <w:t xml:space="preserve">zdůrazňuje, že je důležité investovat do vzdělávání, rozvoje dovedností </w:t>
      </w:r>
      <w:r w:rsidR="008B2288">
        <w:t>a </w:t>
      </w:r>
      <w:r>
        <w:t xml:space="preserve">inovací </w:t>
      </w:r>
      <w:r w:rsidR="008B2288">
        <w:t>s </w:t>
      </w:r>
      <w:r>
        <w:t xml:space="preserve">cílem podpořit udržitelný růst </w:t>
      </w:r>
      <w:r w:rsidR="008B2288">
        <w:t>a </w:t>
      </w:r>
      <w:r>
        <w:t>sociální soudržnost;</w:t>
      </w:r>
    </w:p>
    <w:p w14:paraId="4525CB11" w14:textId="5FFB89A6" w:rsidR="006B03D6" w:rsidRPr="00454E1B" w:rsidRDefault="006B03D6" w:rsidP="006B03D6">
      <w:pPr>
        <w:pStyle w:val="NormalHanging12a"/>
      </w:pPr>
      <w:r>
        <w:t>18.</w:t>
      </w:r>
      <w:r>
        <w:tab/>
        <w:t xml:space="preserve">zdůrazňuje, že je velmi důležité navázat skutečný sociální dialog, aby se zajistilo, že rozšíření bude přínosné pro různé skupiny obyvatelstva; vyjadřuje politování nad nízkou četností zasedání Národní rady práce; vyzývá </w:t>
      </w:r>
      <w:r w:rsidR="008B2288">
        <w:t>k </w:t>
      </w:r>
      <w:r>
        <w:t>posílení procesu třístranných konzultací, včetně odpovídajícího zastoupení odborů; zdůrazňuje, že je třeba dále podporovat budování kapacit sociálních partnerů;</w:t>
      </w:r>
    </w:p>
    <w:p w14:paraId="55EC3473" w14:textId="0C5602D9" w:rsidR="006B03D6" w:rsidRPr="00454E1B" w:rsidRDefault="006B03D6" w:rsidP="006B03D6">
      <w:pPr>
        <w:pStyle w:val="NormalHanging12a"/>
      </w:pPr>
      <w:r>
        <w:t>19.</w:t>
      </w:r>
      <w:r>
        <w:tab/>
        <w:t xml:space="preserve">se znepokojením bere na vědomí hodnocení Komise, podle nějž </w:t>
      </w:r>
      <w:r w:rsidR="008B2288">
        <w:t>v </w:t>
      </w:r>
      <w:r>
        <w:t xml:space="preserve">uplynulém roce nedošlo </w:t>
      </w:r>
      <w:r w:rsidR="008B2288">
        <w:t>k </w:t>
      </w:r>
      <w:r>
        <w:t xml:space="preserve">žádnému pokroku </w:t>
      </w:r>
      <w:r w:rsidR="008B2288">
        <w:t>v </w:t>
      </w:r>
      <w:r>
        <w:t>oblasti životního prostředí ani změny klimatu;</w:t>
      </w:r>
    </w:p>
    <w:p w14:paraId="61A5017B" w14:textId="77777777" w:rsidR="006B03D6" w:rsidRPr="00454E1B" w:rsidRDefault="006B03D6" w:rsidP="006B03D6">
      <w:pPr>
        <w:pStyle w:val="NormalHanging12a"/>
        <w:rPr>
          <w:b/>
          <w:bCs/>
          <w:i/>
          <w:iCs/>
        </w:rPr>
      </w:pPr>
      <w:r>
        <w:rPr>
          <w:b/>
          <w:i/>
        </w:rPr>
        <w:t>Zahraniční politika a regionální spolupráce</w:t>
      </w:r>
    </w:p>
    <w:p w14:paraId="1236C67F" w14:textId="39A4E3E8" w:rsidR="006B03D6" w:rsidRPr="00454E1B" w:rsidRDefault="006B03D6" w:rsidP="006B03D6">
      <w:pPr>
        <w:pStyle w:val="NormalHanging12a"/>
      </w:pPr>
      <w:r>
        <w:t>20.</w:t>
      </w:r>
      <w:r>
        <w:tab/>
        <w:t xml:space="preserve">oceňuje, že Albánie nadále postupuje plně </w:t>
      </w:r>
      <w:r w:rsidR="008B2288">
        <w:t>v </w:t>
      </w:r>
      <w:r>
        <w:t xml:space="preserve">souladu se společnou zahraniční </w:t>
      </w:r>
      <w:r w:rsidR="008B2288">
        <w:t>a </w:t>
      </w:r>
      <w:r>
        <w:t xml:space="preserve">bezpečnostní politikou EU, včetně omezujících opatření, že se nadále zapojuje do misí </w:t>
      </w:r>
      <w:r w:rsidR="008B2288">
        <w:t>a </w:t>
      </w:r>
      <w:r>
        <w:t xml:space="preserve">operací SBOP </w:t>
      </w:r>
      <w:r w:rsidR="008B2288">
        <w:t>a </w:t>
      </w:r>
      <w:r>
        <w:t>že má konstruktivní úlohu při podpoře regionální stability;</w:t>
      </w:r>
    </w:p>
    <w:p w14:paraId="5A699E72" w14:textId="01DA4F50" w:rsidR="006B03D6" w:rsidRPr="00454E1B" w:rsidRDefault="006B03D6" w:rsidP="006B03D6">
      <w:pPr>
        <w:pStyle w:val="NormalHanging12a"/>
      </w:pPr>
      <w:r>
        <w:t>21.</w:t>
      </w:r>
      <w:r>
        <w:tab/>
        <w:t xml:space="preserve">zdůrazňuje význam dobrých sousedských vztahů </w:t>
      </w:r>
      <w:r w:rsidR="008B2288">
        <w:t>a </w:t>
      </w:r>
      <w:r>
        <w:t xml:space="preserve">regionální spolupráce jako základních složek procesu rozšíření </w:t>
      </w:r>
      <w:r w:rsidR="008B2288">
        <w:t>a </w:t>
      </w:r>
      <w:r>
        <w:t>vítá aktivní účast Albánie na regionálních iniciativách;</w:t>
      </w:r>
    </w:p>
    <w:p w14:paraId="20F070FB" w14:textId="77777777" w:rsidR="006B03D6" w:rsidRPr="00454E1B" w:rsidRDefault="006B03D6" w:rsidP="006B03D6">
      <w:pPr>
        <w:pStyle w:val="NormalHanging12a"/>
        <w:rPr>
          <w:b/>
          <w:bCs/>
          <w:i/>
          <w:iCs/>
        </w:rPr>
      </w:pPr>
      <w:r>
        <w:rPr>
          <w:b/>
          <w:i/>
        </w:rPr>
        <w:t>Podpora ze strany EU</w:t>
      </w:r>
    </w:p>
    <w:p w14:paraId="432B006F" w14:textId="09A57AF7" w:rsidR="006B03D6" w:rsidRPr="00454E1B" w:rsidRDefault="006B03D6" w:rsidP="006B03D6">
      <w:pPr>
        <w:pStyle w:val="NormalHanging12a"/>
      </w:pPr>
      <w:r>
        <w:t>22.</w:t>
      </w:r>
      <w:r>
        <w:tab/>
        <w:t xml:space="preserve">vítá, že EU poskytuje Albánii finanční </w:t>
      </w:r>
      <w:r w:rsidR="008B2288">
        <w:t>a </w:t>
      </w:r>
      <w:r>
        <w:t xml:space="preserve">technickou pomoc </w:t>
      </w:r>
      <w:r w:rsidR="008B2288">
        <w:t>v </w:t>
      </w:r>
      <w:r>
        <w:t xml:space="preserve">rámci NPP III </w:t>
      </w:r>
      <w:r w:rsidR="008B2288">
        <w:t>a </w:t>
      </w:r>
      <w:r>
        <w:t xml:space="preserve">Nástroje pro reformy </w:t>
      </w:r>
      <w:r w:rsidR="008B2288">
        <w:t>a </w:t>
      </w:r>
      <w:r>
        <w:t xml:space="preserve">růst, </w:t>
      </w:r>
      <w:r w:rsidR="008B2288">
        <w:t>a </w:t>
      </w:r>
      <w:r>
        <w:t xml:space="preserve">zdůrazňuje, že tato podpora musí zůstat důsledně podmíněna prováděním konkrétních reforem </w:t>
      </w:r>
      <w:r w:rsidR="008B2288">
        <w:t>a </w:t>
      </w:r>
      <w:r>
        <w:t>měřitelnými výsledky;</w:t>
      </w:r>
    </w:p>
    <w:p w14:paraId="63BC8574" w14:textId="77777777" w:rsidR="006B03D6" w:rsidRPr="00454E1B" w:rsidRDefault="006B03D6" w:rsidP="006B03D6">
      <w:pPr>
        <w:pStyle w:val="NormalHanging12a"/>
        <w:jc w:val="center"/>
      </w:pPr>
      <w:r>
        <w:t>°</w:t>
      </w:r>
    </w:p>
    <w:p w14:paraId="525898E4" w14:textId="77777777" w:rsidR="006B03D6" w:rsidRPr="00454E1B" w:rsidRDefault="006B03D6" w:rsidP="006B03D6">
      <w:pPr>
        <w:pStyle w:val="NormalHanging12a"/>
        <w:jc w:val="center"/>
      </w:pPr>
      <w:r>
        <w:t>°</w:t>
      </w:r>
      <w:r>
        <w:tab/>
        <w:t>°</w:t>
      </w:r>
    </w:p>
    <w:p w14:paraId="2BEE564B" w14:textId="77777777" w:rsidR="006B03D6" w:rsidRPr="00454E1B" w:rsidRDefault="006B03D6" w:rsidP="006B03D6">
      <w:pPr>
        <w:pStyle w:val="NormalHanging12a"/>
        <w:rPr>
          <w:bCs/>
          <w:iCs/>
        </w:rPr>
      </w:pPr>
      <w:r>
        <w:t>23.</w:t>
      </w:r>
      <w:r>
        <w:tab/>
        <w:t>pověřuje svou předsedkyni, aby předala toto usnesení předsedovi Evropské rady, Radě, Komisi, místopředsedkyni Komise, vysoké představitelce Unie pro zahraniční věci a bezpečnostní politiku, vládám a parlamentům členských států a prezidentovi, vládě a parlamentu Albánské republiky.</w:t>
      </w:r>
    </w:p>
    <w:p w14:paraId="71715190" w14:textId="77777777" w:rsidR="006B03D6" w:rsidRPr="004109B0" w:rsidRDefault="006B03D6" w:rsidP="006B03D6">
      <w:pPr>
        <w:pStyle w:val="NormalHanging12a"/>
        <w:sectPr w:rsidR="006B03D6" w:rsidRPr="004109B0" w:rsidSect="006B03D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Sect"/>
          </w:footnotePr>
          <w:endnotePr>
            <w:numFmt w:val="decimal"/>
          </w:endnotePr>
          <w:pgSz w:w="11906" w:h="16838" w:code="9"/>
          <w:pgMar w:top="1134" w:right="1418" w:bottom="1418" w:left="1418" w:header="1134" w:footer="567" w:gutter="0"/>
          <w:cols w:space="720"/>
          <w:noEndnote/>
          <w:titlePg/>
        </w:sectPr>
      </w:pPr>
    </w:p>
    <w:p w14:paraId="6E247AAF" w14:textId="77777777" w:rsidR="006B03D6" w:rsidRPr="004109B0" w:rsidRDefault="006B03D6" w:rsidP="006B03D6">
      <w:pPr>
        <w:pStyle w:val="PageHeading"/>
      </w:pPr>
      <w:bookmarkStart w:id="1" w:name="_Toc223420049"/>
      <w:r>
        <w:t>VYSVĚTLUJÍCÍ PROHLÁŠENÍ</w:t>
      </w:r>
      <w:bookmarkEnd w:id="1"/>
    </w:p>
    <w:p w14:paraId="08837B85" w14:textId="06219955" w:rsidR="006B03D6" w:rsidRPr="00454E1B" w:rsidRDefault="006B03D6" w:rsidP="006B03D6">
      <w:pPr>
        <w:pStyle w:val="Normal12a"/>
      </w:pPr>
      <w:r>
        <w:t xml:space="preserve">Tato zpráva hodnotí aktuální stav </w:t>
      </w:r>
      <w:r w:rsidR="008B2288">
        <w:t>a </w:t>
      </w:r>
      <w:r>
        <w:t xml:space="preserve">nejnovější vývoj, pokud jde </w:t>
      </w:r>
      <w:r w:rsidR="008B2288">
        <w:t>o </w:t>
      </w:r>
      <w:r>
        <w:t xml:space="preserve">pokrok Albánie směrem ke vstupu do EU. Obsahuje reakci Parlamentu na zprávu Komise </w:t>
      </w:r>
      <w:r w:rsidR="008B2288">
        <w:t>o </w:t>
      </w:r>
      <w:r>
        <w:t>rozšíření za rok 2025.</w:t>
      </w:r>
    </w:p>
    <w:p w14:paraId="37265F2E" w14:textId="6C617154" w:rsidR="006B03D6" w:rsidRPr="00454E1B" w:rsidRDefault="006B03D6" w:rsidP="006B03D6">
      <w:pPr>
        <w:pStyle w:val="Normal12a"/>
      </w:pPr>
      <w:r>
        <w:t xml:space="preserve">Albánie je kandidátskou zemí EU od roku 2014. </w:t>
      </w:r>
      <w:r w:rsidR="008B2288">
        <w:t>V </w:t>
      </w:r>
      <w:r>
        <w:t xml:space="preserve">červenci 2022 zahájila přístupová jednání, </w:t>
      </w:r>
      <w:r w:rsidR="008B2288">
        <w:t>v </w:t>
      </w:r>
      <w:r>
        <w:t xml:space="preserve">listopadu 2023 úspěšně dokončila proces prověřování </w:t>
      </w:r>
      <w:r w:rsidR="008B2288">
        <w:t>a v </w:t>
      </w:r>
      <w:r>
        <w:t>období od 15. října 2024 do 17.</w:t>
      </w:r>
      <w:r w:rsidR="008B2288">
        <w:t> </w:t>
      </w:r>
      <w:r>
        <w:t xml:space="preserve">listopadu 2025 otevřela všechny tematické okruhy jednání, </w:t>
      </w:r>
      <w:r w:rsidR="008B2288">
        <w:t>a </w:t>
      </w:r>
      <w:r>
        <w:t xml:space="preserve">to </w:t>
      </w:r>
      <w:r w:rsidR="008B2288">
        <w:t>v </w:t>
      </w:r>
      <w:r>
        <w:t>rekordním čase něco málo přes jeden rok.</w:t>
      </w:r>
    </w:p>
    <w:p w14:paraId="561E3496" w14:textId="233A8A0D" w:rsidR="006B03D6" w:rsidRPr="00454E1B" w:rsidRDefault="008B2288" w:rsidP="006B03D6">
      <w:pPr>
        <w:pStyle w:val="Normal12a"/>
      </w:pPr>
      <w:r>
        <w:t>V </w:t>
      </w:r>
      <w:r w:rsidR="006B03D6">
        <w:t xml:space="preserve">tomto </w:t>
      </w:r>
      <w:r>
        <w:t>a </w:t>
      </w:r>
      <w:r w:rsidR="006B03D6">
        <w:t xml:space="preserve">příštím roce bude Albánie muset toto tempo udržet, aby splnila svůj cíl být připravena na přistoupení </w:t>
      </w:r>
      <w:r>
        <w:t>k </w:t>
      </w:r>
      <w:r w:rsidR="006B03D6">
        <w:t xml:space="preserve">EU do konce roku 2027. Členské státy by pak mohly přistoupit </w:t>
      </w:r>
      <w:r>
        <w:t>k </w:t>
      </w:r>
      <w:r w:rsidR="006B03D6">
        <w:t xml:space="preserve">ratifikaci smlouvy </w:t>
      </w:r>
      <w:r>
        <w:t>o </w:t>
      </w:r>
      <w:r w:rsidR="006B03D6">
        <w:t xml:space="preserve">přistoupení, aby Albánie mohla vstoupit do EU do konce tohoto desetiletí. </w:t>
      </w:r>
      <w:r>
        <w:t>V </w:t>
      </w:r>
      <w:r w:rsidR="006B03D6">
        <w:t xml:space="preserve">této další fázi bude mít zásadní význam účinné provádění přijatých reforem </w:t>
      </w:r>
      <w:r>
        <w:t>v </w:t>
      </w:r>
      <w:r w:rsidR="006B03D6">
        <w:t>praxi.</w:t>
      </w:r>
    </w:p>
    <w:p w14:paraId="5FD44644" w14:textId="00E4471D" w:rsidR="006B03D6" w:rsidRPr="00454E1B" w:rsidRDefault="006B03D6" w:rsidP="006B03D6">
      <w:pPr>
        <w:pStyle w:val="Normal12a"/>
      </w:pPr>
      <w:r>
        <w:t xml:space="preserve">Tato zpráva hodnotí pokrok Albánie, pokud jde </w:t>
      </w:r>
      <w:r w:rsidR="008B2288">
        <w:t>o </w:t>
      </w:r>
      <w:r>
        <w:t xml:space="preserve">její demokratické instituce, svobodu sdělovacích prostředků, zapojení občanské společnosti, základní práva, právní stát, socioekonomické reformy, životní prostředí, regionální spolupráci </w:t>
      </w:r>
      <w:r w:rsidR="008B2288">
        <w:t>a </w:t>
      </w:r>
      <w:r>
        <w:t>zahraniční politiku.</w:t>
      </w:r>
    </w:p>
    <w:p w14:paraId="6D988E7E" w14:textId="6C222E9E" w:rsidR="006B03D6" w:rsidRPr="00454E1B" w:rsidRDefault="006B03D6" w:rsidP="006B03D6">
      <w:pPr>
        <w:pStyle w:val="Normal12a"/>
      </w:pPr>
      <w:r>
        <w:t xml:space="preserve">Navzdory dosaženému pokroku se Albánie stále potýká </w:t>
      </w:r>
      <w:r w:rsidR="008B2288">
        <w:t>s </w:t>
      </w:r>
      <w:r>
        <w:t xml:space="preserve">několika problémy. Musí například překonat vnitřní politickou polarizaci, zlepšit politickou kulturu, posílit právní stát </w:t>
      </w:r>
      <w:r w:rsidR="008B2288">
        <w:t>a </w:t>
      </w:r>
      <w:r>
        <w:t>konsolidovat protikorupční reformy.</w:t>
      </w:r>
    </w:p>
    <w:p w14:paraId="109F7847" w14:textId="623E478A" w:rsidR="006B03D6" w:rsidRPr="00454E1B" w:rsidRDefault="006B03D6" w:rsidP="006B03D6">
      <w:pPr>
        <w:pStyle w:val="Normal12a"/>
      </w:pPr>
      <w:r>
        <w:t xml:space="preserve">Letošní zpráva klade zvláštní důraz na socioekonomické reformy </w:t>
      </w:r>
      <w:r w:rsidR="008B2288">
        <w:t>a </w:t>
      </w:r>
      <w:r>
        <w:t>zdůrazňuje, že zásadní význam pro zajištění toho, aby rozšíření bylo přínosné pro všechny skupiny obyvatelstva, má skutečný sociální dialog.</w:t>
      </w:r>
    </w:p>
    <w:p w14:paraId="50D6030D" w14:textId="77777777" w:rsidR="006B03D6" w:rsidRDefault="006B03D6" w:rsidP="006B03D6">
      <w:pPr>
        <w:widowControl/>
        <w:sectPr w:rsidR="006B03D6" w:rsidSect="006B03D6">
          <w:headerReference w:type="even" r:id="rId14"/>
          <w:headerReference w:type="default" r:id="rId15"/>
          <w:headerReference w:type="first" r:id="rId16"/>
          <w:footerReference w:type="first" r:id="rId17"/>
          <w:footnotePr>
            <w:numRestart w:val="eachSect"/>
          </w:footnotePr>
          <w:endnotePr>
            <w:numFmt w:val="decimal"/>
          </w:endnotePr>
          <w:pgSz w:w="11906" w:h="16838" w:code="9"/>
          <w:pgMar w:top="1134" w:right="1418" w:bottom="1418" w:left="1418" w:header="1134" w:footer="567" w:gutter="0"/>
          <w:cols w:space="720"/>
          <w:noEndnote/>
          <w:docGrid w:linePitch="326"/>
        </w:sectPr>
      </w:pPr>
    </w:p>
    <w:p w14:paraId="6F7E23EC" w14:textId="77777777" w:rsidR="006B03D6" w:rsidRPr="00454E1B" w:rsidRDefault="006B03D6" w:rsidP="006B03D6">
      <w:pPr>
        <w:pStyle w:val="Normal12a"/>
      </w:pPr>
      <w:bookmarkStart w:id="2" w:name="FootprintPageRR"/>
    </w:p>
    <w:p w14:paraId="553503A1" w14:textId="77777777" w:rsidR="006B03D6" w:rsidRDefault="006B03D6" w:rsidP="006B03D6">
      <w:pPr>
        <w:pStyle w:val="PageHeading"/>
        <w:rPr>
          <w:noProof/>
        </w:rPr>
      </w:pPr>
      <w:bookmarkStart w:id="3" w:name="_Toc223420050"/>
      <w:r>
        <w:t>PŘÍLOHA: ZVEŘEJŇOVÁNÍ PODNĚTŮ</w:t>
      </w:r>
      <w:bookmarkEnd w:id="3"/>
    </w:p>
    <w:p w14:paraId="6DD90ABB" w14:textId="687740AD" w:rsidR="006B03D6" w:rsidRPr="0099178F" w:rsidRDefault="006B03D6" w:rsidP="006B03D6">
      <w:pPr>
        <w:pStyle w:val="Footprint12b"/>
        <w:spacing w:after="240"/>
      </w:pPr>
      <w:r w:rsidRPr="009061C1">
        <w:rPr>
          <w:rStyle w:val="HideTWBExt"/>
        </w:rPr>
        <w:t>&lt;FootprintIntro&gt;</w:t>
      </w:r>
      <w:r>
        <w:t xml:space="preserve">Zpravodaj </w:t>
      </w:r>
      <w:r w:rsidR="008B2288">
        <w:t>v </w:t>
      </w:r>
      <w:r>
        <w:t xml:space="preserve">souladu </w:t>
      </w:r>
      <w:r w:rsidR="008B2288">
        <w:t>s </w:t>
      </w:r>
      <w:r>
        <w:t xml:space="preserve">článkem 8 přílohy </w:t>
      </w:r>
      <w:r w:rsidR="008B2288">
        <w:t>I </w:t>
      </w:r>
      <w:r>
        <w:t xml:space="preserve">jednacího řádu prohlašuje, že do své zprávy zahrnul podněty </w:t>
      </w:r>
      <w:r w:rsidR="008B2288">
        <w:t>k </w:t>
      </w:r>
      <w:r>
        <w:t xml:space="preserve">záležitostem týkajícím se předmětu spisu, které při vypracovávání návrhu zprávy obdržel od zástupců zájmových skupin spadajících do oblasti působnosti interinstitucionální dohody </w:t>
      </w:r>
      <w:r w:rsidR="008B2288">
        <w:t>o </w:t>
      </w:r>
      <w:r>
        <w:t>povinném rejstříku transparentnosti</w:t>
      </w:r>
      <w:r>
        <w:rPr>
          <w:rStyle w:val="FootnoteReference"/>
        </w:rPr>
        <w:footnoteReference w:id="4"/>
      </w:r>
      <w:r>
        <w:t xml:space="preserve"> nebo představitelů orgánů třetích zemí, včetně jejich diplomatických misí </w:t>
      </w:r>
      <w:r w:rsidR="008B2288">
        <w:t>a </w:t>
      </w:r>
      <w:r>
        <w:t>velvyslanectví:</w:t>
      </w:r>
      <w:r w:rsidRPr="009061C1">
        <w:rPr>
          <w:rStyle w:val="HideTWBExt"/>
        </w:rPr>
        <w:t>&lt;/FootprintIntro&gt;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6B03D6" w14:paraId="0085C59A" w14:textId="77777777" w:rsidTr="003E2E39">
        <w:tc>
          <w:tcPr>
            <w:tcW w:w="9060" w:type="dxa"/>
            <w:shd w:val="clear" w:color="auto" w:fill="auto"/>
          </w:tcPr>
          <w:p w14:paraId="3A7DA092" w14:textId="6D6874B8" w:rsidR="006B03D6" w:rsidRPr="006B03D6" w:rsidRDefault="006B03D6" w:rsidP="00444D57">
            <w:pPr>
              <w:pStyle w:val="NormalBoldCenter"/>
            </w:pPr>
            <w:r>
              <w:t xml:space="preserve">1. Zástupci zájmových skupin spadající do oblasti působnosti interinstitucionální dohody </w:t>
            </w:r>
            <w:r w:rsidR="008B2288">
              <w:t>o </w:t>
            </w:r>
            <w:r>
              <w:t>povinném rejstříku transparentnosti</w:t>
            </w:r>
          </w:p>
        </w:tc>
      </w:tr>
      <w:tr w:rsidR="006B03D6" w14:paraId="3D53FA5F" w14:textId="77777777" w:rsidTr="003E2E39">
        <w:tc>
          <w:tcPr>
            <w:tcW w:w="9060" w:type="dxa"/>
            <w:shd w:val="clear" w:color="auto" w:fill="auto"/>
          </w:tcPr>
          <w:p w14:paraId="4B8EB8CA" w14:textId="77777777" w:rsidR="006B03D6" w:rsidRDefault="006B03D6" w:rsidP="00444D57"/>
        </w:tc>
      </w:tr>
      <w:tr w:rsidR="006B03D6" w14:paraId="6E470B96" w14:textId="77777777" w:rsidTr="00444D57">
        <w:trPr>
          <w:trHeight w:val="783"/>
        </w:trPr>
        <w:tc>
          <w:tcPr>
            <w:tcW w:w="9060" w:type="dxa"/>
            <w:shd w:val="clear" w:color="auto" w:fill="auto"/>
          </w:tcPr>
          <w:p w14:paraId="26FA6024" w14:textId="5F242307" w:rsidR="006B03D6" w:rsidRDefault="006B03D6" w:rsidP="00444D57">
            <w:pPr>
              <w:pStyle w:val="NormalBoldCenter"/>
            </w:pPr>
            <w:r>
              <w:t xml:space="preserve">2. Představitelé orgánů třetích zemí, včetně jejich diplomatických misí </w:t>
            </w:r>
            <w:r w:rsidR="008B2288">
              <w:t>a </w:t>
            </w:r>
            <w:r>
              <w:t>velvyslanectví</w:t>
            </w:r>
          </w:p>
        </w:tc>
      </w:tr>
      <w:tr w:rsidR="006B03D6" w14:paraId="7496D6C7" w14:textId="77777777" w:rsidTr="003E2E39">
        <w:tc>
          <w:tcPr>
            <w:tcW w:w="9060" w:type="dxa"/>
            <w:shd w:val="clear" w:color="auto" w:fill="auto"/>
          </w:tcPr>
          <w:p w14:paraId="36945BE9" w14:textId="77777777" w:rsidR="006B03D6" w:rsidRPr="009061C1" w:rsidRDefault="006B03D6" w:rsidP="00444D57">
            <w:pPr>
              <w:rPr>
                <w:rStyle w:val="HideTWBExt"/>
              </w:rPr>
            </w:pPr>
            <w:proofErr w:type="spellStart"/>
            <w:r>
              <w:t>Government</w:t>
            </w:r>
            <w:proofErr w:type="spellEnd"/>
            <w:r>
              <w:t xml:space="preserve"> </w:t>
            </w:r>
            <w:proofErr w:type="spellStart"/>
            <w:r>
              <w:t>of</w:t>
            </w:r>
            <w:proofErr w:type="spellEnd"/>
            <w:r>
              <w:t xml:space="preserve"> Republic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Albania</w:t>
            </w:r>
            <w:proofErr w:type="spellEnd"/>
          </w:p>
        </w:tc>
      </w:tr>
      <w:tr w:rsidR="006B03D6" w14:paraId="64015892" w14:textId="77777777" w:rsidTr="003E2E39">
        <w:tc>
          <w:tcPr>
            <w:tcW w:w="9060" w:type="dxa"/>
            <w:shd w:val="clear" w:color="auto" w:fill="auto"/>
          </w:tcPr>
          <w:p w14:paraId="59BA8807" w14:textId="77777777" w:rsidR="006B03D6" w:rsidRPr="009061C1" w:rsidRDefault="006B03D6" w:rsidP="00444D57">
            <w:pPr>
              <w:rPr>
                <w:rStyle w:val="HideTWBExt"/>
              </w:rPr>
            </w:pPr>
            <w:proofErr w:type="spellStart"/>
            <w:r>
              <w:t>Members</w:t>
            </w:r>
            <w:proofErr w:type="spellEnd"/>
            <w:r>
              <w:t xml:space="preserve">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Parliament</w:t>
            </w:r>
            <w:proofErr w:type="spellEnd"/>
            <w:r>
              <w:t xml:space="preserve">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Republic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Albania</w:t>
            </w:r>
            <w:proofErr w:type="spellEnd"/>
          </w:p>
        </w:tc>
      </w:tr>
    </w:tbl>
    <w:p w14:paraId="22AFC5B0" w14:textId="77777777" w:rsidR="006B03D6" w:rsidRPr="00D86524" w:rsidRDefault="006B03D6" w:rsidP="00444D57">
      <w:pPr>
        <w:pStyle w:val="Footprint12b"/>
      </w:pPr>
      <w:r>
        <w:t>Výše uvedený seznam je sestaven na výhradní odpovědnost zpravodaje.</w:t>
      </w:r>
    </w:p>
    <w:p w14:paraId="4C3FB2F3" w14:textId="38F920DA" w:rsidR="006B03D6" w:rsidRDefault="006B03D6" w:rsidP="00444D57">
      <w:pPr>
        <w:pStyle w:val="Footprint12b"/>
      </w:pPr>
      <w:r>
        <w:t xml:space="preserve">Pokud jsou na seznamu uvedena jména, funkce, případně jména </w:t>
      </w:r>
      <w:r w:rsidR="008B2288">
        <w:t>i </w:t>
      </w:r>
      <w:r>
        <w:t xml:space="preserve">funkce fyzických osob, zpravodaj prohlašuje, že příslušné fyzické osoby byly seznámeny </w:t>
      </w:r>
      <w:r w:rsidR="008B2288">
        <w:t>s </w:t>
      </w:r>
      <w:r>
        <w:t xml:space="preserve">prohlášením Evropského parlamentu </w:t>
      </w:r>
      <w:r w:rsidR="008B2288">
        <w:t>o </w:t>
      </w:r>
      <w:r>
        <w:t>ochraně osobních údajů č. 484 (</w:t>
      </w:r>
      <w:hyperlink r:id="rId18" w:history="1">
        <w:r>
          <w:rPr>
            <w:rStyle w:val="Hyperlink"/>
          </w:rPr>
          <w:t>https://www.europarl.europa.eu/data-protect/index.do</w:t>
        </w:r>
      </w:hyperlink>
      <w:r>
        <w:t xml:space="preserve">), které stanoví podmínky platné pro zpracování jejich osobních údajů </w:t>
      </w:r>
      <w:r w:rsidR="008B2288">
        <w:t>a </w:t>
      </w:r>
      <w:r>
        <w:t xml:space="preserve">práva související </w:t>
      </w:r>
      <w:r w:rsidR="008B2288">
        <w:t>s </w:t>
      </w:r>
      <w:r>
        <w:t>tímto zpracováním.</w:t>
      </w:r>
    </w:p>
    <w:p w14:paraId="19E7D44A" w14:textId="6B00A930" w:rsidR="00276B35" w:rsidRPr="004109B0" w:rsidRDefault="00276B35" w:rsidP="00444D57">
      <w:pPr>
        <w:pStyle w:val="Footprint12b"/>
      </w:pPr>
    </w:p>
    <w:bookmarkEnd w:id="2"/>
    <w:sectPr w:rsidR="00276B35" w:rsidRPr="004109B0" w:rsidSect="006B03D6">
      <w:headerReference w:type="even" r:id="rId19"/>
      <w:headerReference w:type="default" r:id="rId20"/>
      <w:headerReference w:type="first" r:id="rId21"/>
      <w:footerReference w:type="first" r:id="rId22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6F7BA3" w14:textId="77777777" w:rsidR="004109B0" w:rsidRPr="004109B0" w:rsidRDefault="004109B0">
      <w:r w:rsidRPr="004109B0">
        <w:separator/>
      </w:r>
    </w:p>
  </w:endnote>
  <w:endnote w:type="continuationSeparator" w:id="0">
    <w:p w14:paraId="03EF1E8D" w14:textId="77777777" w:rsidR="004109B0" w:rsidRPr="004109B0" w:rsidRDefault="004109B0">
      <w:r w:rsidRPr="004109B0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04DBA" w14:textId="77777777" w:rsidR="006B03D6" w:rsidRDefault="006B03D6" w:rsidP="006B03D6">
    <w:pPr>
      <w:pStyle w:val="EPFooter"/>
    </w:pPr>
    <w:r>
      <w:t>PE</w:t>
    </w:r>
    <w:r w:rsidRPr="009061C1">
      <w:rPr>
        <w:rStyle w:val="HideTWBExt"/>
      </w:rPr>
      <w:t>&lt;NoPE&gt;</w:t>
    </w:r>
    <w:r>
      <w:t>784.259</w:t>
    </w:r>
    <w:r w:rsidRPr="009061C1">
      <w:rPr>
        <w:rStyle w:val="HideTWBExt"/>
      </w:rPr>
      <w:t>&lt;/NoPE&gt;&lt;Version&gt;</w:t>
    </w:r>
    <w:r>
      <w:t>v01-00</w:t>
    </w:r>
    <w:r w:rsidRPr="009061C1">
      <w:rPr>
        <w:rStyle w:val="HideTWBExt"/>
      </w:rPr>
      <w:t>&lt;/Version&gt;</w:t>
    </w:r>
    <w: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10</w:t>
    </w:r>
    <w:r>
      <w:fldChar w:fldCharType="end"/>
    </w:r>
    <w:r>
      <w:t>/</w:t>
    </w:r>
    <w:fldSimple w:instr=" NUMPAGES  \* MERGEFORMAT ">
      <w:r>
        <w:rPr>
          <w:noProof/>
        </w:rPr>
        <w:t>10</w:t>
      </w:r>
    </w:fldSimple>
    <w:r>
      <w:tab/>
    </w:r>
    <w:r w:rsidRPr="009061C1">
      <w:rPr>
        <w:rStyle w:val="HideTWBExt"/>
      </w:rPr>
      <w:t>&lt;PathFdR&gt;</w:t>
    </w:r>
    <w:r>
      <w:t>PR\1336685CS.docx</w:t>
    </w:r>
    <w:r w:rsidRPr="009061C1">
      <w:rPr>
        <w:rStyle w:val="HideTWBExt"/>
      </w:rPr>
      <w:t>&lt;/PathFdR&gt;</w:t>
    </w:r>
  </w:p>
  <w:p w14:paraId="796F7526" w14:textId="5945DBDF" w:rsidR="006B03D6" w:rsidRPr="004109B0" w:rsidRDefault="006B03D6" w:rsidP="006B03D6">
    <w:pPr>
      <w:pStyle w:val="EPFooter2"/>
    </w:pPr>
    <w:r>
      <w:t>CS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61036" w14:textId="77777777" w:rsidR="006B03D6" w:rsidRDefault="006B03D6" w:rsidP="006B03D6">
    <w:pPr>
      <w:pStyle w:val="EPFooter"/>
    </w:pPr>
    <w:r w:rsidRPr="009061C1">
      <w:rPr>
        <w:rStyle w:val="HideTWBExt"/>
      </w:rPr>
      <w:t>&lt;PathFdR&gt;</w:t>
    </w:r>
    <w:r>
      <w:t>PR\1336685CS.docx</w:t>
    </w:r>
    <w:r w:rsidRPr="009061C1">
      <w:rPr>
        <w:rStyle w:val="HideTWBExt"/>
      </w:rPr>
      <w:t>&lt;/PathFdR&gt;</w:t>
    </w:r>
    <w: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9</w:t>
    </w:r>
    <w:r>
      <w:fldChar w:fldCharType="end"/>
    </w:r>
    <w:r>
      <w:t>/</w:t>
    </w:r>
    <w:fldSimple w:instr=" NUMPAGES  \* MERGEFORMAT ">
      <w:r>
        <w:rPr>
          <w:noProof/>
        </w:rPr>
        <w:t>10</w:t>
      </w:r>
    </w:fldSimple>
    <w:r>
      <w:tab/>
      <w:t>PE</w:t>
    </w:r>
    <w:r w:rsidRPr="009061C1">
      <w:rPr>
        <w:rStyle w:val="HideTWBExt"/>
      </w:rPr>
      <w:t>&lt;NoPE&gt;</w:t>
    </w:r>
    <w:r>
      <w:t>784.259</w:t>
    </w:r>
    <w:r w:rsidRPr="009061C1">
      <w:rPr>
        <w:rStyle w:val="HideTWBExt"/>
      </w:rPr>
      <w:t>&lt;/NoPE&gt;&lt;Version&gt;</w:t>
    </w:r>
    <w:r>
      <w:t>v01-00</w:t>
    </w:r>
    <w:r w:rsidRPr="009061C1">
      <w:rPr>
        <w:rStyle w:val="HideTWBExt"/>
      </w:rPr>
      <w:t>&lt;/Version&gt;</w:t>
    </w:r>
  </w:p>
  <w:p w14:paraId="285A3237" w14:textId="73A44957" w:rsidR="006B03D6" w:rsidRPr="004109B0" w:rsidRDefault="006B03D6" w:rsidP="006B03D6">
    <w:pPr>
      <w:pStyle w:val="EPFooter2"/>
    </w:pPr>
    <w:r>
      <w:tab/>
    </w:r>
    <w:r>
      <w:tab/>
      <w:t>CS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5B5EF" w14:textId="77777777" w:rsidR="006B03D6" w:rsidRDefault="006B03D6" w:rsidP="006B03D6">
    <w:pPr>
      <w:pStyle w:val="EPFooter"/>
    </w:pPr>
    <w:r w:rsidRPr="009061C1">
      <w:rPr>
        <w:rStyle w:val="HideTWBExt"/>
      </w:rPr>
      <w:t>&lt;PathFdR&gt;</w:t>
    </w:r>
    <w:r>
      <w:t>PR\1336685CS.docx</w:t>
    </w:r>
    <w:r w:rsidRPr="009061C1">
      <w:rPr>
        <w:rStyle w:val="HideTWBExt"/>
      </w:rPr>
      <w:t>&lt;/PathFdR&gt;</w:t>
    </w:r>
    <w:r>
      <w:tab/>
    </w:r>
    <w:r>
      <w:tab/>
      <w:t>PE</w:t>
    </w:r>
    <w:r w:rsidRPr="009061C1">
      <w:rPr>
        <w:rStyle w:val="HideTWBExt"/>
      </w:rPr>
      <w:t>&lt;NoPE&gt;</w:t>
    </w:r>
    <w:r>
      <w:t>784.259</w:t>
    </w:r>
    <w:r w:rsidRPr="009061C1">
      <w:rPr>
        <w:rStyle w:val="HideTWBExt"/>
      </w:rPr>
      <w:t>&lt;/NoPE&gt;&lt;Version&gt;</w:t>
    </w:r>
    <w:r>
      <w:t>v01-00</w:t>
    </w:r>
    <w:r w:rsidRPr="009061C1">
      <w:rPr>
        <w:rStyle w:val="HideTWBExt"/>
      </w:rPr>
      <w:t>&lt;/Version&gt;</w:t>
    </w:r>
  </w:p>
  <w:p w14:paraId="1B3C8FA5" w14:textId="37042551" w:rsidR="006B03D6" w:rsidRPr="004109B0" w:rsidRDefault="006B03D6" w:rsidP="006B03D6">
    <w:pPr>
      <w:pStyle w:val="EPFooter2"/>
    </w:pPr>
    <w:r>
      <w:t>CS</w:t>
    </w:r>
    <w:r>
      <w:tab/>
    </w:r>
    <w:r w:rsidRPr="006B03D6">
      <w:rPr>
        <w:b w:val="0"/>
        <w:i/>
        <w:color w:val="C0C0C0"/>
        <w:sz w:val="22"/>
      </w:rPr>
      <w:t>Jednotná v rozmanitosti</w:t>
    </w:r>
    <w:r>
      <w:tab/>
      <w:t>CS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C7915" w14:textId="77777777" w:rsidR="006B03D6" w:rsidRPr="004109B0" w:rsidRDefault="006B03D6" w:rsidP="00584A07">
    <w:pPr>
      <w:pStyle w:val="EPFooter"/>
    </w:pPr>
    <w:r w:rsidRPr="009061C1">
      <w:rPr>
        <w:rStyle w:val="HideTWBExt"/>
      </w:rPr>
      <w:t>&lt;PathFdR&gt;</w:t>
    </w:r>
    <w:r w:rsidRPr="006B03D6">
      <w:rPr>
        <w:color w:val="auto"/>
      </w:rPr>
      <w:t>PR\1336685CS.docx</w:t>
    </w:r>
    <w:r w:rsidRPr="009061C1">
      <w:rPr>
        <w:rStyle w:val="HideTWBExt"/>
      </w:rPr>
      <w:t>&lt;/PathFdR&gt;</w:t>
    </w:r>
    <w:r w:rsidRPr="004109B0">
      <w:tab/>
    </w:r>
    <w:r w:rsidRPr="004109B0">
      <w:tab/>
      <w:t>PE</w:t>
    </w:r>
    <w:r w:rsidRPr="009061C1">
      <w:rPr>
        <w:rStyle w:val="HideTWBExt"/>
      </w:rPr>
      <w:t>&lt;NoPE&gt;</w:t>
    </w:r>
    <w:r w:rsidRPr="006B03D6">
      <w:rPr>
        <w:color w:val="auto"/>
      </w:rPr>
      <w:t>784.259</w:t>
    </w:r>
    <w:r w:rsidRPr="009061C1">
      <w:rPr>
        <w:rStyle w:val="HideTWBExt"/>
      </w:rPr>
      <w:t>&lt;/NoPE&gt;&lt;Version&gt;</w:t>
    </w:r>
    <w:r w:rsidRPr="004109B0">
      <w:t>v</w:t>
    </w:r>
    <w:r w:rsidRPr="006B03D6">
      <w:rPr>
        <w:color w:val="auto"/>
      </w:rPr>
      <w:t>01-00</w:t>
    </w:r>
    <w:r w:rsidRPr="009061C1">
      <w:rPr>
        <w:rStyle w:val="HideTWBExt"/>
      </w:rPr>
      <w:t>&lt;/Version&gt;</w:t>
    </w:r>
  </w:p>
  <w:p w14:paraId="2D7E0DA5" w14:textId="3DCD550D" w:rsidR="006B03D6" w:rsidRPr="004109B0" w:rsidRDefault="006B03D6" w:rsidP="00E3537C">
    <w:pPr>
      <w:pStyle w:val="EPFooter2"/>
      <w:tabs>
        <w:tab w:val="clear" w:pos="4535"/>
        <w:tab w:val="center" w:pos="4536"/>
      </w:tabs>
    </w:pPr>
    <w:r w:rsidRPr="004109B0">
      <w:fldChar w:fldCharType="begin"/>
    </w:r>
    <w:r w:rsidRPr="004109B0">
      <w:instrText xml:space="preserve"> DOCPROPERTY "&lt;Extension&gt;" </w:instrText>
    </w:r>
    <w:r w:rsidRPr="004109B0">
      <w:fldChar w:fldCharType="separate"/>
    </w:r>
    <w:r w:rsidR="009061C1">
      <w:t>CS</w:t>
    </w:r>
    <w:r w:rsidRPr="004109B0">
      <w:fldChar w:fldCharType="end"/>
    </w:r>
    <w:r w:rsidRPr="004109B0">
      <w:tab/>
    </w:r>
    <w:r>
      <w:rPr>
        <w:b w:val="0"/>
        <w:i/>
        <w:color w:val="C0C0C0"/>
        <w:sz w:val="22"/>
        <w:szCs w:val="22"/>
      </w:rPr>
      <w:t>Jednotná v rozmanitosti</w:t>
    </w:r>
    <w:r w:rsidRPr="004109B0">
      <w:tab/>
    </w:r>
    <w:r w:rsidRPr="004109B0">
      <w:fldChar w:fldCharType="begin"/>
    </w:r>
    <w:r w:rsidRPr="004109B0">
      <w:instrText xml:space="preserve"> DOCPROPERTY "&lt;Extension&gt;" </w:instrText>
    </w:r>
    <w:r w:rsidRPr="004109B0">
      <w:fldChar w:fldCharType="separate"/>
    </w:r>
    <w:r w:rsidR="009061C1">
      <w:t>CS</w:t>
    </w:r>
    <w:r w:rsidRPr="004109B0"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15EC4" w14:textId="6A0E1FBA" w:rsidR="00100069" w:rsidRPr="004109B0" w:rsidRDefault="00100069" w:rsidP="00584A07">
    <w:pPr>
      <w:pStyle w:val="EPFooter"/>
    </w:pPr>
    <w:r w:rsidRPr="009061C1">
      <w:rPr>
        <w:rStyle w:val="HideTWBExt"/>
      </w:rPr>
      <w:t>&lt;PathFdR&gt;</w:t>
    </w:r>
    <w:r w:rsidR="006B03D6" w:rsidRPr="006B03D6">
      <w:rPr>
        <w:color w:val="auto"/>
      </w:rPr>
      <w:t>PR\1336685CS.docx</w:t>
    </w:r>
    <w:r w:rsidRPr="009061C1">
      <w:rPr>
        <w:rStyle w:val="HideTWBExt"/>
      </w:rPr>
      <w:t>&lt;/PathFdR&gt;</w:t>
    </w:r>
    <w:r w:rsidRPr="004109B0">
      <w:tab/>
    </w:r>
    <w:r w:rsidRPr="004109B0">
      <w:tab/>
      <w:t>PE</w:t>
    </w:r>
    <w:r w:rsidRPr="009061C1">
      <w:rPr>
        <w:rStyle w:val="HideTWBExt"/>
      </w:rPr>
      <w:t>&lt;NoPE&gt;</w:t>
    </w:r>
    <w:r w:rsidR="006B03D6" w:rsidRPr="006B03D6">
      <w:rPr>
        <w:color w:val="auto"/>
      </w:rPr>
      <w:t>784.259</w:t>
    </w:r>
    <w:r w:rsidRPr="009061C1">
      <w:rPr>
        <w:rStyle w:val="HideTWBExt"/>
      </w:rPr>
      <w:t>&lt;/NoPE&gt;&lt;Version&gt;</w:t>
    </w:r>
    <w:r w:rsidR="004109B0" w:rsidRPr="004109B0">
      <w:t>v</w:t>
    </w:r>
    <w:r w:rsidR="006B03D6" w:rsidRPr="006B03D6">
      <w:rPr>
        <w:color w:val="auto"/>
      </w:rPr>
      <w:t>01-00</w:t>
    </w:r>
    <w:r w:rsidRPr="009061C1">
      <w:rPr>
        <w:rStyle w:val="HideTWBExt"/>
      </w:rPr>
      <w:t>&lt;/Version&gt;</w:t>
    </w:r>
  </w:p>
  <w:p w14:paraId="740D2CC3" w14:textId="73094657" w:rsidR="00100069" w:rsidRPr="004109B0" w:rsidRDefault="00BC6261" w:rsidP="00E3537C">
    <w:pPr>
      <w:pStyle w:val="EPFooter2"/>
      <w:tabs>
        <w:tab w:val="clear" w:pos="4535"/>
        <w:tab w:val="center" w:pos="4536"/>
      </w:tabs>
    </w:pPr>
    <w:r w:rsidRPr="004109B0">
      <w:fldChar w:fldCharType="begin"/>
    </w:r>
    <w:r w:rsidRPr="004109B0">
      <w:instrText xml:space="preserve"> DOCPROPERTY "&lt;Extension&gt;" </w:instrText>
    </w:r>
    <w:r w:rsidRPr="004109B0">
      <w:fldChar w:fldCharType="separate"/>
    </w:r>
    <w:r w:rsidR="009061C1">
      <w:t>CS</w:t>
    </w:r>
    <w:r w:rsidRPr="004109B0">
      <w:fldChar w:fldCharType="end"/>
    </w:r>
    <w:r w:rsidR="00E3537C" w:rsidRPr="004109B0">
      <w:tab/>
    </w:r>
    <w:r w:rsidR="006B03D6">
      <w:rPr>
        <w:b w:val="0"/>
        <w:i/>
        <w:color w:val="C0C0C0"/>
        <w:sz w:val="22"/>
        <w:szCs w:val="22"/>
      </w:rPr>
      <w:t>Jednotná v rozmanitosti</w:t>
    </w:r>
    <w:r w:rsidR="00E3537C" w:rsidRPr="004109B0">
      <w:tab/>
    </w:r>
    <w:r w:rsidRPr="004109B0">
      <w:fldChar w:fldCharType="begin"/>
    </w:r>
    <w:r w:rsidRPr="004109B0">
      <w:instrText xml:space="preserve"> DOCPROPERTY "&lt;Extension&gt;" </w:instrText>
    </w:r>
    <w:r w:rsidRPr="004109B0">
      <w:fldChar w:fldCharType="separate"/>
    </w:r>
    <w:r w:rsidR="009061C1">
      <w:t>CS</w:t>
    </w:r>
    <w:r w:rsidRPr="004109B0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928585" w14:textId="77777777" w:rsidR="004109B0" w:rsidRPr="004109B0" w:rsidRDefault="004109B0">
      <w:r w:rsidRPr="004109B0">
        <w:separator/>
      </w:r>
    </w:p>
  </w:footnote>
  <w:footnote w:type="continuationSeparator" w:id="0">
    <w:p w14:paraId="7B060152" w14:textId="77777777" w:rsidR="004109B0" w:rsidRPr="004109B0" w:rsidRDefault="004109B0">
      <w:r w:rsidRPr="004109B0">
        <w:continuationSeparator/>
      </w:r>
    </w:p>
  </w:footnote>
  <w:footnote w:id="1">
    <w:p w14:paraId="3E1E285D" w14:textId="1C638D19" w:rsidR="006B03D6" w:rsidRPr="00454E1B" w:rsidRDefault="006B03D6" w:rsidP="006B03D6">
      <w:pPr>
        <w:pStyle w:val="FootnoteText"/>
      </w:pPr>
      <w:r>
        <w:rPr>
          <w:rStyle w:val="FootnoteReference"/>
        </w:rPr>
        <w:footnoteRef/>
      </w:r>
      <w:r>
        <w:rPr>
          <w:rStyle w:val="FootnoteReference"/>
        </w:rPr>
        <w:t xml:space="preserve"> </w:t>
      </w:r>
      <w:proofErr w:type="spellStart"/>
      <w:r>
        <w:t>Úř</w:t>
      </w:r>
      <w:proofErr w:type="spellEnd"/>
      <w:r>
        <w:t xml:space="preserve">. </w:t>
      </w:r>
      <w:proofErr w:type="spellStart"/>
      <w:r>
        <w:t>věst</w:t>
      </w:r>
      <w:proofErr w:type="spellEnd"/>
      <w:r>
        <w:t xml:space="preserve">. L 107, 28.4.2009, s. 166, ELI: </w:t>
      </w:r>
      <w:hyperlink r:id="rId1" w:tooltip="Umožňuje k tomuto dokumentu přístup prostřednictvím jeho ELI URI." w:history="1">
        <w:r>
          <w:t>http://data.europa.eu/eli/agree_internation/2009/332/oj</w:t>
        </w:r>
      </w:hyperlink>
      <w:r>
        <w:t>.</w:t>
      </w:r>
    </w:p>
  </w:footnote>
  <w:footnote w:id="2">
    <w:p w14:paraId="25FF3B5F" w14:textId="5CD763CB" w:rsidR="006B03D6" w:rsidRPr="00454E1B" w:rsidRDefault="006B03D6" w:rsidP="006B03D6">
      <w:pPr>
        <w:pStyle w:val="FootnoteText"/>
      </w:pPr>
      <w:r>
        <w:rPr>
          <w:rStyle w:val="FootnoteReference"/>
        </w:rPr>
        <w:footnoteRef/>
      </w:r>
      <w:r>
        <w:rPr>
          <w:rStyle w:val="FootnoteReference"/>
        </w:rPr>
        <w:t xml:space="preserve"> </w:t>
      </w:r>
      <w:proofErr w:type="spellStart"/>
      <w:r>
        <w:t>Úř</w:t>
      </w:r>
      <w:proofErr w:type="spellEnd"/>
      <w:r>
        <w:t xml:space="preserve">. </w:t>
      </w:r>
      <w:proofErr w:type="spellStart"/>
      <w:r>
        <w:t>věst</w:t>
      </w:r>
      <w:proofErr w:type="spellEnd"/>
      <w:r>
        <w:t xml:space="preserve">. L 330, 20.9.2021, s. 1, ELI: </w:t>
      </w:r>
      <w:hyperlink r:id="rId2" w:tooltip="Umožňuje k tomuto dokumentu přístup prostřednictvím jeho ELI URI." w:history="1">
        <w:r>
          <w:t>http://data.europa.eu/eli/reg/2021/1529/oj</w:t>
        </w:r>
      </w:hyperlink>
      <w:r>
        <w:t>.</w:t>
      </w:r>
    </w:p>
  </w:footnote>
  <w:footnote w:id="3">
    <w:p w14:paraId="4B957F35" w14:textId="2DF0C549" w:rsidR="006B03D6" w:rsidRPr="00454E1B" w:rsidRDefault="006B03D6" w:rsidP="006B03D6">
      <w:pPr>
        <w:pStyle w:val="FootnoteText"/>
      </w:pPr>
      <w:r>
        <w:rPr>
          <w:rStyle w:val="FootnoteReference"/>
        </w:rPr>
        <w:footnoteRef/>
      </w:r>
      <w:r>
        <w:rPr>
          <w:rStyle w:val="FootnoteReference"/>
        </w:rPr>
        <w:t xml:space="preserve"> </w:t>
      </w:r>
      <w:proofErr w:type="spellStart"/>
      <w:r>
        <w:t>Úř</w:t>
      </w:r>
      <w:proofErr w:type="spellEnd"/>
      <w:r>
        <w:t xml:space="preserve">. </w:t>
      </w:r>
      <w:proofErr w:type="spellStart"/>
      <w:r>
        <w:t>věst</w:t>
      </w:r>
      <w:proofErr w:type="spellEnd"/>
      <w:r>
        <w:t xml:space="preserve">. L, 2024/1449, 24.5.2024, ELI: </w:t>
      </w:r>
      <w:hyperlink r:id="rId3" w:tgtFrame="_blank" w:tooltip="Umožňuje k tomuto dokumentu přístup prostřednictvím jeho ELI URI." w:history="1">
        <w:r>
          <w:t>http://data.europa.eu/eli/reg/2024/1449/oj</w:t>
        </w:r>
      </w:hyperlink>
      <w:r>
        <w:t>.</w:t>
      </w:r>
    </w:p>
  </w:footnote>
  <w:footnote w:id="4">
    <w:p w14:paraId="07110903" w14:textId="45375822" w:rsidR="006B03D6" w:rsidRPr="006B03D6" w:rsidRDefault="006B03D6" w:rsidP="006B03D6">
      <w:pPr>
        <w:pStyle w:val="FootnoteText"/>
      </w:pPr>
      <w:r>
        <w:rPr>
          <w:rStyle w:val="FootnoteReference"/>
        </w:rPr>
        <w:footnoteRef/>
      </w:r>
      <w:r>
        <w:t xml:space="preserve"> Interinstitucionální dohoda ze dne 20. května 2021 mezi Evropským parlamentem, Radou Evropské unie a Evropskou komisí o povinném rejstříku transparentnosti (</w:t>
      </w:r>
      <w:proofErr w:type="spellStart"/>
      <w:r>
        <w:t>Úř</w:t>
      </w:r>
      <w:proofErr w:type="spellEnd"/>
      <w:r>
        <w:t xml:space="preserve">. </w:t>
      </w:r>
      <w:proofErr w:type="spellStart"/>
      <w:r>
        <w:t>věst</w:t>
      </w:r>
      <w:proofErr w:type="spellEnd"/>
      <w:r>
        <w:t xml:space="preserve">. L 207, 11.6.2021, s. 1, ELI: </w:t>
      </w:r>
      <w:hyperlink r:id="rId4" w:history="1">
        <w:r>
          <w:rPr>
            <w:rStyle w:val="Hyperlink"/>
          </w:rPr>
          <w:t>http://data.europa.eu/eli/agree_interinstit/2021/611/oj</w:t>
        </w:r>
      </w:hyperlink>
      <w: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2682E" w14:textId="77777777" w:rsidR="006B03D6" w:rsidRDefault="006B03D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B438F" w14:textId="77777777" w:rsidR="006B03D6" w:rsidRDefault="006B03D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00E02" w14:textId="77777777" w:rsidR="006B03D6" w:rsidRDefault="006B03D6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FD999" w14:textId="77777777" w:rsidR="006B03D6" w:rsidRDefault="006B03D6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A857A" w14:textId="77777777" w:rsidR="006B03D6" w:rsidRDefault="006B03D6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1D2D3" w14:textId="77777777" w:rsidR="006B03D6" w:rsidRDefault="006B03D6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9BEFA" w14:textId="77777777" w:rsidR="006B03D6" w:rsidRDefault="006B03D6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7BC59" w14:textId="77777777" w:rsidR="006B03D6" w:rsidRDefault="006B03D6">
    <w:pPr>
      <w:pStyle w:val="Header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53B7E" w14:textId="77777777" w:rsidR="006B03D6" w:rsidRDefault="006B03D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118669504">
    <w:abstractNumId w:val="9"/>
  </w:num>
  <w:num w:numId="2" w16cid:durableId="1679653228">
    <w:abstractNumId w:val="9"/>
  </w:num>
  <w:num w:numId="3" w16cid:durableId="785469619">
    <w:abstractNumId w:val="7"/>
  </w:num>
  <w:num w:numId="4" w16cid:durableId="507064501">
    <w:abstractNumId w:val="7"/>
  </w:num>
  <w:num w:numId="5" w16cid:durableId="778572644">
    <w:abstractNumId w:val="6"/>
  </w:num>
  <w:num w:numId="6" w16cid:durableId="168761369">
    <w:abstractNumId w:val="6"/>
  </w:num>
  <w:num w:numId="7" w16cid:durableId="418794537">
    <w:abstractNumId w:val="5"/>
  </w:num>
  <w:num w:numId="8" w16cid:durableId="2036925233">
    <w:abstractNumId w:val="5"/>
  </w:num>
  <w:num w:numId="9" w16cid:durableId="2086804881">
    <w:abstractNumId w:val="4"/>
  </w:num>
  <w:num w:numId="10" w16cid:durableId="732121492">
    <w:abstractNumId w:val="4"/>
  </w:num>
  <w:num w:numId="11" w16cid:durableId="353924520">
    <w:abstractNumId w:val="8"/>
  </w:num>
  <w:num w:numId="12" w16cid:durableId="830870881">
    <w:abstractNumId w:val="8"/>
  </w:num>
  <w:num w:numId="13" w16cid:durableId="1216506756">
    <w:abstractNumId w:val="3"/>
  </w:num>
  <w:num w:numId="14" w16cid:durableId="1445882871">
    <w:abstractNumId w:val="3"/>
  </w:num>
  <w:num w:numId="15" w16cid:durableId="2031955813">
    <w:abstractNumId w:val="2"/>
  </w:num>
  <w:num w:numId="16" w16cid:durableId="1040324300">
    <w:abstractNumId w:val="2"/>
  </w:num>
  <w:num w:numId="17" w16cid:durableId="1541358107">
    <w:abstractNumId w:val="1"/>
  </w:num>
  <w:num w:numId="18" w16cid:durableId="1024985800">
    <w:abstractNumId w:val="1"/>
  </w:num>
  <w:num w:numId="19" w16cid:durableId="379477471">
    <w:abstractNumId w:val="0"/>
  </w:num>
  <w:num w:numId="20" w16cid:durableId="1257471501">
    <w:abstractNumId w:val="0"/>
  </w:num>
  <w:num w:numId="21" w16cid:durableId="226185748">
    <w:abstractNumId w:val="9"/>
  </w:num>
  <w:num w:numId="22" w16cid:durableId="945113700">
    <w:abstractNumId w:val="7"/>
  </w:num>
  <w:num w:numId="23" w16cid:durableId="1884707691">
    <w:abstractNumId w:val="6"/>
  </w:num>
  <w:num w:numId="24" w16cid:durableId="388964725">
    <w:abstractNumId w:val="5"/>
  </w:num>
  <w:num w:numId="25" w16cid:durableId="1317815">
    <w:abstractNumId w:val="4"/>
  </w:num>
  <w:num w:numId="26" w16cid:durableId="583690017">
    <w:abstractNumId w:val="8"/>
  </w:num>
  <w:num w:numId="27" w16cid:durableId="982779511">
    <w:abstractNumId w:val="3"/>
  </w:num>
  <w:num w:numId="28" w16cid:durableId="1191456843">
    <w:abstractNumId w:val="2"/>
  </w:num>
  <w:num w:numId="29" w16cid:durableId="1651253016">
    <w:abstractNumId w:val="1"/>
  </w:num>
  <w:num w:numId="30" w16cid:durableId="41369767">
    <w:abstractNumId w:val="0"/>
  </w:num>
  <w:num w:numId="31" w16cid:durableId="60564258">
    <w:abstractNumId w:val="9"/>
  </w:num>
  <w:num w:numId="32" w16cid:durableId="181945352">
    <w:abstractNumId w:val="7"/>
  </w:num>
  <w:num w:numId="33" w16cid:durableId="1192689671">
    <w:abstractNumId w:val="6"/>
  </w:num>
  <w:num w:numId="34" w16cid:durableId="1639610299">
    <w:abstractNumId w:val="5"/>
  </w:num>
  <w:num w:numId="35" w16cid:durableId="1632393959">
    <w:abstractNumId w:val="4"/>
  </w:num>
  <w:num w:numId="36" w16cid:durableId="575436742">
    <w:abstractNumId w:val="8"/>
  </w:num>
  <w:num w:numId="37" w16cid:durableId="1093084587">
    <w:abstractNumId w:val="3"/>
  </w:num>
  <w:num w:numId="38" w16cid:durableId="2020305928">
    <w:abstractNumId w:val="2"/>
  </w:num>
  <w:num w:numId="39" w16cid:durableId="324935383">
    <w:abstractNumId w:val="1"/>
  </w:num>
  <w:num w:numId="40" w16cid:durableId="765688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HORMFPMNU" w:val=" 1"/>
    <w:docVar w:name="AUTHORMNU" w:val=" 1"/>
    <w:docVar w:name="COMKEY" w:val="AFET"/>
    <w:docVar w:name="CONTRIBUTIONMNU" w:val=" 1"/>
    <w:docVar w:name="DOCDT" w:val="16/02/2026"/>
    <w:docVar w:name="LastEditedSection" w:val=" 1"/>
    <w:docVar w:name="MOTIONMNU" w:val=" 3"/>
    <w:docVar w:name="NVAR1" w:val="0"/>
    <w:docVar w:name="RULEMNU" w:val=" 1"/>
    <w:docVar w:name="strDocTypeID" w:val="PR_INI"/>
    <w:docVar w:name="strSubDir" w:val="1336"/>
    <w:docVar w:name="TITLEMNU" w:val="1"/>
    <w:docVar w:name="TXTAUTHOR" w:val="Andreas Schieder"/>
    <w:docVar w:name="TXTLANGUE" w:val="CS"/>
    <w:docVar w:name="TXTLANGUEMIN" w:val="cs"/>
    <w:docVar w:name="TXTNRINI" w:val="2025/2250"/>
    <w:docVar w:name="TXTNRPE" w:val="784.259"/>
    <w:docVar w:name="TXTPE" w:val="784.259"/>
    <w:docVar w:name="TXTPEorAP" w:val="PE"/>
    <w:docVar w:name="TXTROUTE" w:val="PR\1336685CS.docx"/>
    <w:docVar w:name="TXTTITLE" w:val="on the 2025 Commission report on Albania"/>
    <w:docVar w:name="TXTVERSION" w:val="01-00"/>
  </w:docVars>
  <w:rsids>
    <w:rsidRoot w:val="004109B0"/>
    <w:rsid w:val="00040EAC"/>
    <w:rsid w:val="0007541B"/>
    <w:rsid w:val="00082B37"/>
    <w:rsid w:val="000D2631"/>
    <w:rsid w:val="00100069"/>
    <w:rsid w:val="001046B1"/>
    <w:rsid w:val="00105C44"/>
    <w:rsid w:val="001B207D"/>
    <w:rsid w:val="0023245A"/>
    <w:rsid w:val="002544DF"/>
    <w:rsid w:val="00276B35"/>
    <w:rsid w:val="00335F69"/>
    <w:rsid w:val="00395A66"/>
    <w:rsid w:val="003E4507"/>
    <w:rsid w:val="003E6413"/>
    <w:rsid w:val="004016B4"/>
    <w:rsid w:val="004109B0"/>
    <w:rsid w:val="004200B3"/>
    <w:rsid w:val="00432B50"/>
    <w:rsid w:val="00444D57"/>
    <w:rsid w:val="00455003"/>
    <w:rsid w:val="00466A1A"/>
    <w:rsid w:val="005178FF"/>
    <w:rsid w:val="00531F4C"/>
    <w:rsid w:val="00584A07"/>
    <w:rsid w:val="005B586F"/>
    <w:rsid w:val="006272CD"/>
    <w:rsid w:val="006B03D6"/>
    <w:rsid w:val="00705D44"/>
    <w:rsid w:val="00726C82"/>
    <w:rsid w:val="007963C6"/>
    <w:rsid w:val="00865656"/>
    <w:rsid w:val="008B2288"/>
    <w:rsid w:val="008C4C65"/>
    <w:rsid w:val="008D4EF7"/>
    <w:rsid w:val="0090583E"/>
    <w:rsid w:val="009061C1"/>
    <w:rsid w:val="0095416E"/>
    <w:rsid w:val="0095536F"/>
    <w:rsid w:val="00956282"/>
    <w:rsid w:val="00996AC6"/>
    <w:rsid w:val="009E4ABB"/>
    <w:rsid w:val="00A45202"/>
    <w:rsid w:val="00AF310F"/>
    <w:rsid w:val="00B17532"/>
    <w:rsid w:val="00BA2A57"/>
    <w:rsid w:val="00BA5076"/>
    <w:rsid w:val="00BB70F1"/>
    <w:rsid w:val="00BC6261"/>
    <w:rsid w:val="00BC7C60"/>
    <w:rsid w:val="00C00074"/>
    <w:rsid w:val="00C21C5F"/>
    <w:rsid w:val="00C93A60"/>
    <w:rsid w:val="00CD3E8A"/>
    <w:rsid w:val="00D31D25"/>
    <w:rsid w:val="00D47BB0"/>
    <w:rsid w:val="00DB4680"/>
    <w:rsid w:val="00DD7B9D"/>
    <w:rsid w:val="00E155CA"/>
    <w:rsid w:val="00E3537C"/>
    <w:rsid w:val="00E61690"/>
    <w:rsid w:val="00F063B2"/>
    <w:rsid w:val="00F076A5"/>
    <w:rsid w:val="00F3651F"/>
    <w:rsid w:val="00F714A9"/>
    <w:rsid w:val="00FD3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45F82B"/>
  <w15:chartTrackingRefBased/>
  <w15:docId w15:val="{0E69B372-1E88-4C5E-9053-377CCC69A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3245A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basedOn w:val="DefaultParagraphFont"/>
    <w:rPr>
      <w:rFonts w:ascii="Arial" w:hAnsi="Arial" w:cs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styleId="TOC1">
    <w:name w:val="toc 1"/>
    <w:basedOn w:val="Normal"/>
    <w:next w:val="Normal"/>
    <w:autoRedefine/>
    <w:uiPriority w:val="39"/>
    <w:rsid w:val="007963C6"/>
    <w:pPr>
      <w:spacing w:after="240"/>
    </w:pPr>
  </w:style>
  <w:style w:type="paragraph" w:styleId="TOCHeading">
    <w:name w:val="TOC Heading"/>
    <w:basedOn w:val="Normal"/>
    <w:next w:val="TOCPage"/>
    <w:qFormat/>
    <w:pPr>
      <w:keepNext/>
      <w:spacing w:before="240" w:after="240"/>
      <w:jc w:val="center"/>
    </w:pPr>
    <w:rPr>
      <w:rFonts w:ascii="Arial" w:hAnsi="Arial"/>
      <w:b/>
    </w:rPr>
  </w:style>
  <w:style w:type="paragraph" w:customStyle="1" w:styleId="TOCPage">
    <w:name w:val="TOC Page"/>
    <w:basedOn w:val="Normal"/>
    <w:next w:val="TOC1"/>
    <w:pPr>
      <w:keepNext/>
      <w:spacing w:after="240"/>
      <w:jc w:val="right"/>
    </w:pPr>
    <w:rPr>
      <w:rFonts w:ascii="Arial" w:hAnsi="Arial"/>
      <w:b/>
    </w:rPr>
  </w:style>
  <w:style w:type="character" w:customStyle="1" w:styleId="HideTWBInt">
    <w:name w:val="HideTWBInt"/>
    <w:basedOn w:val="DefaultParagraphFont"/>
    <w:rPr>
      <w:rFonts w:ascii="Arial" w:hAnsi="Arial" w:cs="Arial"/>
      <w:noProof/>
      <w:vanish/>
      <w:color w:val="808080"/>
      <w:sz w:val="20"/>
    </w:rPr>
  </w:style>
  <w:style w:type="paragraph" w:customStyle="1" w:styleId="PageHeading">
    <w:name w:val="PageHeading"/>
    <w:basedOn w:val="Normal"/>
    <w:pPr>
      <w:keepNext/>
      <w:spacing w:after="480"/>
      <w:jc w:val="center"/>
    </w:pPr>
    <w:rPr>
      <w:rFonts w:ascii="Arial" w:hAnsi="Arial" w:cs="Arial"/>
      <w:b/>
    </w:rPr>
  </w:style>
  <w:style w:type="paragraph" w:customStyle="1" w:styleId="NormalBold">
    <w:name w:val="NormalBold"/>
    <w:basedOn w:val="Normal"/>
    <w:rPr>
      <w:b/>
    </w:rPr>
  </w:style>
  <w:style w:type="paragraph" w:customStyle="1" w:styleId="NormalHanging12a">
    <w:name w:val="NormalHanging12a"/>
    <w:basedOn w:val="Normal"/>
    <w:pPr>
      <w:spacing w:after="240"/>
      <w:ind w:left="567" w:hanging="567"/>
    </w:pPr>
  </w:style>
  <w:style w:type="paragraph" w:customStyle="1" w:styleId="EPName">
    <w:name w:val="EPName"/>
    <w:basedOn w:val="Normal"/>
    <w:rsid w:val="002544DF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584A07"/>
    <w:pPr>
      <w:spacing w:after="480"/>
      <w:ind w:left="1417"/>
    </w:p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CoverReference">
    <w:name w:val="CoverReference"/>
    <w:basedOn w:val="Normal"/>
    <w:rsid w:val="00B17532"/>
    <w:pPr>
      <w:spacing w:before="1080"/>
      <w:jc w:val="right"/>
    </w:pPr>
    <w:rPr>
      <w:rFonts w:ascii="Arial" w:hAnsi="Arial" w:cs="Arial"/>
      <w:b/>
    </w:rPr>
  </w:style>
  <w:style w:type="paragraph" w:customStyle="1" w:styleId="CoverDocType24a">
    <w:name w:val="CoverDocType24a"/>
    <w:basedOn w:val="Normal"/>
    <w:rsid w:val="00584A07"/>
    <w:pPr>
      <w:spacing w:after="480"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spacing w:before="240" w:after="1200"/>
    </w:pPr>
  </w:style>
  <w:style w:type="paragraph" w:styleId="Header">
    <w:name w:val="header"/>
    <w:basedOn w:val="Normal"/>
    <w:link w:val="HeaderChar"/>
    <w:semiHidden/>
    <w:rsid w:val="00105C44"/>
    <w:pPr>
      <w:tabs>
        <w:tab w:val="center" w:pos="4513"/>
        <w:tab w:val="right" w:pos="9026"/>
      </w:tabs>
    </w:pPr>
  </w:style>
  <w:style w:type="table" w:styleId="TableGrid">
    <w:name w:val="Table Grid"/>
    <w:basedOn w:val="TableNormal"/>
    <w:rsid w:val="00E353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E3537C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E3537C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E3537C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2544DF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2544DF"/>
    <w:pPr>
      <w:jc w:val="right"/>
    </w:pPr>
  </w:style>
  <w:style w:type="paragraph" w:customStyle="1" w:styleId="EPFooter">
    <w:name w:val="EPFooter"/>
    <w:basedOn w:val="Normal"/>
    <w:rsid w:val="00584A07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customStyle="1" w:styleId="HeaderChar">
    <w:name w:val="Header Char"/>
    <w:basedOn w:val="DefaultParagraphFont"/>
    <w:link w:val="Header"/>
    <w:semiHidden/>
    <w:rsid w:val="00105C44"/>
    <w:rPr>
      <w:sz w:val="24"/>
    </w:rPr>
  </w:style>
  <w:style w:type="paragraph" w:customStyle="1" w:styleId="EPComma">
    <w:name w:val="EPComma"/>
    <w:basedOn w:val="Normal"/>
    <w:rsid w:val="00432B50"/>
    <w:pPr>
      <w:spacing w:before="480" w:after="240"/>
    </w:pPr>
  </w:style>
  <w:style w:type="paragraph" w:customStyle="1" w:styleId="Normal12a">
    <w:name w:val="Normal12a"/>
    <w:basedOn w:val="Normal"/>
    <w:rsid w:val="00276B35"/>
    <w:pPr>
      <w:spacing w:after="240"/>
    </w:pPr>
  </w:style>
  <w:style w:type="paragraph" w:customStyle="1" w:styleId="CoverNormal12a">
    <w:name w:val="CoverNormal12a"/>
    <w:basedOn w:val="Normal"/>
    <w:rsid w:val="00C21C5F"/>
    <w:pPr>
      <w:spacing w:after="240"/>
      <w:ind w:left="1418"/>
    </w:pPr>
  </w:style>
  <w:style w:type="paragraph" w:styleId="FootnoteText">
    <w:name w:val="footnote text"/>
    <w:basedOn w:val="Normal"/>
    <w:link w:val="FootnoteTextChar"/>
    <w:rsid w:val="006B03D6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6B03D6"/>
  </w:style>
  <w:style w:type="character" w:styleId="FootnoteReference">
    <w:name w:val="footnote reference"/>
    <w:basedOn w:val="DefaultParagraphFont"/>
    <w:rsid w:val="006B03D6"/>
    <w:rPr>
      <w:vertAlign w:val="superscript"/>
    </w:rPr>
  </w:style>
  <w:style w:type="paragraph" w:customStyle="1" w:styleId="Normal24a">
    <w:name w:val="Normal24a"/>
    <w:basedOn w:val="Normal"/>
    <w:rsid w:val="006B03D6"/>
    <w:pPr>
      <w:spacing w:after="480"/>
    </w:pPr>
  </w:style>
  <w:style w:type="paragraph" w:customStyle="1" w:styleId="NormalBoldCenter">
    <w:name w:val="NormalBoldCenter"/>
    <w:basedOn w:val="Normal"/>
    <w:rsid w:val="006B03D6"/>
    <w:pPr>
      <w:jc w:val="center"/>
    </w:pPr>
    <w:rPr>
      <w:b/>
    </w:rPr>
  </w:style>
  <w:style w:type="paragraph" w:customStyle="1" w:styleId="Footprint12b">
    <w:name w:val="Footprint12b"/>
    <w:basedOn w:val="Normal"/>
    <w:rsid w:val="006B03D6"/>
    <w:pPr>
      <w:spacing w:before="240"/>
    </w:pPr>
    <w:rPr>
      <w:szCs w:val="24"/>
    </w:rPr>
  </w:style>
  <w:style w:type="paragraph" w:customStyle="1" w:styleId="NormalSingle">
    <w:name w:val="NormalSingle"/>
    <w:basedOn w:val="Normal"/>
    <w:qFormat/>
    <w:rsid w:val="006B03D6"/>
    <w:rPr>
      <w:szCs w:val="24"/>
    </w:rPr>
  </w:style>
  <w:style w:type="character" w:styleId="Hyperlink">
    <w:name w:val="Hyperlink"/>
    <w:basedOn w:val="DefaultParagraphFont"/>
    <w:rsid w:val="006B03D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03D6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semiHidden/>
    <w:rsid w:val="006B03D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6B03D6"/>
    <w:rPr>
      <w:sz w:val="24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s://www.europarl.europa.eu/data-protect/index.do" TargetMode="External"/><Relationship Id="rId3" Type="http://schemas.openxmlformats.org/officeDocument/2006/relationships/settings" Target="settings.xml"/><Relationship Id="rId21" Type="http://schemas.openxmlformats.org/officeDocument/2006/relationships/header" Target="header9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header" Target="header6.xml"/><Relationship Id="rId20" Type="http://schemas.openxmlformats.org/officeDocument/2006/relationships/header" Target="header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footer" Target="footer5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data.europa.eu/eli/reg/2024/1449/oj" TargetMode="External"/><Relationship Id="rId2" Type="http://schemas.openxmlformats.org/officeDocument/2006/relationships/hyperlink" Target="http://data.europa.eu/eli/reg/2021/1529/oj" TargetMode="External"/><Relationship Id="rId1" Type="http://schemas.openxmlformats.org/officeDocument/2006/relationships/hyperlink" Target="http://data.europa.eu/eli/agree_internation/2009/332/oj" TargetMode="External"/><Relationship Id="rId4" Type="http://schemas.openxmlformats.org/officeDocument/2006/relationships/hyperlink" Target="http://data.europa.eu/eli/agree_interinstit/2021/611/o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1820</Words>
  <Characters>11144</Characters>
  <Application>Microsoft Office Word</Application>
  <DocSecurity>0</DocSecurity>
  <Lines>214</Lines>
  <Paragraphs>104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PR_INI</vt:lpstr>
    </vt:vector>
  </TitlesOfParts>
  <Company/>
  <LinksUpToDate>false</LinksUpToDate>
  <CharactersWithSpaces>12860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PR_INI</dc:title>
  <dc:subject/>
  <dc:creator>SMAKALOVA Sona</dc:creator>
  <cp:keywords/>
  <dc:description/>
  <cp:lastModifiedBy>KLACAR Marie</cp:lastModifiedBy>
  <cp:revision>2</cp:revision>
  <cp:lastPrinted>2004-12-08T15:27:00Z</cp:lastPrinted>
  <dcterms:created xsi:type="dcterms:W3CDTF">2026-03-03T07:47:00Z</dcterms:created>
  <dcterms:modified xsi:type="dcterms:W3CDTF">2026-03-03T07:47:00Z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CS</vt:lpwstr>
  </property>
  <property fmtid="{D5CDD505-2E9C-101B-9397-08002B2CF9AE}" pid="3" name="Created with">
    <vt:lpwstr>10.2.1 Build [20260110]</vt:lpwstr>
  </property>
  <property fmtid="{D5CDD505-2E9C-101B-9397-08002B2CF9AE}" pid="4" name="LastEdited with">
    <vt:lpwstr>10.2.1 Build [20260110]</vt:lpwstr>
  </property>
  <property fmtid="{D5CDD505-2E9C-101B-9397-08002B2CF9AE}" pid="5" name="&lt;FdR&gt;">
    <vt:lpwstr>1336685</vt:lpwstr>
  </property>
  <property fmtid="{D5CDD505-2E9C-101B-9397-08002B2CF9AE}" pid="6" name="&lt;Type&gt;">
    <vt:lpwstr>PR</vt:lpwstr>
  </property>
  <property fmtid="{D5CDD505-2E9C-101B-9397-08002B2CF9AE}" pid="7" name="&lt;ModelCod&gt;">
    <vt:lpwstr>\\eiciLUXpr1\pdocep$\DocEP\DOCS\General\PR\PR_NonLeg\INI\PR_INI.dotx(18/02/2025 08:53:03)</vt:lpwstr>
  </property>
  <property fmtid="{D5CDD505-2E9C-101B-9397-08002B2CF9AE}" pid="8" name="&lt;ModelTra&gt;">
    <vt:lpwstr>\\eiciLUXpr1\pdocep$\DocEP\TRANSFIL\CS\PR_INI.CS(18/02/2025 08:54:02)</vt:lpwstr>
  </property>
  <property fmtid="{D5CDD505-2E9C-101B-9397-08002B2CF9AE}" pid="9" name="&lt;Model&gt;">
    <vt:lpwstr>PR_INI</vt:lpwstr>
  </property>
  <property fmtid="{D5CDD505-2E9C-101B-9397-08002B2CF9AE}" pid="10" name="FooterPath">
    <vt:lpwstr>PR\1336685CS.docx</vt:lpwstr>
  </property>
  <property fmtid="{D5CDD505-2E9C-101B-9397-08002B2CF9AE}" pid="11" name="PE number">
    <vt:lpwstr>784.259</vt:lpwstr>
  </property>
  <property fmtid="{D5CDD505-2E9C-101B-9397-08002B2CF9AE}" pid="12" name="Bookout">
    <vt:lpwstr>NOK(TWBEXT) - 2026/03/03 08:46</vt:lpwstr>
  </property>
  <property fmtid="{D5CDD505-2E9C-101B-9397-08002B2CF9AE}" pid="13" name="SDLStudio">
    <vt:lpwstr/>
  </property>
</Properties>
</file>