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53A23" w:rsidRPr="00667881" w14:paraId="6EA3B0CC" w14:textId="77777777" w:rsidTr="00C85D0F">
        <w:trPr>
          <w:trHeight w:hRule="exact" w:val="1418"/>
        </w:trPr>
        <w:tc>
          <w:tcPr>
            <w:tcW w:w="6804" w:type="dxa"/>
            <w:shd w:val="clear" w:color="auto" w:fill="auto"/>
            <w:vAlign w:val="center"/>
          </w:tcPr>
          <w:p w14:paraId="49067204" w14:textId="77777777" w:rsidR="00C93A60" w:rsidRPr="00667881" w:rsidRDefault="00667881" w:rsidP="00C85D0F">
            <w:pPr>
              <w:pStyle w:val="EPName"/>
            </w:pPr>
            <w:r w:rsidRPr="00667881">
              <w:t>Europa-Parlamentet</w:t>
            </w:r>
          </w:p>
          <w:p w14:paraId="1750EE9B" w14:textId="77777777" w:rsidR="00C93A60" w:rsidRPr="00667881" w:rsidRDefault="00667881" w:rsidP="00C85D0F">
            <w:pPr>
              <w:pStyle w:val="EPTerm"/>
            </w:pPr>
            <w:r w:rsidRPr="00667881">
              <w:t>2024-2029</w:t>
            </w:r>
          </w:p>
        </w:tc>
        <w:tc>
          <w:tcPr>
            <w:tcW w:w="2268" w:type="dxa"/>
            <w:shd w:val="clear" w:color="auto" w:fill="auto"/>
          </w:tcPr>
          <w:p w14:paraId="16DE710D" w14:textId="77777777" w:rsidR="00C93A60" w:rsidRPr="00667881" w:rsidRDefault="00667881" w:rsidP="00C85D0F">
            <w:pPr>
              <w:pStyle w:val="EPLogo"/>
            </w:pPr>
            <w:r w:rsidRPr="00667881">
              <w:rPr>
                <w:noProof/>
                <w:lang w:eastAsia="ja-JP"/>
              </w:rPr>
              <w:drawing>
                <wp:inline distT="0" distB="0" distL="0" distR="0" wp14:anchorId="0DB92F02" wp14:editId="144D28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8C28157" w14:textId="77777777" w:rsidR="00E3537C" w:rsidRPr="00667881" w:rsidRDefault="00E3537C" w:rsidP="00E3537C">
      <w:pPr>
        <w:pStyle w:val="LineTop"/>
      </w:pPr>
    </w:p>
    <w:p w14:paraId="78E8AA90" w14:textId="77777777" w:rsidR="00E3537C" w:rsidRPr="00667881" w:rsidRDefault="00667881" w:rsidP="00E3537C">
      <w:pPr>
        <w:pStyle w:val="EPBody"/>
      </w:pPr>
      <w:r w:rsidRPr="00667881">
        <w:rPr>
          <w:rStyle w:val="HideTWBExt"/>
          <w:i w:val="0"/>
        </w:rPr>
        <w:t>&lt;Commission&gt;</w:t>
      </w:r>
      <w:r w:rsidRPr="00667881">
        <w:rPr>
          <w:rStyle w:val="HideTWBInt"/>
          <w:color w:val="auto"/>
        </w:rPr>
        <w:t>{AFET}</w:t>
      </w:r>
      <w:r w:rsidRPr="00667881">
        <w:t>Udenrigsudvalget</w:t>
      </w:r>
      <w:r w:rsidRPr="00667881">
        <w:rPr>
          <w:rStyle w:val="HideTWBExt"/>
          <w:i w:val="0"/>
        </w:rPr>
        <w:t>&lt;/Commission&gt;</w:t>
      </w:r>
    </w:p>
    <w:p w14:paraId="10E44CDA" w14:textId="77777777" w:rsidR="00E3537C" w:rsidRPr="00667881" w:rsidRDefault="00E3537C" w:rsidP="00E3537C">
      <w:pPr>
        <w:pStyle w:val="LineBottom"/>
      </w:pPr>
    </w:p>
    <w:p w14:paraId="21650876" w14:textId="77777777" w:rsidR="00100069" w:rsidRPr="00667881" w:rsidRDefault="00667881">
      <w:pPr>
        <w:pStyle w:val="CoverReference"/>
      </w:pPr>
      <w:r w:rsidRPr="00667881">
        <w:rPr>
          <w:rStyle w:val="HideTWBExt"/>
          <w:b w:val="0"/>
        </w:rPr>
        <w:t>&lt;RefProc&gt;</w:t>
      </w:r>
      <w:r w:rsidRPr="00667881">
        <w:t>2025/2250</w:t>
      </w:r>
      <w:r w:rsidRPr="00667881">
        <w:rPr>
          <w:rStyle w:val="HideTWBExt"/>
          <w:b w:val="0"/>
        </w:rPr>
        <w:t>&lt;/RefProc&gt;&lt;RefTypeProc&gt;</w:t>
      </w:r>
      <w:r w:rsidRPr="00667881">
        <w:t>(INI)</w:t>
      </w:r>
      <w:r w:rsidRPr="00667881">
        <w:rPr>
          <w:rStyle w:val="HideTWBExt"/>
          <w:b w:val="0"/>
        </w:rPr>
        <w:t>&lt;/RefTypeProc&gt;</w:t>
      </w:r>
    </w:p>
    <w:p w14:paraId="3C02525C" w14:textId="77777777" w:rsidR="00100069" w:rsidRPr="00667881" w:rsidRDefault="00667881">
      <w:pPr>
        <w:pStyle w:val="CoverDate"/>
      </w:pPr>
      <w:r w:rsidRPr="00667881">
        <w:rPr>
          <w:rStyle w:val="HideTWBExt"/>
        </w:rPr>
        <w:t>&lt;Date&gt;</w:t>
      </w:r>
      <w:r w:rsidRPr="00667881">
        <w:rPr>
          <w:rStyle w:val="HideTWBInt"/>
          <w:color w:val="auto"/>
        </w:rPr>
        <w:t>{16/02/2026}</w:t>
      </w:r>
      <w:r w:rsidRPr="00667881">
        <w:t>16.2.2026</w:t>
      </w:r>
      <w:r w:rsidRPr="00667881">
        <w:rPr>
          <w:rStyle w:val="HideTWBExt"/>
        </w:rPr>
        <w:t>&lt;/Date&gt;</w:t>
      </w:r>
    </w:p>
    <w:p w14:paraId="401E75CE" w14:textId="77777777" w:rsidR="00100069" w:rsidRPr="00667881" w:rsidRDefault="00667881">
      <w:pPr>
        <w:pStyle w:val="CoverDocType24a"/>
      </w:pPr>
      <w:r w:rsidRPr="00667881">
        <w:rPr>
          <w:rStyle w:val="HideTWBExt"/>
          <w:b w:val="0"/>
        </w:rPr>
        <w:t>&lt;TitreType&gt;</w:t>
      </w:r>
      <w:r w:rsidRPr="00667881">
        <w:t>UDKAST TIL BETÆNKNING</w:t>
      </w:r>
      <w:r w:rsidRPr="00667881">
        <w:rPr>
          <w:rStyle w:val="HideTWBExt"/>
          <w:b w:val="0"/>
        </w:rPr>
        <w:t>&lt;/TitreType&gt;</w:t>
      </w:r>
    </w:p>
    <w:p w14:paraId="6B9A2644" w14:textId="77777777" w:rsidR="00100069" w:rsidRPr="00667881" w:rsidRDefault="00667881">
      <w:pPr>
        <w:pStyle w:val="CoverNormal"/>
      </w:pPr>
      <w:r w:rsidRPr="00667881">
        <w:rPr>
          <w:rStyle w:val="HideTWBExt"/>
        </w:rPr>
        <w:t>&lt;Titre&gt;</w:t>
      </w:r>
      <w:r w:rsidRPr="00667881">
        <w:t xml:space="preserve">om </w:t>
      </w:r>
      <w:r w:rsidRPr="00667881">
        <w:t>Kommissionens 2025-rapport om Albanien</w:t>
      </w:r>
      <w:r w:rsidRPr="00667881">
        <w:rPr>
          <w:rStyle w:val="HideTWBExt"/>
        </w:rPr>
        <w:t>&lt;/Titre&gt;</w:t>
      </w:r>
    </w:p>
    <w:p w14:paraId="13BAF505" w14:textId="77777777" w:rsidR="00100069" w:rsidRPr="00667881" w:rsidRDefault="00667881">
      <w:pPr>
        <w:pStyle w:val="CoverNormal24a"/>
      </w:pPr>
      <w:r w:rsidRPr="00667881">
        <w:rPr>
          <w:rStyle w:val="HideTWBExt"/>
        </w:rPr>
        <w:t>&lt;DocRef&gt;</w:t>
      </w:r>
      <w:r w:rsidRPr="00667881">
        <w:t>(2025/2250(INI))</w:t>
      </w:r>
      <w:r w:rsidRPr="00667881">
        <w:rPr>
          <w:rStyle w:val="HideTWBExt"/>
        </w:rPr>
        <w:t>&lt;/DocRef&gt;</w:t>
      </w:r>
    </w:p>
    <w:p w14:paraId="06566D1A" w14:textId="77777777" w:rsidR="00100069" w:rsidRPr="00667881" w:rsidRDefault="00667881">
      <w:pPr>
        <w:pStyle w:val="CoverNormal24a"/>
      </w:pPr>
      <w:r w:rsidRPr="00667881">
        <w:rPr>
          <w:rStyle w:val="HideTWBExt"/>
        </w:rPr>
        <w:t>&lt;Commission&gt;</w:t>
      </w:r>
      <w:r w:rsidRPr="00667881">
        <w:rPr>
          <w:rStyle w:val="HideTWBInt"/>
          <w:color w:val="auto"/>
        </w:rPr>
        <w:t>{AFET}</w:t>
      </w:r>
      <w:r w:rsidRPr="00667881">
        <w:t>Udenrigsudvalget</w:t>
      </w:r>
      <w:r w:rsidRPr="00667881">
        <w:rPr>
          <w:rStyle w:val="HideTWBExt"/>
        </w:rPr>
        <w:t>&lt;/Commission&gt;</w:t>
      </w:r>
    </w:p>
    <w:p w14:paraId="3CA43F55" w14:textId="77777777" w:rsidR="00100069" w:rsidRPr="00667881" w:rsidRDefault="00667881">
      <w:pPr>
        <w:pStyle w:val="CoverNormal24a"/>
      </w:pPr>
      <w:r w:rsidRPr="00667881">
        <w:t xml:space="preserve">Ordfører: </w:t>
      </w:r>
      <w:r w:rsidRPr="00667881">
        <w:rPr>
          <w:rStyle w:val="HideTWBExt"/>
        </w:rPr>
        <w:t>&lt;Depute&gt;</w:t>
      </w:r>
      <w:r w:rsidRPr="00667881">
        <w:t>Andreas Schieder</w:t>
      </w:r>
      <w:r w:rsidRPr="00667881">
        <w:rPr>
          <w:rStyle w:val="HideTWBExt"/>
        </w:rPr>
        <w:t>&lt;/Depute&gt;</w:t>
      </w:r>
    </w:p>
    <w:p w14:paraId="041E8543" w14:textId="77777777" w:rsidR="00100069" w:rsidRPr="00667881" w:rsidRDefault="00667881" w:rsidP="002544DF">
      <w:pPr>
        <w:widowControl/>
        <w:tabs>
          <w:tab w:val="center" w:pos="4677"/>
        </w:tabs>
      </w:pPr>
      <w:r w:rsidRPr="00667881">
        <w:br w:type="page"/>
      </w:r>
      <w:r w:rsidRPr="00667881">
        <w:lastRenderedPageBreak/>
        <w:t>PR_INI</w:t>
      </w:r>
    </w:p>
    <w:p w14:paraId="21EB059A" w14:textId="77777777" w:rsidR="00100069" w:rsidRPr="00667881" w:rsidRDefault="00667881">
      <w:pPr>
        <w:pStyle w:val="TOCHeading"/>
      </w:pPr>
      <w:r w:rsidRPr="00667881">
        <w:t>INDHOLD</w:t>
      </w:r>
    </w:p>
    <w:p w14:paraId="5042A981" w14:textId="77777777" w:rsidR="00100069" w:rsidRPr="00667881" w:rsidRDefault="00667881">
      <w:pPr>
        <w:pStyle w:val="TOCPage"/>
      </w:pPr>
      <w:r w:rsidRPr="00667881">
        <w:t>Side</w:t>
      </w:r>
    </w:p>
    <w:p w14:paraId="6D28AB49" w14:textId="2448E829" w:rsidR="00667881" w:rsidRDefault="00667881">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67881">
        <w:rPr>
          <w:b/>
        </w:rPr>
        <w:fldChar w:fldCharType="begin"/>
      </w:r>
      <w:r w:rsidRPr="00667881">
        <w:rPr>
          <w:b/>
        </w:rPr>
        <w:instrText xml:space="preserve"> TOC \t "PageHeading</w:instrText>
      </w:r>
      <w:r w:rsidR="00753CC4" w:rsidRPr="00667881">
        <w:rPr>
          <w:b/>
        </w:rPr>
        <w:instrText>;</w:instrText>
      </w:r>
      <w:r w:rsidRPr="00667881">
        <w:rPr>
          <w:b/>
        </w:rPr>
        <w:instrText xml:space="preserve">1" </w:instrText>
      </w:r>
      <w:r w:rsidRPr="00667881">
        <w:rPr>
          <w:b/>
        </w:rPr>
        <w:fldChar w:fldCharType="separate"/>
      </w:r>
      <w:r>
        <w:rPr>
          <w:noProof/>
        </w:rPr>
        <w:t>FORSLAG TIL EUROPA-PARLAMENTETS BESLUTNING</w:t>
      </w:r>
      <w:r>
        <w:rPr>
          <w:noProof/>
        </w:rPr>
        <w:tab/>
      </w:r>
      <w:r>
        <w:rPr>
          <w:noProof/>
        </w:rPr>
        <w:fldChar w:fldCharType="begin"/>
      </w:r>
      <w:r>
        <w:rPr>
          <w:noProof/>
        </w:rPr>
        <w:instrText xml:space="preserve"> PAGEREF _Toc223355097 \h </w:instrText>
      </w:r>
      <w:r>
        <w:rPr>
          <w:noProof/>
        </w:rPr>
      </w:r>
      <w:r>
        <w:rPr>
          <w:noProof/>
        </w:rPr>
        <w:fldChar w:fldCharType="separate"/>
      </w:r>
      <w:r>
        <w:rPr>
          <w:noProof/>
        </w:rPr>
        <w:t>3</w:t>
      </w:r>
      <w:r>
        <w:rPr>
          <w:noProof/>
        </w:rPr>
        <w:fldChar w:fldCharType="end"/>
      </w:r>
    </w:p>
    <w:p w14:paraId="4C400C93" w14:textId="29FBFAF9" w:rsidR="00667881" w:rsidRDefault="0066788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_Toc223355098 \h </w:instrText>
      </w:r>
      <w:r>
        <w:rPr>
          <w:noProof/>
        </w:rPr>
      </w:r>
      <w:r>
        <w:rPr>
          <w:noProof/>
        </w:rPr>
        <w:fldChar w:fldCharType="separate"/>
      </w:r>
      <w:r>
        <w:rPr>
          <w:noProof/>
        </w:rPr>
        <w:t>8</w:t>
      </w:r>
      <w:r>
        <w:rPr>
          <w:noProof/>
        </w:rPr>
        <w:fldChar w:fldCharType="end"/>
      </w:r>
    </w:p>
    <w:p w14:paraId="502F4363" w14:textId="6FCC25C0" w:rsidR="00667881" w:rsidRDefault="0066788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ERKLÆRING OM INPUT</w:t>
      </w:r>
      <w:r>
        <w:rPr>
          <w:noProof/>
        </w:rPr>
        <w:tab/>
      </w:r>
      <w:r>
        <w:rPr>
          <w:noProof/>
        </w:rPr>
        <w:fldChar w:fldCharType="begin"/>
      </w:r>
      <w:r>
        <w:rPr>
          <w:noProof/>
        </w:rPr>
        <w:instrText xml:space="preserve"> PAGEREF _Toc223355099 \h </w:instrText>
      </w:r>
      <w:r>
        <w:rPr>
          <w:noProof/>
        </w:rPr>
      </w:r>
      <w:r>
        <w:rPr>
          <w:noProof/>
        </w:rPr>
        <w:fldChar w:fldCharType="separate"/>
      </w:r>
      <w:r>
        <w:rPr>
          <w:noProof/>
        </w:rPr>
        <w:t>9</w:t>
      </w:r>
      <w:r>
        <w:rPr>
          <w:noProof/>
        </w:rPr>
        <w:fldChar w:fldCharType="end"/>
      </w:r>
    </w:p>
    <w:p w14:paraId="3CC60300" w14:textId="4038FA97" w:rsidR="00E155CA" w:rsidRPr="00667881" w:rsidRDefault="00667881" w:rsidP="0023245A">
      <w:r w:rsidRPr="00667881">
        <w:rPr>
          <w:b/>
        </w:rPr>
        <w:fldChar w:fldCharType="end"/>
      </w:r>
    </w:p>
    <w:p w14:paraId="136DF7A9" w14:textId="77777777" w:rsidR="00100069" w:rsidRPr="00667881" w:rsidRDefault="00667881">
      <w:pPr>
        <w:pStyle w:val="PageHeading"/>
      </w:pPr>
      <w:r w:rsidRPr="00667881">
        <w:br w:type="page"/>
      </w:r>
      <w:bookmarkStart w:id="0" w:name="_Toc223355097"/>
      <w:r w:rsidRPr="00667881">
        <w:t>FORSLAG TIL EUROPA-PARLAMENTETS BESLUTNING</w:t>
      </w:r>
      <w:bookmarkEnd w:id="0"/>
    </w:p>
    <w:p w14:paraId="7CC2CE01" w14:textId="77777777" w:rsidR="00100069" w:rsidRPr="00667881" w:rsidRDefault="00667881">
      <w:pPr>
        <w:pStyle w:val="NormalBold"/>
      </w:pPr>
      <w:r w:rsidRPr="00667881">
        <w:t>om Kommissionens 2025-rapport om Albanien</w:t>
      </w:r>
    </w:p>
    <w:p w14:paraId="586604BB" w14:textId="77777777" w:rsidR="00100069" w:rsidRPr="00667881" w:rsidRDefault="00667881" w:rsidP="00335F69">
      <w:pPr>
        <w:pStyle w:val="NormalBold"/>
      </w:pPr>
      <w:r w:rsidRPr="00667881">
        <w:t>(2025/2250(INI))</w:t>
      </w:r>
    </w:p>
    <w:p w14:paraId="5CD06A40" w14:textId="77777777" w:rsidR="00100069" w:rsidRPr="00667881" w:rsidRDefault="00667881" w:rsidP="00335F69">
      <w:pPr>
        <w:pStyle w:val="EPComma"/>
      </w:pPr>
      <w:r w:rsidRPr="00667881">
        <w:rPr>
          <w:i/>
        </w:rPr>
        <w:t>Europa-Parlamentet</w:t>
      </w:r>
      <w:r w:rsidRPr="00667881">
        <w:t>,</w:t>
      </w:r>
    </w:p>
    <w:p w14:paraId="4288FDCE" w14:textId="77777777" w:rsidR="00CB156F" w:rsidRPr="00667881" w:rsidRDefault="00667881" w:rsidP="00CB156F">
      <w:pPr>
        <w:pStyle w:val="NormalHanging12a"/>
      </w:pPr>
      <w:r w:rsidRPr="00667881">
        <w:t>–</w:t>
      </w:r>
      <w:r w:rsidRPr="00667881">
        <w:tab/>
        <w:t>der henviser til stabiliserings- og associeringsaftalen mellem De Europæiske Fællesskaber og deres medlemsstater på den ene side og Republikken Albanien på den anden side</w:t>
      </w:r>
      <w:r w:rsidRPr="00667881">
        <w:rPr>
          <w:vertAlign w:val="superscript"/>
        </w:rPr>
        <w:footnoteReference w:id="1"/>
      </w:r>
      <w:r w:rsidRPr="00667881">
        <w:t>,</w:t>
      </w:r>
    </w:p>
    <w:p w14:paraId="1C7D9889" w14:textId="77777777" w:rsidR="00CB156F" w:rsidRPr="00667881" w:rsidRDefault="00667881" w:rsidP="00CB156F">
      <w:pPr>
        <w:pStyle w:val="NormalHanging12a"/>
      </w:pPr>
      <w:r w:rsidRPr="00667881">
        <w:t>–</w:t>
      </w:r>
      <w:r w:rsidRPr="00667881">
        <w:tab/>
        <w:t>der henviser til Albaniens ansøgning om EU-medlemskab, der blev indgivet den 24. april 2009,</w:t>
      </w:r>
    </w:p>
    <w:p w14:paraId="19518B4D" w14:textId="77777777" w:rsidR="00CB156F" w:rsidRPr="00667881" w:rsidRDefault="00667881" w:rsidP="00CB156F">
      <w:pPr>
        <w:pStyle w:val="NormalHanging12a"/>
      </w:pPr>
      <w:r w:rsidRPr="00667881">
        <w:t>–</w:t>
      </w:r>
      <w:r w:rsidRPr="00667881">
        <w:tab/>
        <w:t>der henviser til Europa-Parlamentets og Rådets forordning (EU) 2021/1529 af 15. september 2021 om oprettelse af et instrument til førtiltrædelsesbistand (IPA III)</w:t>
      </w:r>
      <w:r w:rsidRPr="00667881">
        <w:rPr>
          <w:vertAlign w:val="superscript"/>
        </w:rPr>
        <w:footnoteReference w:id="2"/>
      </w:r>
      <w:r w:rsidRPr="00667881">
        <w:t>,</w:t>
      </w:r>
    </w:p>
    <w:p w14:paraId="6859C00B" w14:textId="77777777" w:rsidR="00CB156F" w:rsidRPr="00667881" w:rsidRDefault="00667881" w:rsidP="00CB156F">
      <w:pPr>
        <w:pStyle w:val="NormalHanging12a"/>
      </w:pPr>
      <w:r w:rsidRPr="00667881">
        <w:t>–</w:t>
      </w:r>
      <w:r w:rsidRPr="00667881">
        <w:tab/>
        <w:t>der henviser til Europa-Parlamentets og Rådets forordning (EU) 2024/1449 af 14. maj 2024 om oprettelse af reform- og vækstfaciliteten for Vestbalkan</w:t>
      </w:r>
      <w:r w:rsidRPr="00667881">
        <w:rPr>
          <w:vertAlign w:val="superscript"/>
        </w:rPr>
        <w:footnoteReference w:id="3"/>
      </w:r>
      <w:r w:rsidRPr="00667881">
        <w:t>,</w:t>
      </w:r>
    </w:p>
    <w:p w14:paraId="5629533E" w14:textId="77777777" w:rsidR="00CB156F" w:rsidRPr="00667881" w:rsidRDefault="00667881" w:rsidP="00CB156F">
      <w:pPr>
        <w:pStyle w:val="NormalHanging12a"/>
      </w:pPr>
      <w:r w:rsidRPr="00667881">
        <w:t>–</w:t>
      </w:r>
      <w:r w:rsidRPr="00667881">
        <w:tab/>
        <w:t>der henviser til Kommissionens meddelelse af 5. februar 2020 med titlen "Styrkelse af tiltrædelsesprocessen – Et troværdigt EU-perspektiv for landene på Vestbalkan" (COM(2020)0057),</w:t>
      </w:r>
    </w:p>
    <w:p w14:paraId="0A6B44EC" w14:textId="77777777" w:rsidR="00CB156F" w:rsidRPr="00667881" w:rsidRDefault="00667881" w:rsidP="00CB156F">
      <w:pPr>
        <w:pStyle w:val="NormalHanging12a"/>
      </w:pPr>
      <w:r w:rsidRPr="00667881">
        <w:t>–</w:t>
      </w:r>
      <w:r w:rsidRPr="00667881">
        <w:tab/>
        <w:t>der henviser til Kommissionens meddelelse af 8. november 2023 med titlen "Ny vækstplan for landene på Vestbalkan" (COM(2023)0691),</w:t>
      </w:r>
    </w:p>
    <w:p w14:paraId="503FCB94" w14:textId="77777777" w:rsidR="00CB156F" w:rsidRPr="00667881" w:rsidRDefault="00667881" w:rsidP="00CB156F">
      <w:pPr>
        <w:pStyle w:val="NormalHanging12a"/>
      </w:pPr>
      <w:r w:rsidRPr="00667881">
        <w:t>–</w:t>
      </w:r>
      <w:r w:rsidRPr="00667881">
        <w:tab/>
        <w:t>der henviser til Albaniens reformdagsorden, der blev forelagt inden for rammen af EU's reform- og vækstfacilitet, som godkendt af Kommissionen den 23. oktober 2024,</w:t>
      </w:r>
    </w:p>
    <w:p w14:paraId="3A71CF4C" w14:textId="77777777" w:rsidR="00CB156F" w:rsidRPr="00667881" w:rsidRDefault="00667881" w:rsidP="00CB156F">
      <w:pPr>
        <w:pStyle w:val="NormalHanging12a"/>
      </w:pPr>
      <w:r w:rsidRPr="00667881">
        <w:t>–</w:t>
      </w:r>
      <w:r w:rsidRPr="00667881">
        <w:tab/>
        <w:t>der henviser til Kommissionens meddelelse af 8. juli 2025 med titlen "Rapport om retsstatssituationen 2025" (COM(2025)0900), som blev ledsaget af et arbejdsdokument fra Kommissionens tjenestegrene med titlen "2025 Rule of Law Report – Country Chapter on the rule of law situation in Albania" (SWD(2025)0928),</w:t>
      </w:r>
    </w:p>
    <w:p w14:paraId="3B2A6AFB" w14:textId="77777777" w:rsidR="00CB156F" w:rsidRPr="00667881" w:rsidRDefault="00667881" w:rsidP="00CB156F">
      <w:pPr>
        <w:pStyle w:val="NormalHanging12a"/>
      </w:pPr>
      <w:r w:rsidRPr="00667881">
        <w:t>–</w:t>
      </w:r>
      <w:r w:rsidRPr="00667881">
        <w:tab/>
        <w:t>der henviser til Kommissionens meddelelse af 4. november 2025 med titlen "Meddelelse om EU's udvidelsespolitik 2025" (COM(2025)0690), som blev ledsaget af et arbejdsdokument fra Kommissionens tjenestegrene med titlen "Albania 2025 Report" (SWD(2025)0750),</w:t>
      </w:r>
    </w:p>
    <w:p w14:paraId="6556E6E3" w14:textId="77777777" w:rsidR="00CB156F" w:rsidRPr="00667881" w:rsidRDefault="00667881" w:rsidP="00CB156F">
      <w:pPr>
        <w:pStyle w:val="NormalHanging12a"/>
      </w:pPr>
      <w:r w:rsidRPr="00667881">
        <w:t>–</w:t>
      </w:r>
      <w:r w:rsidRPr="00667881">
        <w:tab/>
        <w:t>der henviser til den endelige rapport af 23. oktober 2025 fra valgobservationsmissionen under Organisationen for Sikkerhed og Samarbejde i Europas (OSCE's) Kontor for Demokratiske Institutioner og Menneskerettigheder (ODIHR) om Albaniens parlamentsvalg den 11. maj 2025,</w:t>
      </w:r>
    </w:p>
    <w:p w14:paraId="51E48C26" w14:textId="77777777" w:rsidR="00CB156F" w:rsidRPr="00667881" w:rsidRDefault="00667881" w:rsidP="00CB156F">
      <w:pPr>
        <w:pStyle w:val="NormalHanging12a"/>
      </w:pPr>
      <w:r w:rsidRPr="00667881">
        <w:t>–</w:t>
      </w:r>
      <w:r w:rsidRPr="00667881">
        <w:tab/>
        <w:t>der henviser til erklæringen fra topmødet mellem EU og Vestbalkan, der blev afholdt i Bruxelles den 17. december 2025,</w:t>
      </w:r>
    </w:p>
    <w:p w14:paraId="47E1670B" w14:textId="77777777" w:rsidR="00CB156F" w:rsidRPr="00667881" w:rsidRDefault="00667881" w:rsidP="00CB156F">
      <w:pPr>
        <w:pStyle w:val="NormalHanging12a"/>
      </w:pPr>
      <w:r w:rsidRPr="00667881">
        <w:t>–</w:t>
      </w:r>
      <w:r w:rsidRPr="00667881">
        <w:tab/>
        <w:t xml:space="preserve">der henviser til sine </w:t>
      </w:r>
      <w:r w:rsidRPr="00667881">
        <w:t>tidligere beslutninger om Albanien,</w:t>
      </w:r>
    </w:p>
    <w:p w14:paraId="2D3AF7A6" w14:textId="77777777" w:rsidR="00CB156F" w:rsidRPr="00667881" w:rsidRDefault="00667881" w:rsidP="00CB156F">
      <w:pPr>
        <w:pStyle w:val="NormalHanging12a"/>
      </w:pPr>
      <w:r w:rsidRPr="00667881">
        <w:t>–</w:t>
      </w:r>
      <w:r w:rsidRPr="00667881">
        <w:tab/>
        <w:t>der henviser til forretningsordenens artikel 55,</w:t>
      </w:r>
    </w:p>
    <w:p w14:paraId="4A3B6F4D" w14:textId="77777777" w:rsidR="00CB156F" w:rsidRPr="00667881" w:rsidRDefault="00667881" w:rsidP="00CB156F">
      <w:pPr>
        <w:pStyle w:val="NormalHanging12a"/>
      </w:pPr>
      <w:r w:rsidRPr="00667881">
        <w:t>–</w:t>
      </w:r>
      <w:r w:rsidRPr="00667881">
        <w:tab/>
        <w:t>der henviser til betænkning fra Udenrigsudvalget (A10-0000/2026),</w:t>
      </w:r>
    </w:p>
    <w:p w14:paraId="6529A833" w14:textId="77777777" w:rsidR="00CB156F" w:rsidRPr="00667881" w:rsidRDefault="00667881" w:rsidP="00CB156F">
      <w:pPr>
        <w:pStyle w:val="NormalHanging12a"/>
      </w:pPr>
      <w:r w:rsidRPr="00667881">
        <w:t>A.</w:t>
      </w:r>
      <w:r w:rsidRPr="00667881">
        <w:tab/>
        <w:t>der henviser til, at EU's udvidelse fortsat er en strategisk investering i fred, sikkerhed, stabilitet og demokratisk og socioøkonomisk udvikling på hele det europæiske kontinent;</w:t>
      </w:r>
    </w:p>
    <w:p w14:paraId="0A269475" w14:textId="77777777" w:rsidR="00CB156F" w:rsidRPr="00667881" w:rsidRDefault="00667881" w:rsidP="00CB156F">
      <w:pPr>
        <w:pStyle w:val="NormalHanging12a"/>
      </w:pPr>
      <w:r w:rsidRPr="00667881">
        <w:t>B.</w:t>
      </w:r>
      <w:r w:rsidRPr="00667881">
        <w:tab/>
        <w:t>der henviser til, at Albanien har fastholdt en klar strategisk orientering mod EU-medlemskab og har vist fuld tilpasning til EU's fælles udenrigs- og sikkerhedspolitik (FUSP);</w:t>
      </w:r>
    </w:p>
    <w:p w14:paraId="0519FD83" w14:textId="77777777" w:rsidR="00CB156F" w:rsidRPr="00667881" w:rsidRDefault="00667881" w:rsidP="00CB156F">
      <w:pPr>
        <w:pStyle w:val="NormalHanging12a"/>
      </w:pPr>
      <w:r w:rsidRPr="00667881">
        <w:t>C.</w:t>
      </w:r>
      <w:r w:rsidRPr="00667881">
        <w:tab/>
        <w:t>der henviser til, at Albanien har været EU-kandidatland siden 2014, indledte tiltrædelsesforhandlingerne i juli 2022, afsluttede screeningsprocessen med succes i november 2023 og åbnede alle forhandlingsklynger mellem den 15. oktober 2024 og 17. november 2025;</w:t>
      </w:r>
    </w:p>
    <w:p w14:paraId="511F361F" w14:textId="77777777" w:rsidR="00CB156F" w:rsidRPr="00667881" w:rsidRDefault="00667881" w:rsidP="00CB156F">
      <w:pPr>
        <w:pStyle w:val="NormalHanging12a"/>
      </w:pPr>
      <w:r w:rsidRPr="00667881">
        <w:t>D.</w:t>
      </w:r>
      <w:r w:rsidRPr="00667881">
        <w:tab/>
        <w:t xml:space="preserve">der henviser til, at det i Kommissionens 2025-rapport om Albanien bekræftes, at landet fortsat gør fremskridt på de fleste tiltrædelsesrelaterede områder, samtidig med at behovet for dybere, mere konsekvente og uigenkaldelige </w:t>
      </w:r>
      <w:r w:rsidRPr="00667881">
        <w:t>reformer fremhæves;</w:t>
      </w:r>
    </w:p>
    <w:p w14:paraId="356C318F" w14:textId="77777777" w:rsidR="00CB156F" w:rsidRPr="00667881" w:rsidRDefault="00667881" w:rsidP="00CB156F">
      <w:pPr>
        <w:pStyle w:val="NormalHanging12a"/>
      </w:pPr>
      <w:r w:rsidRPr="00667881">
        <w:t>E.</w:t>
      </w:r>
      <w:r w:rsidRPr="00667881">
        <w:tab/>
        <w:t>der henviser til, at troværdighed i udvidelsesprocessen afhænger af streng konditionalitet, meritbaserede fremskridt og en effektiv gennemførelse af reformer snarere end formel vedtagelse af lovgivning alene;</w:t>
      </w:r>
    </w:p>
    <w:p w14:paraId="12B5FCD0" w14:textId="77777777" w:rsidR="00CB156F" w:rsidRPr="00667881" w:rsidRDefault="00667881" w:rsidP="00CB156F">
      <w:pPr>
        <w:pStyle w:val="NormalHanging12a"/>
      </w:pPr>
      <w:r w:rsidRPr="00667881">
        <w:t>F.</w:t>
      </w:r>
      <w:r w:rsidRPr="00667881">
        <w:tab/>
        <w:t>der henviser til, at styrkelse af de demokratiske institutioner, retsvæsenets uafhængighed, bestræbelserne på at bekæmpe korruption, mediefriheden og de grundlæggende rettigheder fortsat er afgørende for Albaniens tiltrædelsesforløb;</w:t>
      </w:r>
    </w:p>
    <w:p w14:paraId="6AB08470" w14:textId="77777777" w:rsidR="00CB156F" w:rsidRPr="00667881" w:rsidRDefault="00667881" w:rsidP="00CB156F">
      <w:pPr>
        <w:pStyle w:val="NormalHanging12a"/>
      </w:pPr>
      <w:r w:rsidRPr="00667881">
        <w:t>G.</w:t>
      </w:r>
      <w:r w:rsidRPr="00667881">
        <w:tab/>
        <w:t xml:space="preserve">der henviser til, at henstillingerne fra OSCE/ODIHR om yderligere at forbedre afholdelsen af valg i Albanien endnu ikke er blevet efterkommet til fulde; </w:t>
      </w:r>
    </w:p>
    <w:p w14:paraId="10D5A477" w14:textId="77777777" w:rsidR="00CB156F" w:rsidRPr="00667881" w:rsidRDefault="00667881" w:rsidP="00CB156F">
      <w:pPr>
        <w:pStyle w:val="NormalHanging12a"/>
      </w:pPr>
      <w:r w:rsidRPr="00667881">
        <w:t>1.</w:t>
      </w:r>
      <w:r w:rsidRPr="00667881">
        <w:tab/>
        <w:t xml:space="preserve">glæder sig over Albaniens fremragende engagement i EU-integrationen, der er baseret på konsensus blandt alle politiske partier og overvældende støtte blandt borgerne, og roser, at Albanien åbnede alle tiltrædelsesforhandlingernes klynger inden for blot 13 måneder; </w:t>
      </w:r>
    </w:p>
    <w:p w14:paraId="6F1332A8" w14:textId="77777777" w:rsidR="00CB156F" w:rsidRPr="00667881" w:rsidRDefault="00667881" w:rsidP="00CB156F">
      <w:pPr>
        <w:pStyle w:val="NormalHanging12a"/>
      </w:pPr>
      <w:r w:rsidRPr="00667881">
        <w:t>2.</w:t>
      </w:r>
      <w:r w:rsidRPr="00667881">
        <w:tab/>
        <w:t xml:space="preserve">glæder sig over Albaniens ambition om at afslutte tiltrædelsesforhandlingerne inden udgangen af 2027 og de hurtige fremskridt, der er gjort i de seneste år; fremhæver betydningen af at sikre en omhyggelig gennemførelse af lovgivningen; </w:t>
      </w:r>
    </w:p>
    <w:p w14:paraId="4E8B5788" w14:textId="77777777" w:rsidR="00CB156F" w:rsidRPr="00667881" w:rsidRDefault="00667881" w:rsidP="00CB156F">
      <w:pPr>
        <w:pStyle w:val="NormalHanging12a"/>
      </w:pPr>
      <w:r w:rsidRPr="00667881">
        <w:t>3.</w:t>
      </w:r>
      <w:r w:rsidRPr="00667881">
        <w:tab/>
        <w:t>bemærker, at Kommissionen vurderer, at Albaniens valgrammer generelt er tilstrækkelige til at afholde konkurrenceprægede valg, samtidig med at den gentager bekymringerne vedrørende ulige vilkår, misbrug af administrative ressourcer, hævdelser om køb af stemmer og pres på vælgerne; opfordrer derfor flertallet og oppositionen til konstruktivt og inklusivt at fortsætte en omfattende valgreform i tæt samarbejde med civilsamfundet og til fuldt ud at gennemføre udestående henstillinger fra OSCE/ODIHR og Venedigk</w:t>
      </w:r>
      <w:r w:rsidRPr="00667881">
        <w:t>ommissionen i god tid forud for fremtidige valgcyklusser;</w:t>
      </w:r>
    </w:p>
    <w:p w14:paraId="52A9EA07" w14:textId="77777777" w:rsidR="00CB156F" w:rsidRPr="00667881" w:rsidRDefault="00667881" w:rsidP="00CB156F">
      <w:pPr>
        <w:pStyle w:val="NormalHanging12a"/>
      </w:pPr>
      <w:r w:rsidRPr="00667881">
        <w:t>4.</w:t>
      </w:r>
      <w:r w:rsidRPr="00667881">
        <w:tab/>
        <w:t>udtrykker bekymring over den fortsatte politiske polarisering og konfrontatoriske politiske debat, som undergraver den parlamentariske kontrol, offentlighedens tillid og de demokratiske institutioners effektive funktion;</w:t>
      </w:r>
    </w:p>
    <w:p w14:paraId="5B83DE6A" w14:textId="77777777" w:rsidR="00CB156F" w:rsidRPr="00667881" w:rsidRDefault="00667881" w:rsidP="00CB156F">
      <w:pPr>
        <w:pStyle w:val="NormalHanging12a"/>
      </w:pPr>
      <w:r w:rsidRPr="00667881">
        <w:t>5.</w:t>
      </w:r>
      <w:r w:rsidRPr="00667881">
        <w:tab/>
        <w:t>tilskynder til stærkere parlamentarisk kontrol med den udøvende magt, øget gennemsigtighed i lovgivningsprocedurerne og mere meningsfuld høring af civilsamfundsorganisationer, arbejdsmarkedets parter og uafhængige institutioner;</w:t>
      </w:r>
    </w:p>
    <w:p w14:paraId="6CF87A79" w14:textId="77777777" w:rsidR="00CB156F" w:rsidRPr="00667881" w:rsidRDefault="00667881" w:rsidP="00CB156F">
      <w:pPr>
        <w:pStyle w:val="NormalHanging12a"/>
        <w:rPr>
          <w:b/>
          <w:bCs/>
          <w:i/>
          <w:iCs/>
        </w:rPr>
      </w:pPr>
      <w:r w:rsidRPr="00667881">
        <w:rPr>
          <w:b/>
          <w:i/>
        </w:rPr>
        <w:t>Retsstatsprincippet, retsvæsenet og bekæmpelse af korruption</w:t>
      </w:r>
    </w:p>
    <w:p w14:paraId="137F585D" w14:textId="77777777" w:rsidR="00CB156F" w:rsidRPr="00667881" w:rsidRDefault="00667881" w:rsidP="00CB156F">
      <w:pPr>
        <w:pStyle w:val="NormalHanging12a"/>
      </w:pPr>
      <w:r w:rsidRPr="00667881">
        <w:t>6.</w:t>
      </w:r>
      <w:r w:rsidRPr="00667881">
        <w:tab/>
        <w:t>glæder sig over den fortsatte gennemførelse af reformen af retsvæsenet, herunder screeningen af dommere og anklagere, som har bidraget til øget ansvarlighed og integritet inden for den dømmende magt; bemærker imidlertid vedvarende udfordringer i forbindelse med retsvæsenets effektivitet, sagspukler, konsekvens i retspraksis og forsøg på at udøve utilbørlig påvirkning;</w:t>
      </w:r>
    </w:p>
    <w:p w14:paraId="176DAA8D" w14:textId="77777777" w:rsidR="00CB156F" w:rsidRPr="00667881" w:rsidRDefault="00667881" w:rsidP="00CB156F">
      <w:pPr>
        <w:pStyle w:val="NormalHanging12a"/>
      </w:pPr>
      <w:r w:rsidRPr="00667881">
        <w:t>7.</w:t>
      </w:r>
      <w:r w:rsidRPr="00667881">
        <w:tab/>
        <w:t>opfordrer til en yderligere styrkelse af domstolsforvaltningsorganer for at sikre deres uafhængighed, gennemsigtighed og faglige kapacitet og til vedvarende investeringer i domstolsinfrastruktur og digitalisering;</w:t>
      </w:r>
    </w:p>
    <w:p w14:paraId="653490A1" w14:textId="77777777" w:rsidR="00CB156F" w:rsidRPr="00667881" w:rsidRDefault="00667881" w:rsidP="00CB156F">
      <w:pPr>
        <w:pStyle w:val="NormalHanging12a"/>
      </w:pPr>
      <w:r w:rsidRPr="00667881">
        <w:t>8.</w:t>
      </w:r>
      <w:r w:rsidRPr="00667881">
        <w:tab/>
        <w:t>understreger, at korruption fortsat er et alvorligt problem, og at Albanien på trods af fremskridt inden for de retlige og institutionelle rammer skal konsolidere sine resultater yderligere med hensyn til efterforskning, retsforfølgning og endelig domfældelser, navnlig i korruptionssager på højt niveau;</w:t>
      </w:r>
    </w:p>
    <w:p w14:paraId="2C9D4D2D" w14:textId="77777777" w:rsidR="00CB156F" w:rsidRPr="00667881" w:rsidRDefault="00667881" w:rsidP="00CB156F">
      <w:pPr>
        <w:pStyle w:val="NormalHanging12a"/>
      </w:pPr>
      <w:r w:rsidRPr="00667881">
        <w:t>9.</w:t>
      </w:r>
      <w:r w:rsidRPr="00667881">
        <w:tab/>
        <w:t>insisterer på, at korruption skal bekæmpes på alle niveauer for at styrke borgernes tillid til de statslige institutioner og muliggøre et forudsigeligt erhvervsmiljø;</w:t>
      </w:r>
    </w:p>
    <w:p w14:paraId="29A68546" w14:textId="77777777" w:rsidR="00CB156F" w:rsidRPr="00667881" w:rsidRDefault="00667881" w:rsidP="00CB156F">
      <w:pPr>
        <w:pStyle w:val="NormalHanging12a"/>
      </w:pPr>
      <w:r w:rsidRPr="00667881">
        <w:t>10.</w:t>
      </w:r>
      <w:r w:rsidRPr="00667881">
        <w:tab/>
        <w:t>fremhæver betydningen af effektivt at bekæmpe organiseret kriminalitet, herunder hvidvask af penge og narkotikahandelsnetværk, og opfordrer til intensiveret samarbejde med EU-agenturer såsom Europol og Eurojust;</w:t>
      </w:r>
    </w:p>
    <w:p w14:paraId="7453A4AB" w14:textId="77777777" w:rsidR="00CB156F" w:rsidRPr="00667881" w:rsidRDefault="00667881" w:rsidP="00CB156F">
      <w:pPr>
        <w:pStyle w:val="NormalHanging12a"/>
        <w:rPr>
          <w:b/>
          <w:bCs/>
          <w:i/>
          <w:iCs/>
        </w:rPr>
      </w:pPr>
      <w:r w:rsidRPr="00667881">
        <w:rPr>
          <w:b/>
          <w:i/>
        </w:rPr>
        <w:t>Grundlæggende rettigheder og mediefrihed</w:t>
      </w:r>
    </w:p>
    <w:p w14:paraId="47E136F2" w14:textId="77777777" w:rsidR="00CB156F" w:rsidRPr="00667881" w:rsidRDefault="00667881" w:rsidP="00CB156F">
      <w:pPr>
        <w:pStyle w:val="NormalHanging12a"/>
      </w:pPr>
      <w:r w:rsidRPr="00667881">
        <w:t>11.</w:t>
      </w:r>
      <w:r w:rsidRPr="00667881">
        <w:tab/>
        <w:t>opfordrer til, at der gøres en yderligere indsats for at beskytte ytringsfriheden og mediepluralismen, herunder større gennemsigtighed med hensyn til mulige interessekonflikter for medieejere, sikkerhedsforanstaltninger mod politisk og økonomisk pres på journalister og effektiv efterforskning af trusler mod og angreb på mediefolk;</w:t>
      </w:r>
    </w:p>
    <w:p w14:paraId="2605C173" w14:textId="77777777" w:rsidR="00CB156F" w:rsidRPr="00667881" w:rsidRDefault="00667881" w:rsidP="00CB156F">
      <w:pPr>
        <w:pStyle w:val="NormalHanging12a"/>
      </w:pPr>
      <w:r w:rsidRPr="00667881">
        <w:t>12.</w:t>
      </w:r>
      <w:r w:rsidRPr="00667881">
        <w:tab/>
        <w:t>opfordrer Albanien til at styrke den institutionelle ramme for beskyttelse af mindretal og sårbare grupper, herunder romaer og egyptere, personer med handicap, vandrende arbejdere og LGBTIQ+ personer, og til at sikre en effektiv gennemførelse af lovgivningen om bekæmpelse af forskelsbehandling; er bekymret over den kønsfjendtlige retorik, der eksisterer i den politiske debat;</w:t>
      </w:r>
    </w:p>
    <w:p w14:paraId="45DB22F5" w14:textId="77777777" w:rsidR="00CB156F" w:rsidRPr="00667881" w:rsidRDefault="00667881" w:rsidP="00CB156F">
      <w:pPr>
        <w:pStyle w:val="NormalHanging12a"/>
      </w:pPr>
      <w:r w:rsidRPr="00667881">
        <w:t>13.</w:t>
      </w:r>
      <w:r w:rsidRPr="00667881">
        <w:tab/>
        <w:t>understreger behovet for at forbedre adgangen til domstolsprøvelse, navnlig for sårbare og marginaliserede grupper;</w:t>
      </w:r>
    </w:p>
    <w:p w14:paraId="02D8E41A" w14:textId="77777777" w:rsidR="00CB156F" w:rsidRPr="00667881" w:rsidRDefault="00667881" w:rsidP="00CB156F">
      <w:pPr>
        <w:pStyle w:val="NormalHanging12a"/>
        <w:rPr>
          <w:b/>
          <w:bCs/>
          <w:i/>
          <w:iCs/>
        </w:rPr>
      </w:pPr>
      <w:r w:rsidRPr="00667881">
        <w:rPr>
          <w:b/>
          <w:i/>
        </w:rPr>
        <w:t>Reform og styring af den offentlige forvaltning</w:t>
      </w:r>
    </w:p>
    <w:p w14:paraId="55B37DC7" w14:textId="77777777" w:rsidR="00CB156F" w:rsidRPr="00667881" w:rsidRDefault="00667881" w:rsidP="00CB156F">
      <w:pPr>
        <w:pStyle w:val="NormalHanging12a"/>
      </w:pPr>
      <w:r w:rsidRPr="00667881">
        <w:t>14.</w:t>
      </w:r>
      <w:r w:rsidRPr="00667881">
        <w:tab/>
        <w:t>anerkender fremskridtene med reformen af den offentlige forvaltning, herunder strategisk planlægning og koordinering; understreger imidlertid, at der er behov for en yderligere indsats for at sikre meritbaseret rekruttering og afpolitisering af den offentlige forvaltning;</w:t>
      </w:r>
    </w:p>
    <w:p w14:paraId="61ED2E4F" w14:textId="77777777" w:rsidR="00CB156F" w:rsidRPr="00667881" w:rsidRDefault="00667881" w:rsidP="00CB156F">
      <w:pPr>
        <w:pStyle w:val="NormalHanging12a"/>
      </w:pPr>
      <w:r w:rsidRPr="00667881">
        <w:t>15.</w:t>
      </w:r>
      <w:r w:rsidRPr="00667881">
        <w:tab/>
        <w:t>opfordrer til forbedret politisk planlægning, evidensbaseret beslutningstagning og gennemsigtige budgetprocesser, herunder styrket parlamentarisk tilsyn med de offentlige finanser;</w:t>
      </w:r>
    </w:p>
    <w:p w14:paraId="63167692" w14:textId="77777777" w:rsidR="00CB156F" w:rsidRPr="00667881" w:rsidRDefault="00667881" w:rsidP="00CB156F">
      <w:pPr>
        <w:pStyle w:val="NormalHanging12a"/>
        <w:rPr>
          <w:b/>
          <w:bCs/>
          <w:i/>
          <w:iCs/>
        </w:rPr>
      </w:pPr>
      <w:r w:rsidRPr="00667881">
        <w:rPr>
          <w:b/>
          <w:i/>
        </w:rPr>
        <w:t>Socioøkonomiske reformer og miljø</w:t>
      </w:r>
    </w:p>
    <w:p w14:paraId="6FCFB220" w14:textId="77777777" w:rsidR="00CB156F" w:rsidRPr="00667881" w:rsidRDefault="00667881" w:rsidP="00CB156F">
      <w:pPr>
        <w:pStyle w:val="NormalHanging12a"/>
      </w:pPr>
      <w:r w:rsidRPr="00667881">
        <w:t>16.</w:t>
      </w:r>
      <w:r w:rsidRPr="00667881">
        <w:tab/>
        <w:t xml:space="preserve">glæder sig over Albaniens engagement i gennemførelsen af EU's vækstplan for landene på Vestbalkan; bemærker imidlertid, at der fortsat er strukturelle svagheder, herunder </w:t>
      </w:r>
      <w:r w:rsidRPr="00667881">
        <w:t>uformelle rammer, begrænset produktivitetsvækst og et udfordrende erhvervsmiljø; gentager, at det er vigtigt at forbedre transportinfrastrukturen mellem Vestbalkanlandene og at udvikle forbindelser med EU-medlemsstaterne;</w:t>
      </w:r>
    </w:p>
    <w:p w14:paraId="0DF175D5" w14:textId="77777777" w:rsidR="00CB156F" w:rsidRPr="00667881" w:rsidRDefault="00667881" w:rsidP="00CB156F">
      <w:pPr>
        <w:pStyle w:val="NormalHanging12a"/>
      </w:pPr>
      <w:r w:rsidRPr="00667881">
        <w:t>17.</w:t>
      </w:r>
      <w:r w:rsidRPr="00667881">
        <w:tab/>
        <w:t>fremhæver betydningen af at investere i uddannelse, kompetenceudvikling og innovation for at støtte bæredygtig vækst og social samhørighed;</w:t>
      </w:r>
    </w:p>
    <w:p w14:paraId="034217C4" w14:textId="77777777" w:rsidR="00CB156F" w:rsidRPr="00667881" w:rsidRDefault="00667881" w:rsidP="00CB156F">
      <w:pPr>
        <w:pStyle w:val="NormalHanging12a"/>
      </w:pPr>
      <w:r w:rsidRPr="00667881">
        <w:t>18.</w:t>
      </w:r>
      <w:r w:rsidRPr="00667881">
        <w:tab/>
        <w:t>understreger den centrale betydning af en ægte dialog mellem arbejdsmarkedets parter for at skabe fordele ved udvidelsen for forskellige befolkningsgrupper; beklager den lave hyppighed af møder i det nationale arbejdsråd; opfordrer til en styrkelse af høringsprocessen med de tre parter, herunder passende fagforeningsrepræsentation; understreger behovet for yderligere at støtte kapacitetsopbygningen hos arbejdsmarkedets parter;</w:t>
      </w:r>
    </w:p>
    <w:p w14:paraId="19967433" w14:textId="77777777" w:rsidR="00CB156F" w:rsidRPr="00667881" w:rsidRDefault="00667881" w:rsidP="00CB156F">
      <w:pPr>
        <w:pStyle w:val="NormalHanging12a"/>
      </w:pPr>
      <w:r w:rsidRPr="00667881">
        <w:t>19.</w:t>
      </w:r>
      <w:r w:rsidRPr="00667881">
        <w:tab/>
        <w:t>bemærker med bekymring Kommissionens vurdering af, at der ikke var sket fremskridt med hensyn til miljø og klimaændringer i løbet af det seneste år;</w:t>
      </w:r>
    </w:p>
    <w:p w14:paraId="3BF492A2" w14:textId="77777777" w:rsidR="00CB156F" w:rsidRPr="00667881" w:rsidRDefault="00667881" w:rsidP="00CB156F">
      <w:pPr>
        <w:pStyle w:val="NormalHanging12a"/>
        <w:rPr>
          <w:b/>
          <w:bCs/>
          <w:i/>
          <w:iCs/>
        </w:rPr>
      </w:pPr>
      <w:r w:rsidRPr="00667881">
        <w:rPr>
          <w:b/>
          <w:i/>
        </w:rPr>
        <w:t>Udenrigspolitik og regionalt samarbejde</w:t>
      </w:r>
    </w:p>
    <w:p w14:paraId="30AA33FC" w14:textId="77777777" w:rsidR="00CB156F" w:rsidRPr="00667881" w:rsidRDefault="00667881" w:rsidP="00CB156F">
      <w:pPr>
        <w:pStyle w:val="NormalHanging12a"/>
      </w:pPr>
      <w:r w:rsidRPr="00667881">
        <w:t>20.</w:t>
      </w:r>
      <w:r w:rsidRPr="00667881">
        <w:tab/>
        <w:t>roser Albaniens fortsatte fulde tilpasning til EU's fælles udenrigs- og sikkerhedspolitik, herunder restriktive foranstaltninger, Albaniens fortsatte engagement i FSFP-missioner og -operationer og landets konstruktive rolle med hensyn til at fremme regional stabilitet;</w:t>
      </w:r>
    </w:p>
    <w:p w14:paraId="0C9909F1" w14:textId="77777777" w:rsidR="00CB156F" w:rsidRPr="00667881" w:rsidRDefault="00667881" w:rsidP="00CB156F">
      <w:pPr>
        <w:pStyle w:val="NormalHanging12a"/>
      </w:pPr>
      <w:r w:rsidRPr="00667881">
        <w:t>21.</w:t>
      </w:r>
      <w:r w:rsidRPr="00667881">
        <w:tab/>
        <w:t>understreger betydningen af gode naboskabsforbindelser og regionalt samarbejde som væsentlige elementer i udvidelsesprocessen og glæder sig over Albaniens aktive deltagelse i regionale initiativer;</w:t>
      </w:r>
    </w:p>
    <w:p w14:paraId="661F0949" w14:textId="77777777" w:rsidR="00CB156F" w:rsidRPr="00667881" w:rsidRDefault="00667881" w:rsidP="00CB156F">
      <w:pPr>
        <w:pStyle w:val="NormalHanging12a"/>
        <w:rPr>
          <w:b/>
          <w:bCs/>
          <w:i/>
          <w:iCs/>
        </w:rPr>
      </w:pPr>
      <w:r w:rsidRPr="00667881">
        <w:rPr>
          <w:b/>
          <w:i/>
        </w:rPr>
        <w:t>EU-støtte</w:t>
      </w:r>
    </w:p>
    <w:p w14:paraId="4FB43233" w14:textId="77777777" w:rsidR="00CB156F" w:rsidRPr="00667881" w:rsidRDefault="00667881" w:rsidP="00CB156F">
      <w:pPr>
        <w:pStyle w:val="NormalHanging12a"/>
      </w:pPr>
      <w:r w:rsidRPr="00667881">
        <w:t>22.</w:t>
      </w:r>
      <w:r w:rsidRPr="00667881">
        <w:tab/>
        <w:t>glæder sig over EU's finansielle og tekniske bistand til Albanien under IPA III og reform- og vækstfaciliteten og understreger, at en sådan støtte fortsat skal være tæt knyttet til konkret reformgennemførelse og målbare resultater;</w:t>
      </w:r>
    </w:p>
    <w:p w14:paraId="4EF6B1F5" w14:textId="77777777" w:rsidR="00FD55C5" w:rsidRPr="00667881" w:rsidRDefault="00667881" w:rsidP="00FD55C5">
      <w:pPr>
        <w:pStyle w:val="NormalHanging12a"/>
        <w:jc w:val="center"/>
      </w:pPr>
      <w:r w:rsidRPr="00667881">
        <w:t>°</w:t>
      </w:r>
    </w:p>
    <w:p w14:paraId="6915DF44" w14:textId="77777777" w:rsidR="00FD55C5" w:rsidRPr="00667881" w:rsidRDefault="00667881" w:rsidP="00454E1B">
      <w:pPr>
        <w:pStyle w:val="NormalHanging12a"/>
        <w:jc w:val="center"/>
      </w:pPr>
      <w:r w:rsidRPr="00667881">
        <w:t>°</w:t>
      </w:r>
      <w:r w:rsidRPr="00667881">
        <w:tab/>
        <w:t>°</w:t>
      </w:r>
    </w:p>
    <w:p w14:paraId="072316B0" w14:textId="77777777" w:rsidR="00CB156F" w:rsidRPr="00667881" w:rsidRDefault="00667881" w:rsidP="00CB156F">
      <w:pPr>
        <w:pStyle w:val="NormalHanging12a"/>
        <w:rPr>
          <w:bCs/>
          <w:iCs/>
        </w:rPr>
      </w:pPr>
      <w:r w:rsidRPr="00667881">
        <w:t>23.</w:t>
      </w:r>
      <w:r w:rsidRPr="00667881">
        <w:tab/>
        <w:t>pålægger sin formand at sende denne beslutning til formanden for Det Europæiske Råd, Rådet, formanden for Kommissionen, næstformanden for Kommissionen/Unionens højtstående repræsentant for udenrigsanliggender og sikkerhedspolitik, medlemsstaternes regeringer og parlamenter samt til Republikken Albaniens præsident, regering og parlament.</w:t>
      </w:r>
    </w:p>
    <w:p w14:paraId="682A0F63" w14:textId="77777777" w:rsidR="00CB156F" w:rsidRPr="00667881" w:rsidRDefault="00CB156F" w:rsidP="00CB156F"/>
    <w:p w14:paraId="309D44AC" w14:textId="77777777" w:rsidR="00276B35" w:rsidRPr="00667881" w:rsidRDefault="00276B35" w:rsidP="00F3651F">
      <w:pPr>
        <w:sectPr w:rsidR="00276B35" w:rsidRPr="00667881" w:rsidSect="004C724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C60500E" w14:textId="77777777" w:rsidR="00276B35" w:rsidRPr="00667881" w:rsidRDefault="00667881" w:rsidP="00276B35">
      <w:pPr>
        <w:pStyle w:val="PageHeading"/>
      </w:pPr>
      <w:bookmarkStart w:id="1" w:name="_Toc223355098"/>
      <w:r w:rsidRPr="00667881">
        <w:t>BEGRUNDELSE</w:t>
      </w:r>
      <w:bookmarkEnd w:id="1"/>
    </w:p>
    <w:p w14:paraId="35EBED32" w14:textId="77777777" w:rsidR="00CB156F" w:rsidRPr="00667881" w:rsidRDefault="00667881" w:rsidP="00CB156F">
      <w:pPr>
        <w:pStyle w:val="Normal12a"/>
      </w:pPr>
      <w:r w:rsidRPr="00667881">
        <w:t>Denne betænkning evaluerer status og den seneste udvikling med hensyn til Albaniens fremskridt hen imod tiltrædelse af EU. Den omfatter Parlamentets reaktion på Kommissionens udvidelsesrapport 2025.</w:t>
      </w:r>
    </w:p>
    <w:p w14:paraId="36F77546" w14:textId="77777777" w:rsidR="00CB156F" w:rsidRPr="00667881" w:rsidRDefault="00667881" w:rsidP="00CB156F">
      <w:pPr>
        <w:pStyle w:val="Normal12a"/>
      </w:pPr>
      <w:r w:rsidRPr="00667881">
        <w:t>Albanien har været EU-kandidatland siden 2014, indledte tiltrædelsesforhandlingerne i juli 2022, afsluttede screeningsprocessen med succes i november 2023 og åbnede alle forhandlingsklynger mellem den 15. oktober 2024 og 17. november 2025 på rekordtid på lidt over et år;</w:t>
      </w:r>
    </w:p>
    <w:p w14:paraId="4E5ADDAA" w14:textId="77777777" w:rsidR="00CB156F" w:rsidRPr="00667881" w:rsidRDefault="00667881" w:rsidP="00CB156F">
      <w:pPr>
        <w:pStyle w:val="Normal12a"/>
      </w:pPr>
      <w:r w:rsidRPr="00667881">
        <w:t>I dette og næste år vil Albanien skulle fastholde momentum for at opfylde sit mål om at være klar til EU-tiltrædelse inden udgangen af 2027. Dette vil gøre det muligt for medlemsstaterne at gå videre med ratificeringen af tiltrædelsestraktaten for Albanien med henblik på tiltrædelse af EU inden udgangen af årtiet. I denne næste fase vil en effektiv gennemførelse af de vedtagne reformer på stedet være afgørende.</w:t>
      </w:r>
    </w:p>
    <w:p w14:paraId="0EF6976E" w14:textId="77777777" w:rsidR="00CB156F" w:rsidRPr="00667881" w:rsidRDefault="00667881" w:rsidP="00CB156F">
      <w:pPr>
        <w:pStyle w:val="Normal12a"/>
      </w:pPr>
      <w:r w:rsidRPr="00667881">
        <w:t>I denne rapport vurderes Albaniens fremskridt med hensyn til landets demokratiske institutioner, mediefrihed, inddragelse af civilsamfundet, grundlæggende rettigheder, retsstatsprincippet, socioøkonomiske reformer, miljø, regionalt samarbejde og udenrigspolitik.</w:t>
      </w:r>
    </w:p>
    <w:p w14:paraId="251C142E" w14:textId="77777777" w:rsidR="00CB156F" w:rsidRPr="00667881" w:rsidRDefault="00667881" w:rsidP="00CB156F">
      <w:pPr>
        <w:pStyle w:val="Normal12a"/>
      </w:pPr>
      <w:r w:rsidRPr="00667881">
        <w:t>På trods af de fremskridt, der er gjort, står Albanien stadig over for en række udfordringer såsom at overvinde den interne politiske polarisering og forbedre den politiske kultur, styrke retsstatsprincippet og konsolidere reformerne til bekæmpelse af korruption.</w:t>
      </w:r>
    </w:p>
    <w:p w14:paraId="413EEB8C" w14:textId="77777777" w:rsidR="00CB156F" w:rsidRPr="00667881" w:rsidRDefault="00667881" w:rsidP="00CB156F">
      <w:pPr>
        <w:pStyle w:val="Normal12a"/>
      </w:pPr>
      <w:r w:rsidRPr="00667881">
        <w:t>Dette års rapport sætter særligt fokus på socioøkonomiske reformer og fremhæver den centrale betydning af en ægte dialog mellem arbejdsmarkedets parter for at skabe fordele ved udvidelsen for alle befolkningsgrupper.</w:t>
      </w:r>
    </w:p>
    <w:p w14:paraId="25DF3499" w14:textId="77777777" w:rsidR="00276B35" w:rsidRPr="00667881" w:rsidRDefault="00276B35" w:rsidP="00276B35">
      <w:pPr>
        <w:pStyle w:val="Normal12a"/>
      </w:pPr>
    </w:p>
    <w:p w14:paraId="7EF1AA25" w14:textId="77777777" w:rsidR="0066499D" w:rsidRPr="00667881" w:rsidRDefault="0066499D">
      <w:pPr>
        <w:widowControl/>
        <w:sectPr w:rsidR="0066499D" w:rsidRPr="00667881" w:rsidSect="00CB156F">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19421C" w14:textId="77777777" w:rsidR="0066499D" w:rsidRPr="00667881" w:rsidRDefault="0066499D">
      <w:pPr>
        <w:widowControl/>
      </w:pPr>
    </w:p>
    <w:p w14:paraId="1C09D89B" w14:textId="77777777" w:rsidR="0066499D" w:rsidRPr="00667881" w:rsidRDefault="00667881" w:rsidP="007041CC">
      <w:pPr>
        <w:pStyle w:val="PageHeading"/>
        <w:rPr>
          <w:noProof/>
        </w:rPr>
      </w:pPr>
      <w:bookmarkStart w:id="2" w:name="FootprintPageRR"/>
      <w:bookmarkStart w:id="3" w:name="_Toc223355099"/>
      <w:r w:rsidRPr="00667881">
        <w:t>BILAG: ERKLÆRING OM INPUT</w:t>
      </w:r>
      <w:bookmarkEnd w:id="3"/>
    </w:p>
    <w:p w14:paraId="40C78122" w14:textId="77777777" w:rsidR="0066499D" w:rsidRPr="00667881" w:rsidRDefault="00667881" w:rsidP="00B31C6A">
      <w:pPr>
        <w:pStyle w:val="Normal24a"/>
        <w:spacing w:after="240"/>
      </w:pPr>
      <w:r w:rsidRPr="00667881">
        <w:rPr>
          <w:rStyle w:val="HideTWBExt"/>
        </w:rPr>
        <w:t>&lt;FootprintIntro&gt;</w:t>
      </w:r>
      <w:r w:rsidRPr="00667881">
        <w:t xml:space="preserve">I henhold til artikel 8 i bilag I til forretningsordenen erklærer </w:t>
      </w:r>
      <w:r w:rsidRPr="00667881">
        <w:t>ordføreren, at han i sin betænkning har medtaget input om forhold, der vedrører sagens emne, som han har modtaget som led i udarbejdelsen af udkastet til betænkning fra følgende interesserepræsentanter, der er omfattet af anvendelsesområdet for den interinstitutionelle aftale om et obligatorisk åbenhedsregister</w:t>
      </w:r>
      <w:r w:rsidRPr="00667881">
        <w:rPr>
          <w:rStyle w:val="FootnoteReference"/>
        </w:rPr>
        <w:footnoteReference w:id="4"/>
      </w:r>
      <w:r w:rsidRPr="00667881">
        <w:t>, eller fra følgende repræsentanter for offentlige myndigheder i tredjelande, herunder deres diplomatiske missioner og ambassader:</w:t>
      </w:r>
      <w:r w:rsidRPr="00667881">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53A23" w:rsidRPr="00667881" w14:paraId="00E4D6C9" w14:textId="77777777" w:rsidTr="00A81CDF">
        <w:tc>
          <w:tcPr>
            <w:tcW w:w="9060" w:type="dxa"/>
            <w:shd w:val="clear" w:color="auto" w:fill="auto"/>
          </w:tcPr>
          <w:p w14:paraId="40B1D27D" w14:textId="77777777" w:rsidR="0066499D" w:rsidRPr="00667881" w:rsidRDefault="00667881" w:rsidP="00F42F07">
            <w:pPr>
              <w:pStyle w:val="NormalBoldCenter"/>
            </w:pPr>
            <w:r w:rsidRPr="00667881">
              <w:t>1. Interesserepræsentanter, der er omfattet af anvendelsesområdet for den interinstitutionelle aftale om et obligatorisk åbenhedsregister</w:t>
            </w:r>
          </w:p>
        </w:tc>
      </w:tr>
      <w:tr w:rsidR="00353A23" w:rsidRPr="00667881" w14:paraId="2605587B" w14:textId="77777777" w:rsidTr="00A81CDF">
        <w:tc>
          <w:tcPr>
            <w:tcW w:w="9060" w:type="dxa"/>
            <w:shd w:val="clear" w:color="auto" w:fill="auto"/>
          </w:tcPr>
          <w:p w14:paraId="66109A89" w14:textId="77777777" w:rsidR="0066499D" w:rsidRPr="00667881" w:rsidRDefault="0066499D" w:rsidP="00D47F5D">
            <w:pPr>
              <w:pStyle w:val="NormalSingle"/>
            </w:pPr>
          </w:p>
        </w:tc>
      </w:tr>
      <w:tr w:rsidR="00353A23" w:rsidRPr="00667881" w14:paraId="0DBA0D78" w14:textId="77777777" w:rsidTr="00A81CDF">
        <w:tc>
          <w:tcPr>
            <w:tcW w:w="9060" w:type="dxa"/>
            <w:shd w:val="clear" w:color="auto" w:fill="auto"/>
          </w:tcPr>
          <w:p w14:paraId="36203C67" w14:textId="77777777" w:rsidR="0066499D" w:rsidRPr="00667881" w:rsidRDefault="00667881" w:rsidP="001666EA">
            <w:pPr>
              <w:pStyle w:val="NormalBoldCenter"/>
            </w:pPr>
            <w:r w:rsidRPr="00667881">
              <w:t>2. Repræsentanter for offentlige myndigheder i tredjelande, herunder deres diplomatiske missioner og ambassader</w:t>
            </w:r>
          </w:p>
        </w:tc>
      </w:tr>
      <w:tr w:rsidR="00353A23" w:rsidRPr="00667881" w14:paraId="5843F310" w14:textId="77777777" w:rsidTr="00A81CDF">
        <w:tc>
          <w:tcPr>
            <w:tcW w:w="9060" w:type="dxa"/>
            <w:shd w:val="clear" w:color="auto" w:fill="auto"/>
          </w:tcPr>
          <w:p w14:paraId="35A36419" w14:textId="77777777" w:rsidR="0066499D" w:rsidRPr="00667881" w:rsidRDefault="00667881" w:rsidP="00C6630E">
            <w:r w:rsidRPr="00667881">
              <w:t>Government of Republic of Albania</w:t>
            </w:r>
          </w:p>
        </w:tc>
      </w:tr>
      <w:tr w:rsidR="00353A23" w:rsidRPr="00667881" w14:paraId="7BB5B934" w14:textId="77777777" w:rsidTr="00A81CDF">
        <w:tc>
          <w:tcPr>
            <w:tcW w:w="9060" w:type="dxa"/>
            <w:shd w:val="clear" w:color="auto" w:fill="auto"/>
          </w:tcPr>
          <w:p w14:paraId="41D0A0CD" w14:textId="77777777" w:rsidR="00753CC4" w:rsidRPr="00667881" w:rsidRDefault="00667881" w:rsidP="00C6630E">
            <w:r w:rsidRPr="00667881">
              <w:t>Members of Parliament of the Republic of Albania </w:t>
            </w:r>
          </w:p>
        </w:tc>
      </w:tr>
    </w:tbl>
    <w:p w14:paraId="058EECD7" w14:textId="77777777" w:rsidR="0066499D" w:rsidRPr="00667881" w:rsidRDefault="00667881" w:rsidP="00086351">
      <w:pPr>
        <w:pStyle w:val="Footprint12b"/>
      </w:pPr>
      <w:r w:rsidRPr="00667881">
        <w:t>Ordføreren har udarbejdet ovenstående liste på eget ansvar.</w:t>
      </w:r>
    </w:p>
    <w:p w14:paraId="5720ABC7" w14:textId="2AA5C2A1" w:rsidR="0066499D" w:rsidRPr="00667881" w:rsidRDefault="00667881" w:rsidP="00B7198C">
      <w:pPr>
        <w:pStyle w:val="Footprint12b"/>
      </w:pPr>
      <w:r w:rsidRPr="00667881">
        <w:t xml:space="preserve">Når fysiske personer er identificeret på listen ved deres navn, deres funktion eller begge, erklærer ordføreren at have forelagt de pågældende fysiske </w:t>
      </w:r>
      <w:r w:rsidRPr="00667881">
        <w:t>personer Europa-Parlamentets databeskyttelsesmeddelelse nr. 484 (</w:t>
      </w:r>
      <w:hyperlink r:id="rId14" w:history="1">
        <w:r w:rsidRPr="00667881">
          <w:rPr>
            <w:rStyle w:val="Hyperlink"/>
          </w:rPr>
          <w:t>https://www.europarl.europa.eu/data-protect/index.do</w:t>
        </w:r>
      </w:hyperlink>
      <w:r w:rsidRPr="00667881">
        <w:t>), hvori de gældende betingelser for behandling af deres personoplysninger og rettighederne forbundet med denne behandling er fastlagt.</w:t>
      </w:r>
    </w:p>
    <w:p w14:paraId="1B6AC990" w14:textId="77777777" w:rsidR="0066499D" w:rsidRPr="00667881" w:rsidRDefault="0066499D" w:rsidP="00646AD2">
      <w:pPr>
        <w:pStyle w:val="Footprint12b"/>
      </w:pPr>
    </w:p>
    <w:p w14:paraId="6AC34BBD" w14:textId="77777777" w:rsidR="0066499D" w:rsidRPr="00667881" w:rsidRDefault="0066499D" w:rsidP="0066499D"/>
    <w:bookmarkEnd w:id="2"/>
    <w:p w14:paraId="613D74DD" w14:textId="77777777" w:rsidR="00100069" w:rsidRPr="00667881" w:rsidRDefault="00100069" w:rsidP="00F3651F"/>
    <w:sectPr w:rsidR="00100069" w:rsidRPr="00667881" w:rsidSect="00CB156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B94A8" w14:textId="77777777" w:rsidR="00667881" w:rsidRPr="004C724D" w:rsidRDefault="00667881">
      <w:r w:rsidRPr="004C724D">
        <w:separator/>
      </w:r>
    </w:p>
  </w:endnote>
  <w:endnote w:type="continuationSeparator" w:id="0">
    <w:p w14:paraId="03F1581C" w14:textId="77777777" w:rsidR="00667881" w:rsidRPr="004C724D" w:rsidRDefault="00667881">
      <w:r w:rsidRPr="004C72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7BA6E" w14:textId="77777777" w:rsidR="004C724D" w:rsidRPr="004C724D" w:rsidRDefault="004C724D" w:rsidP="004C724D">
    <w:pPr>
      <w:pStyle w:val="EPFooter"/>
    </w:pPr>
    <w:r w:rsidRPr="004C724D">
      <w:t>PE</w:t>
    </w:r>
    <w:r w:rsidRPr="004C724D">
      <w:rPr>
        <w:rStyle w:val="HideTWBExt"/>
      </w:rPr>
      <w:t>&lt;NoPE&gt;</w:t>
    </w:r>
    <w:r w:rsidRPr="004C724D">
      <w:t>784.259</w:t>
    </w:r>
    <w:r w:rsidRPr="004C724D">
      <w:rPr>
        <w:rStyle w:val="HideTWBExt"/>
      </w:rPr>
      <w:t>&lt;/NoPE&gt;&lt;Version&gt;</w:t>
    </w:r>
    <w:r w:rsidRPr="004C724D">
      <w:t>v01-00</w:t>
    </w:r>
    <w:r w:rsidRPr="004C724D">
      <w:rPr>
        <w:rStyle w:val="HideTWBExt"/>
      </w:rPr>
      <w:t>&lt;/Version&gt;</w:t>
    </w:r>
    <w:r w:rsidRPr="004C724D">
      <w:tab/>
    </w:r>
    <w:r w:rsidRPr="004C724D">
      <w:fldChar w:fldCharType="begin"/>
    </w:r>
    <w:r w:rsidRPr="004C724D">
      <w:instrText xml:space="preserve"> PAGE  \* MERGEFORMAT </w:instrText>
    </w:r>
    <w:r w:rsidRPr="004C724D">
      <w:fldChar w:fldCharType="separate"/>
    </w:r>
    <w:r w:rsidRPr="004C724D">
      <w:rPr>
        <w:noProof/>
      </w:rPr>
      <w:t>2</w:t>
    </w:r>
    <w:r w:rsidRPr="004C724D">
      <w:fldChar w:fldCharType="end"/>
    </w:r>
    <w:r w:rsidRPr="004C724D">
      <w:t>/</w:t>
    </w:r>
    <w:fldSimple w:instr=" NUMPAGES  \* MERGEFORMAT ">
      <w:r w:rsidRPr="004C724D">
        <w:rPr>
          <w:noProof/>
        </w:rPr>
        <w:t>9</w:t>
      </w:r>
    </w:fldSimple>
    <w:r w:rsidRPr="004C724D">
      <w:tab/>
    </w:r>
    <w:r w:rsidRPr="004C724D">
      <w:rPr>
        <w:rStyle w:val="HideTWBExt"/>
      </w:rPr>
      <w:t>&lt;PathFdR&gt;</w:t>
    </w:r>
    <w:r w:rsidRPr="004C724D">
      <w:t>PR\1336685DA.docx</w:t>
    </w:r>
    <w:r w:rsidRPr="004C724D">
      <w:rPr>
        <w:rStyle w:val="HideTWBExt"/>
      </w:rPr>
      <w:t>&lt;/PathFdR&gt;</w:t>
    </w:r>
  </w:p>
  <w:p w14:paraId="0C20F470" w14:textId="67547887" w:rsidR="00100069" w:rsidRPr="004C724D" w:rsidRDefault="004C724D" w:rsidP="004C724D">
    <w:pPr>
      <w:pStyle w:val="EPFooter2"/>
    </w:pPr>
    <w:r w:rsidRPr="004C724D">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C3FD9" w14:textId="77777777" w:rsidR="004C724D" w:rsidRPr="004C724D" w:rsidRDefault="004C724D" w:rsidP="004C724D">
    <w:pPr>
      <w:pStyle w:val="EPFooter"/>
    </w:pPr>
    <w:r w:rsidRPr="004C724D">
      <w:rPr>
        <w:rStyle w:val="HideTWBExt"/>
      </w:rPr>
      <w:t>&lt;PathFdR&gt;</w:t>
    </w:r>
    <w:r w:rsidRPr="004C724D">
      <w:t>PR\1336685DA.docx</w:t>
    </w:r>
    <w:r w:rsidRPr="004C724D">
      <w:rPr>
        <w:rStyle w:val="HideTWBExt"/>
      </w:rPr>
      <w:t>&lt;/PathFdR&gt;</w:t>
    </w:r>
    <w:r w:rsidRPr="004C724D">
      <w:tab/>
    </w:r>
    <w:r w:rsidRPr="004C724D">
      <w:fldChar w:fldCharType="begin"/>
    </w:r>
    <w:r w:rsidRPr="004C724D">
      <w:instrText xml:space="preserve"> PAGE  \* MERGEFORMAT </w:instrText>
    </w:r>
    <w:r w:rsidRPr="004C724D">
      <w:fldChar w:fldCharType="separate"/>
    </w:r>
    <w:r w:rsidRPr="004C724D">
      <w:rPr>
        <w:noProof/>
      </w:rPr>
      <w:t>9</w:t>
    </w:r>
    <w:r w:rsidRPr="004C724D">
      <w:fldChar w:fldCharType="end"/>
    </w:r>
    <w:r w:rsidRPr="004C724D">
      <w:t>/</w:t>
    </w:r>
    <w:fldSimple w:instr=" NUMPAGES  \* MERGEFORMAT ">
      <w:r w:rsidRPr="004C724D">
        <w:rPr>
          <w:noProof/>
        </w:rPr>
        <w:t>9</w:t>
      </w:r>
    </w:fldSimple>
    <w:r w:rsidRPr="004C724D">
      <w:tab/>
      <w:t>PE</w:t>
    </w:r>
    <w:r w:rsidRPr="004C724D">
      <w:rPr>
        <w:rStyle w:val="HideTWBExt"/>
      </w:rPr>
      <w:t>&lt;NoPE&gt;</w:t>
    </w:r>
    <w:r w:rsidRPr="004C724D">
      <w:t>784.259</w:t>
    </w:r>
    <w:r w:rsidRPr="004C724D">
      <w:rPr>
        <w:rStyle w:val="HideTWBExt"/>
      </w:rPr>
      <w:t>&lt;/NoPE&gt;&lt;Version&gt;</w:t>
    </w:r>
    <w:r w:rsidRPr="004C724D">
      <w:t>v01-00</w:t>
    </w:r>
    <w:r w:rsidRPr="004C724D">
      <w:rPr>
        <w:rStyle w:val="HideTWBExt"/>
      </w:rPr>
      <w:t>&lt;/Version&gt;</w:t>
    </w:r>
  </w:p>
  <w:p w14:paraId="300F239B" w14:textId="4D0F2019" w:rsidR="00100069" w:rsidRPr="004C724D" w:rsidRDefault="004C724D" w:rsidP="004C724D">
    <w:pPr>
      <w:pStyle w:val="EPFooter2"/>
    </w:pPr>
    <w:r w:rsidRPr="004C724D">
      <w:tab/>
    </w:r>
    <w:r w:rsidRPr="004C724D">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015D4" w14:textId="77777777" w:rsidR="004C724D" w:rsidRPr="004C724D" w:rsidRDefault="004C724D" w:rsidP="004C724D">
    <w:pPr>
      <w:pStyle w:val="EPFooter"/>
    </w:pPr>
    <w:r w:rsidRPr="004C724D">
      <w:rPr>
        <w:rStyle w:val="HideTWBExt"/>
      </w:rPr>
      <w:t>&lt;PathFdR&gt;</w:t>
    </w:r>
    <w:r w:rsidRPr="004C724D">
      <w:t>PR\1336685DA.docx</w:t>
    </w:r>
    <w:r w:rsidRPr="004C724D">
      <w:rPr>
        <w:rStyle w:val="HideTWBExt"/>
      </w:rPr>
      <w:t>&lt;/PathFdR&gt;</w:t>
    </w:r>
    <w:r w:rsidRPr="004C724D">
      <w:tab/>
    </w:r>
    <w:r w:rsidRPr="004C724D">
      <w:tab/>
      <w:t>PE</w:t>
    </w:r>
    <w:r w:rsidRPr="004C724D">
      <w:rPr>
        <w:rStyle w:val="HideTWBExt"/>
      </w:rPr>
      <w:t>&lt;NoPE&gt;</w:t>
    </w:r>
    <w:r w:rsidRPr="004C724D">
      <w:t>784.259</w:t>
    </w:r>
    <w:r w:rsidRPr="004C724D">
      <w:rPr>
        <w:rStyle w:val="HideTWBExt"/>
      </w:rPr>
      <w:t>&lt;/NoPE&gt;&lt;Version&gt;</w:t>
    </w:r>
    <w:r w:rsidRPr="004C724D">
      <w:t>v01-00</w:t>
    </w:r>
    <w:r w:rsidRPr="004C724D">
      <w:rPr>
        <w:rStyle w:val="HideTWBExt"/>
      </w:rPr>
      <w:t>&lt;/Version&gt;</w:t>
    </w:r>
  </w:p>
  <w:p w14:paraId="15216E3E" w14:textId="49223BFC" w:rsidR="00100069" w:rsidRPr="004C724D" w:rsidRDefault="004C724D" w:rsidP="004C724D">
    <w:pPr>
      <w:pStyle w:val="EPFooter2"/>
    </w:pPr>
    <w:r w:rsidRPr="004C724D">
      <w:t>DA</w:t>
    </w:r>
    <w:r w:rsidRPr="004C724D">
      <w:tab/>
    </w:r>
    <w:r w:rsidRPr="004C724D">
      <w:rPr>
        <w:b w:val="0"/>
        <w:i/>
        <w:color w:val="C0C0C0"/>
        <w:sz w:val="22"/>
      </w:rPr>
      <w:t>Forenet i mangfoldighed</w:t>
    </w:r>
    <w:r w:rsidRPr="004C724D">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2BB53" w14:textId="77777777" w:rsidR="003513CB" w:rsidRPr="004C724D" w:rsidRDefault="00667881">
      <w:r w:rsidRPr="004C724D">
        <w:separator/>
      </w:r>
    </w:p>
  </w:footnote>
  <w:footnote w:type="continuationSeparator" w:id="0">
    <w:p w14:paraId="04CC5B0E" w14:textId="77777777" w:rsidR="003513CB" w:rsidRPr="004C724D" w:rsidRDefault="00667881">
      <w:r w:rsidRPr="004C724D">
        <w:continuationSeparator/>
      </w:r>
    </w:p>
  </w:footnote>
  <w:footnote w:id="1">
    <w:p w14:paraId="299D4AC1" w14:textId="0774586F" w:rsidR="00CB156F" w:rsidRPr="004C724D" w:rsidRDefault="00667881" w:rsidP="00CB156F">
      <w:pPr>
        <w:pStyle w:val="FootnoteText"/>
      </w:pPr>
      <w:r w:rsidRPr="004C724D">
        <w:rPr>
          <w:rStyle w:val="FootnoteReference"/>
        </w:rPr>
        <w:footnoteRef/>
      </w:r>
      <w:r w:rsidRPr="004C724D">
        <w:rPr>
          <w:rStyle w:val="FootnoteReference"/>
        </w:rPr>
        <w:t xml:space="preserve"> </w:t>
      </w:r>
      <w:r w:rsidRPr="004C724D">
        <w:t xml:space="preserve">EUT L 107 af 28.4.2009, s. 166, ELI: </w:t>
      </w:r>
      <w:hyperlink r:id="rId1" w:tooltip="Giver adgang til dokumentet via dets ELI-URI." w:history="1">
        <w:r w:rsidRPr="004C724D">
          <w:t>http://data.europa.eu/eli/agree_internation/2009/332/oj</w:t>
        </w:r>
      </w:hyperlink>
      <w:r w:rsidRPr="004C724D">
        <w:t>.</w:t>
      </w:r>
    </w:p>
  </w:footnote>
  <w:footnote w:id="2">
    <w:p w14:paraId="12498AF5" w14:textId="364128F7" w:rsidR="00CB156F" w:rsidRPr="004C724D" w:rsidRDefault="00667881" w:rsidP="00CB156F">
      <w:pPr>
        <w:pStyle w:val="FootnoteText"/>
      </w:pPr>
      <w:r w:rsidRPr="004C724D">
        <w:rPr>
          <w:rStyle w:val="FootnoteReference"/>
        </w:rPr>
        <w:footnoteRef/>
      </w:r>
      <w:r w:rsidRPr="004C724D">
        <w:rPr>
          <w:rStyle w:val="FootnoteReference"/>
        </w:rPr>
        <w:t xml:space="preserve"> </w:t>
      </w:r>
      <w:r w:rsidRPr="004C724D">
        <w:t xml:space="preserve">EUT L 330 af 20.9.2021, s. 1, ELI: </w:t>
      </w:r>
      <w:hyperlink r:id="rId2" w:tooltip="Giver adgang til dokumentet via dets ELI-URI." w:history="1">
        <w:r w:rsidRPr="004C724D">
          <w:t>http://data.europa.eu/eli/reg/2021/1529/oj</w:t>
        </w:r>
      </w:hyperlink>
      <w:r w:rsidRPr="004C724D">
        <w:t>.</w:t>
      </w:r>
    </w:p>
  </w:footnote>
  <w:footnote w:id="3">
    <w:p w14:paraId="2A649F5D" w14:textId="6DB8CF7A" w:rsidR="00CB156F" w:rsidRPr="004C724D" w:rsidRDefault="00667881" w:rsidP="00CB156F">
      <w:pPr>
        <w:pStyle w:val="FootnoteText"/>
      </w:pPr>
      <w:r w:rsidRPr="004C724D">
        <w:rPr>
          <w:rStyle w:val="FootnoteReference"/>
        </w:rPr>
        <w:footnoteRef/>
      </w:r>
      <w:r w:rsidRPr="004C724D">
        <w:rPr>
          <w:rStyle w:val="FootnoteReference"/>
        </w:rPr>
        <w:t xml:space="preserve"> </w:t>
      </w:r>
      <w:r w:rsidRPr="004C724D">
        <w:t xml:space="preserve">EUT L, 2024/1449, 24.5.2024, ELI: </w:t>
      </w:r>
      <w:hyperlink r:id="rId3" w:tgtFrame="_blank" w:tooltip="Giver adgang til dokumentet via dets ELI-URI." w:history="1">
        <w:r w:rsidRPr="004C724D">
          <w:t>http://data.europa.eu/eli/reg/2024/1449/oj</w:t>
        </w:r>
      </w:hyperlink>
      <w:r w:rsidRPr="004C724D">
        <w:t>.</w:t>
      </w:r>
    </w:p>
  </w:footnote>
  <w:footnote w:id="4">
    <w:p w14:paraId="71427BC3" w14:textId="20C2A4F3" w:rsidR="0066499D" w:rsidRPr="004C724D" w:rsidRDefault="00667881">
      <w:pPr>
        <w:pStyle w:val="FootnoteText"/>
      </w:pPr>
      <w:r w:rsidRPr="004C724D">
        <w:rPr>
          <w:rStyle w:val="FootnoteReference"/>
        </w:rPr>
        <w:footnoteRef/>
      </w:r>
      <w:r w:rsidRPr="004C724D">
        <w:t xml:space="preserve"> Interinstitutionel aftale af 20. maj 2021 mellem Europa-Parlamentet, Rådet for Den Europæiske Union og Europa-Kommissionen om et obligatorisk åbenhedsregister (EUT L 207 af 11.6.2021, s. 1, ELI: </w:t>
      </w:r>
      <w:hyperlink r:id="rId4" w:history="1">
        <w:r w:rsidRPr="004C724D">
          <w:rPr>
            <w:rStyle w:val="Hyperlink"/>
            <w:sz w:val="24"/>
          </w:rPr>
          <w:t>http://data.europa.eu/eli/agree_interinstit/2021/611/oj</w:t>
        </w:r>
      </w:hyperlink>
      <w:r w:rsidRPr="004C724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6D2D6" w14:textId="77777777" w:rsidR="00667881" w:rsidRDefault="006678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0CB45" w14:textId="77777777" w:rsidR="00667881" w:rsidRDefault="006678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85654" w14:textId="77777777" w:rsidR="00667881" w:rsidRDefault="006678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40301641">
    <w:abstractNumId w:val="9"/>
  </w:num>
  <w:num w:numId="2" w16cid:durableId="744954804">
    <w:abstractNumId w:val="9"/>
  </w:num>
  <w:num w:numId="3" w16cid:durableId="573514970">
    <w:abstractNumId w:val="7"/>
  </w:num>
  <w:num w:numId="4" w16cid:durableId="1424719724">
    <w:abstractNumId w:val="7"/>
  </w:num>
  <w:num w:numId="5" w16cid:durableId="904492199">
    <w:abstractNumId w:val="6"/>
  </w:num>
  <w:num w:numId="6" w16cid:durableId="1288588621">
    <w:abstractNumId w:val="6"/>
  </w:num>
  <w:num w:numId="7" w16cid:durableId="1368800594">
    <w:abstractNumId w:val="5"/>
  </w:num>
  <w:num w:numId="8" w16cid:durableId="1875726184">
    <w:abstractNumId w:val="5"/>
  </w:num>
  <w:num w:numId="9" w16cid:durableId="1071460742">
    <w:abstractNumId w:val="4"/>
  </w:num>
  <w:num w:numId="10" w16cid:durableId="1825929590">
    <w:abstractNumId w:val="4"/>
  </w:num>
  <w:num w:numId="11" w16cid:durableId="276446960">
    <w:abstractNumId w:val="8"/>
  </w:num>
  <w:num w:numId="12" w16cid:durableId="896285429">
    <w:abstractNumId w:val="8"/>
  </w:num>
  <w:num w:numId="13" w16cid:durableId="1064716967">
    <w:abstractNumId w:val="3"/>
  </w:num>
  <w:num w:numId="14" w16cid:durableId="1167672469">
    <w:abstractNumId w:val="3"/>
  </w:num>
  <w:num w:numId="15" w16cid:durableId="1752848772">
    <w:abstractNumId w:val="2"/>
  </w:num>
  <w:num w:numId="16" w16cid:durableId="832376162">
    <w:abstractNumId w:val="2"/>
  </w:num>
  <w:num w:numId="17" w16cid:durableId="2090687925">
    <w:abstractNumId w:val="1"/>
  </w:num>
  <w:num w:numId="18" w16cid:durableId="1658534123">
    <w:abstractNumId w:val="1"/>
  </w:num>
  <w:num w:numId="19" w16cid:durableId="350038388">
    <w:abstractNumId w:val="0"/>
  </w:num>
  <w:num w:numId="20" w16cid:durableId="1145003446">
    <w:abstractNumId w:val="0"/>
  </w:num>
  <w:num w:numId="21" w16cid:durableId="2084447131">
    <w:abstractNumId w:val="9"/>
  </w:num>
  <w:num w:numId="22" w16cid:durableId="1947106235">
    <w:abstractNumId w:val="7"/>
  </w:num>
  <w:num w:numId="23" w16cid:durableId="1230270643">
    <w:abstractNumId w:val="6"/>
  </w:num>
  <w:num w:numId="24" w16cid:durableId="1280573652">
    <w:abstractNumId w:val="5"/>
  </w:num>
  <w:num w:numId="25" w16cid:durableId="672340647">
    <w:abstractNumId w:val="4"/>
  </w:num>
  <w:num w:numId="26" w16cid:durableId="948857411">
    <w:abstractNumId w:val="8"/>
  </w:num>
  <w:num w:numId="27" w16cid:durableId="548417900">
    <w:abstractNumId w:val="3"/>
  </w:num>
  <w:num w:numId="28" w16cid:durableId="1478104577">
    <w:abstractNumId w:val="2"/>
  </w:num>
  <w:num w:numId="29" w16cid:durableId="1654723136">
    <w:abstractNumId w:val="1"/>
  </w:num>
  <w:num w:numId="30" w16cid:durableId="1030111042">
    <w:abstractNumId w:val="0"/>
  </w:num>
  <w:num w:numId="31" w16cid:durableId="139159000">
    <w:abstractNumId w:val="9"/>
  </w:num>
  <w:num w:numId="32" w16cid:durableId="1914967199">
    <w:abstractNumId w:val="7"/>
  </w:num>
  <w:num w:numId="33" w16cid:durableId="115568470">
    <w:abstractNumId w:val="6"/>
  </w:num>
  <w:num w:numId="34" w16cid:durableId="1718235063">
    <w:abstractNumId w:val="5"/>
  </w:num>
  <w:num w:numId="35" w16cid:durableId="252128135">
    <w:abstractNumId w:val="4"/>
  </w:num>
  <w:num w:numId="36" w16cid:durableId="1310330310">
    <w:abstractNumId w:val="8"/>
  </w:num>
  <w:num w:numId="37" w16cid:durableId="254870599">
    <w:abstractNumId w:val="3"/>
  </w:num>
  <w:num w:numId="38" w16cid:durableId="27950049">
    <w:abstractNumId w:val="2"/>
  </w:num>
  <w:num w:numId="39" w16cid:durableId="1701857849">
    <w:abstractNumId w:val="1"/>
  </w:num>
  <w:num w:numId="40" w16cid:durableId="1739743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DOCDT" w:val="04/02/2026"/>
    <w:docVar w:name="LastEditedSection" w:val=" 1"/>
    <w:docVar w:name="MOTIONMNU" w:val=" 1"/>
    <w:docVar w:name="NROJ" w:val=" 2"/>
    <w:docVar w:name="NVAR1" w:val="0"/>
    <w:docVar w:name="RULEMNU" w:val=" 1"/>
    <w:docVar w:name="strDocTypeID" w:val="PR_INI"/>
    <w:docVar w:name="strSubDir" w:val="1336"/>
    <w:docVar w:name="TITLEMNU" w:val=" 1"/>
    <w:docVar w:name="TXTAUTHOR" w:val="Andreas Schieder"/>
    <w:docVar w:name="TXTLANGUE" w:val="EN"/>
    <w:docVar w:name="TXTLANGUEMIN" w:val="en"/>
    <w:docVar w:name="TXTNRINI" w:val="2025/2250"/>
    <w:docVar w:name="TXTNRPE" w:val="784.259"/>
    <w:docVar w:name="TXTPEorAP" w:val="PE"/>
    <w:docVar w:name="TXTROUTE" w:val="PR\1336685EN.docx"/>
    <w:docVar w:name="TXTTITLE" w:val="the 2025 Commission report on Albania"/>
    <w:docVar w:name="TXTVERSION" w:val="01-00"/>
  </w:docVars>
  <w:rsids>
    <w:rsidRoot w:val="003513CB"/>
    <w:rsid w:val="00025465"/>
    <w:rsid w:val="00040EAC"/>
    <w:rsid w:val="0007541B"/>
    <w:rsid w:val="00082B37"/>
    <w:rsid w:val="00086351"/>
    <w:rsid w:val="000D2631"/>
    <w:rsid w:val="000F1324"/>
    <w:rsid w:val="00100069"/>
    <w:rsid w:val="001046B1"/>
    <w:rsid w:val="00105C44"/>
    <w:rsid w:val="00112484"/>
    <w:rsid w:val="001666EA"/>
    <w:rsid w:val="001B207D"/>
    <w:rsid w:val="0023245A"/>
    <w:rsid w:val="00252C76"/>
    <w:rsid w:val="002544DF"/>
    <w:rsid w:val="00276B35"/>
    <w:rsid w:val="00335F69"/>
    <w:rsid w:val="003513CB"/>
    <w:rsid w:val="00351EDF"/>
    <w:rsid w:val="00353A23"/>
    <w:rsid w:val="00392A26"/>
    <w:rsid w:val="00395A66"/>
    <w:rsid w:val="003E4507"/>
    <w:rsid w:val="003E6413"/>
    <w:rsid w:val="004016B4"/>
    <w:rsid w:val="004200B3"/>
    <w:rsid w:val="00432B50"/>
    <w:rsid w:val="004478E1"/>
    <w:rsid w:val="00454E1B"/>
    <w:rsid w:val="00455003"/>
    <w:rsid w:val="00466A1A"/>
    <w:rsid w:val="004B1B5F"/>
    <w:rsid w:val="004C724D"/>
    <w:rsid w:val="005178FF"/>
    <w:rsid w:val="00531F4C"/>
    <w:rsid w:val="00556373"/>
    <w:rsid w:val="00584A07"/>
    <w:rsid w:val="005B2DCF"/>
    <w:rsid w:val="00614C55"/>
    <w:rsid w:val="006272CD"/>
    <w:rsid w:val="00646AD2"/>
    <w:rsid w:val="00660CEF"/>
    <w:rsid w:val="0066499D"/>
    <w:rsid w:val="00667881"/>
    <w:rsid w:val="00685E62"/>
    <w:rsid w:val="006911CD"/>
    <w:rsid w:val="007041CC"/>
    <w:rsid w:val="00705D44"/>
    <w:rsid w:val="00726C82"/>
    <w:rsid w:val="00753CC4"/>
    <w:rsid w:val="007963C6"/>
    <w:rsid w:val="00820F0A"/>
    <w:rsid w:val="00865656"/>
    <w:rsid w:val="008C4C65"/>
    <w:rsid w:val="0090583E"/>
    <w:rsid w:val="0095536F"/>
    <w:rsid w:val="00956282"/>
    <w:rsid w:val="00996AC6"/>
    <w:rsid w:val="009E4ABB"/>
    <w:rsid w:val="00A45202"/>
    <w:rsid w:val="00AF310F"/>
    <w:rsid w:val="00B17532"/>
    <w:rsid w:val="00B31C6A"/>
    <w:rsid w:val="00B7198C"/>
    <w:rsid w:val="00BA2A57"/>
    <w:rsid w:val="00BA5076"/>
    <w:rsid w:val="00BB70F1"/>
    <w:rsid w:val="00BC7C60"/>
    <w:rsid w:val="00C00074"/>
    <w:rsid w:val="00C21C5F"/>
    <w:rsid w:val="00C6630E"/>
    <w:rsid w:val="00C85D0F"/>
    <w:rsid w:val="00C93A60"/>
    <w:rsid w:val="00CB156F"/>
    <w:rsid w:val="00CD3E8A"/>
    <w:rsid w:val="00D31D25"/>
    <w:rsid w:val="00D47BB0"/>
    <w:rsid w:val="00D47F5D"/>
    <w:rsid w:val="00D7244F"/>
    <w:rsid w:val="00DB4680"/>
    <w:rsid w:val="00DD7B9D"/>
    <w:rsid w:val="00DE14C7"/>
    <w:rsid w:val="00E155CA"/>
    <w:rsid w:val="00E3537C"/>
    <w:rsid w:val="00E61690"/>
    <w:rsid w:val="00F076A5"/>
    <w:rsid w:val="00F3651F"/>
    <w:rsid w:val="00F42F07"/>
    <w:rsid w:val="00F714A9"/>
    <w:rsid w:val="00FB717E"/>
    <w:rsid w:val="00FD3897"/>
    <w:rsid w:val="00FD55C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275CFA"/>
  <w15:chartTrackingRefBased/>
  <w15:docId w15:val="{A91AE142-A048-4427-A9D6-9B2318AF2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noteText">
    <w:name w:val="footnote text"/>
    <w:basedOn w:val="Normal"/>
    <w:link w:val="FootnoteTextChar"/>
    <w:rsid w:val="00660CEF"/>
    <w:rPr>
      <w:sz w:val="20"/>
    </w:rPr>
  </w:style>
  <w:style w:type="character" w:customStyle="1" w:styleId="FootnoteTextChar">
    <w:name w:val="Footnote Text Char"/>
    <w:basedOn w:val="DefaultParagraphFont"/>
    <w:link w:val="FootnoteText"/>
    <w:rsid w:val="00660CEF"/>
  </w:style>
  <w:style w:type="character" w:styleId="FootnoteReference">
    <w:name w:val="footnote reference"/>
    <w:basedOn w:val="DefaultParagraphFont"/>
    <w:rsid w:val="00660CEF"/>
    <w:rPr>
      <w:vertAlign w:val="superscript"/>
    </w:rPr>
  </w:style>
  <w:style w:type="character" w:styleId="Hyperlink">
    <w:name w:val="Hyperlink"/>
    <w:basedOn w:val="DefaultParagraphFont"/>
    <w:unhideWhenUsed/>
    <w:rsid w:val="00660CEF"/>
    <w:rPr>
      <w:color w:val="0563C1" w:themeColor="hyperlink"/>
      <w:u w:val="single"/>
    </w:rPr>
  </w:style>
  <w:style w:type="paragraph" w:styleId="Revision">
    <w:name w:val="Revision"/>
    <w:hidden/>
    <w:uiPriority w:val="99"/>
    <w:semiHidden/>
    <w:rsid w:val="0066499D"/>
    <w:rPr>
      <w:sz w:val="24"/>
    </w:rPr>
  </w:style>
  <w:style w:type="paragraph" w:customStyle="1" w:styleId="Normal24a">
    <w:name w:val="Normal24a"/>
    <w:basedOn w:val="Normal"/>
    <w:rsid w:val="0066499D"/>
    <w:pPr>
      <w:spacing w:after="480"/>
    </w:pPr>
  </w:style>
  <w:style w:type="paragraph" w:customStyle="1" w:styleId="NormalBoldCenter">
    <w:name w:val="NormalBoldCenter"/>
    <w:basedOn w:val="Normal"/>
    <w:rsid w:val="0066499D"/>
    <w:pPr>
      <w:jc w:val="center"/>
    </w:pPr>
    <w:rPr>
      <w:b/>
    </w:rPr>
  </w:style>
  <w:style w:type="paragraph" w:customStyle="1" w:styleId="Footprint12b">
    <w:name w:val="Footprint12b"/>
    <w:basedOn w:val="Normal"/>
    <w:rsid w:val="0066499D"/>
    <w:pPr>
      <w:spacing w:before="240"/>
    </w:pPr>
    <w:rPr>
      <w:szCs w:val="24"/>
    </w:rPr>
  </w:style>
  <w:style w:type="paragraph" w:customStyle="1" w:styleId="NormalSingle">
    <w:name w:val="NormalSingle"/>
    <w:basedOn w:val="Normal"/>
    <w:qFormat/>
    <w:rsid w:val="0066499D"/>
    <w:rPr>
      <w:szCs w:val="24"/>
    </w:rPr>
  </w:style>
  <w:style w:type="character" w:styleId="UnresolvedMention">
    <w:name w:val="Unresolved Mention"/>
    <w:basedOn w:val="DefaultParagraphFont"/>
    <w:uiPriority w:val="99"/>
    <w:semiHidden/>
    <w:unhideWhenUsed/>
    <w:rsid w:val="0066499D"/>
    <w:rPr>
      <w:color w:val="605E5C"/>
      <w:shd w:val="clear" w:color="auto" w:fill="E1DFDD"/>
    </w:rPr>
  </w:style>
  <w:style w:type="paragraph" w:styleId="Footer">
    <w:name w:val="footer"/>
    <w:basedOn w:val="Normal"/>
    <w:link w:val="FooterChar"/>
    <w:semiHidden/>
    <w:rsid w:val="00685E62"/>
    <w:pPr>
      <w:tabs>
        <w:tab w:val="center" w:pos="4513"/>
        <w:tab w:val="right" w:pos="9026"/>
      </w:tabs>
    </w:pPr>
  </w:style>
  <w:style w:type="character" w:customStyle="1" w:styleId="FooterChar">
    <w:name w:val="Footer Char"/>
    <w:basedOn w:val="DefaultParagraphFont"/>
    <w:link w:val="Footer"/>
    <w:semiHidden/>
    <w:rsid w:val="00685E6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4"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1832</Words>
  <Characters>12259</Characters>
  <Application>Microsoft Office Word</Application>
  <DocSecurity>0</DocSecurity>
  <Lines>235</Lines>
  <Paragraphs>102</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TENGELIDOU Gesthimani</dc:creator>
  <cp:lastModifiedBy>RORMAND Mia</cp:lastModifiedBy>
  <cp:revision>2</cp:revision>
  <cp:lastPrinted>2026-02-16T09:10:00Z</cp:lastPrinted>
  <dcterms:created xsi:type="dcterms:W3CDTF">2026-03-02T13:44:00Z</dcterms:created>
  <dcterms:modified xsi:type="dcterms:W3CDTF">2026-03-02T13:44:00Z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1336685</vt:lpwstr>
  </property>
  <property fmtid="{D5CDD505-2E9C-101B-9397-08002B2CF9AE}" pid="4" name="&lt;Model&gt;">
    <vt:lpwstr>PR_INI</vt:lpwstr>
  </property>
  <property fmtid="{D5CDD505-2E9C-101B-9397-08002B2CF9AE}" pid="5" name="&lt;ModelCod&gt;">
    <vt:lpwstr>\\eiciBRUpr1\pdocep$\DocEP\DOCS\General\PR\PR_NonLeg\INI\PR_INI.dotx(18/02/2025 08:53:03)</vt:lpwstr>
  </property>
  <property fmtid="{D5CDD505-2E9C-101B-9397-08002B2CF9AE}" pid="6" name="&lt;ModelTra&gt;">
    <vt:lpwstr>\\eiciBRUpr1\pdocep$\DocEP\TRANSFIL\EN\PR_INI.EN(18/02/2025 08:54:04)</vt:lpwstr>
  </property>
  <property fmtid="{D5CDD505-2E9C-101B-9397-08002B2CF9AE}" pid="7" name="&lt;Type&gt;">
    <vt:lpwstr>PR</vt:lpwstr>
  </property>
  <property fmtid="{D5CDD505-2E9C-101B-9397-08002B2CF9AE}" pid="8" name="Bookout">
    <vt:lpwstr>OK - 2026/03/02 14:44</vt:lpwstr>
  </property>
  <property fmtid="{D5CDD505-2E9C-101B-9397-08002B2CF9AE}" pid="9" name="Created with">
    <vt:lpwstr>10.2.1 Build [20260110]</vt:lpwstr>
  </property>
  <property fmtid="{D5CDD505-2E9C-101B-9397-08002B2CF9AE}" pid="10" name="FooterPath">
    <vt:lpwstr>PR\1336685DA.docx</vt:lpwstr>
  </property>
  <property fmtid="{D5CDD505-2E9C-101B-9397-08002B2CF9AE}" pid="11" name="LastEdited with">
    <vt:lpwstr>10.2.1 Build [20260110]</vt:lpwstr>
  </property>
  <property fmtid="{D5CDD505-2E9C-101B-9397-08002B2CF9AE}" pid="12" name="PE number">
    <vt:lpwstr>784.259</vt:lpwstr>
  </property>
  <property fmtid="{D5CDD505-2E9C-101B-9397-08002B2CF9AE}" pid="13" name="SDLStudio">
    <vt:lpwstr/>
  </property>
  <property fmtid="{D5CDD505-2E9C-101B-9397-08002B2CF9AE}" pid="14" name="SendToEpades">
    <vt:lpwstr>OK - 2026/02/16 10:24</vt:lpwstr>
  </property>
</Properties>
</file>