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93A60" w:rsidRPr="00AF7F97" w14:paraId="7B1AEA8F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382E56" w14:textId="28E6D4F7" w:rsidR="00C93A60" w:rsidRPr="00AF7F97" w:rsidRDefault="003513CB" w:rsidP="00C85D0F">
            <w:pPr>
              <w:pStyle w:val="EPName"/>
            </w:pPr>
            <w:r w:rsidRPr="00AF7F97">
              <w:t>Parlament Europejski</w:t>
            </w:r>
          </w:p>
          <w:p w14:paraId="615668AA" w14:textId="435B62C0" w:rsidR="00C93A60" w:rsidRPr="00AF7F97" w:rsidRDefault="00660CEF" w:rsidP="00C85D0F">
            <w:pPr>
              <w:pStyle w:val="EPTerm"/>
            </w:pPr>
            <w:r w:rsidRPr="00AF7F97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AFA3047" w14:textId="77777777" w:rsidR="00C93A60" w:rsidRPr="00AF7F97" w:rsidRDefault="00C93A60" w:rsidP="00C85D0F">
            <w:pPr>
              <w:pStyle w:val="EPLogo"/>
            </w:pPr>
            <w:r w:rsidRPr="00AF7F97">
              <w:rPr>
                <w:noProof/>
                <w:lang w:eastAsia="ja-JP"/>
              </w:rPr>
              <w:drawing>
                <wp:inline distT="0" distB="0" distL="0" distR="0" wp14:anchorId="7977FC29" wp14:editId="0B11B1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A556D3" w14:textId="77777777" w:rsidR="00E3537C" w:rsidRPr="00AF7F97" w:rsidRDefault="00E3537C" w:rsidP="00E3537C">
      <w:pPr>
        <w:pStyle w:val="LineTop"/>
      </w:pPr>
    </w:p>
    <w:p w14:paraId="2C00C5A1" w14:textId="38C900B2" w:rsidR="00E3537C" w:rsidRPr="00AF7F97" w:rsidRDefault="00E3537C" w:rsidP="00E3537C">
      <w:pPr>
        <w:pStyle w:val="EPBody"/>
      </w:pPr>
      <w:r w:rsidRPr="00AF7F97">
        <w:rPr>
          <w:rStyle w:val="HideTWBExt"/>
          <w:i w:val="0"/>
        </w:rPr>
        <w:t>&lt;Commission&gt;</w:t>
      </w:r>
      <w:r w:rsidRPr="00AF7F97">
        <w:rPr>
          <w:rStyle w:val="HideTWBInt"/>
        </w:rPr>
        <w:t>{AFET}</w:t>
      </w:r>
      <w:r w:rsidRPr="00AF7F97">
        <w:t>Komisja Spraw Zagranicznych</w:t>
      </w:r>
      <w:r w:rsidRPr="00AF7F97">
        <w:rPr>
          <w:rStyle w:val="HideTWBExt"/>
          <w:i w:val="0"/>
        </w:rPr>
        <w:t>&lt;/Commission&gt;</w:t>
      </w:r>
    </w:p>
    <w:p w14:paraId="34AA7753" w14:textId="77777777" w:rsidR="00E3537C" w:rsidRPr="00AF7F97" w:rsidRDefault="00E3537C" w:rsidP="00E3537C">
      <w:pPr>
        <w:pStyle w:val="LineBottom"/>
      </w:pPr>
    </w:p>
    <w:p w14:paraId="0AB069B9" w14:textId="6B0EE00B" w:rsidR="00100069" w:rsidRPr="00AF7F97" w:rsidRDefault="00100069">
      <w:pPr>
        <w:pStyle w:val="CoverReference"/>
      </w:pPr>
      <w:r w:rsidRPr="00AF7F97">
        <w:rPr>
          <w:rStyle w:val="HideTWBExt"/>
          <w:b w:val="0"/>
        </w:rPr>
        <w:t>&lt;RefProc&gt;</w:t>
      </w:r>
      <w:r w:rsidRPr="00AF7F97">
        <w:t>2025/2250</w:t>
      </w:r>
      <w:r w:rsidRPr="00AF7F97">
        <w:rPr>
          <w:rStyle w:val="HideTWBExt"/>
          <w:b w:val="0"/>
        </w:rPr>
        <w:t>&lt;/RefProc&gt;&lt;RefTypeProc&gt;</w:t>
      </w:r>
      <w:r w:rsidRPr="00AF7F97">
        <w:t>(INI)</w:t>
      </w:r>
      <w:r w:rsidRPr="00AF7F97">
        <w:rPr>
          <w:rStyle w:val="HideTWBExt"/>
          <w:b w:val="0"/>
        </w:rPr>
        <w:t>&lt;/RefTypeProc&gt;</w:t>
      </w:r>
    </w:p>
    <w:p w14:paraId="2CD48505" w14:textId="41B3FD80" w:rsidR="00100069" w:rsidRPr="00AF7F97" w:rsidRDefault="00100069">
      <w:pPr>
        <w:pStyle w:val="CoverDate"/>
      </w:pPr>
      <w:r w:rsidRPr="00AF7F97">
        <w:rPr>
          <w:rStyle w:val="HideTWBExt"/>
        </w:rPr>
        <w:t>&lt;Date&gt;</w:t>
      </w:r>
      <w:r w:rsidRPr="00AF7F97">
        <w:rPr>
          <w:rStyle w:val="HideTWBInt"/>
        </w:rPr>
        <w:t>{16/02/2026}</w:t>
      </w:r>
      <w:r w:rsidRPr="00AF7F97">
        <w:t>16.2.2026</w:t>
      </w:r>
      <w:r w:rsidRPr="00AF7F97">
        <w:rPr>
          <w:rStyle w:val="HideTWBExt"/>
        </w:rPr>
        <w:t>&lt;/Date&gt;</w:t>
      </w:r>
    </w:p>
    <w:p w14:paraId="6FFFEE19" w14:textId="7E244288" w:rsidR="00100069" w:rsidRPr="00AF7F97" w:rsidRDefault="00100069">
      <w:pPr>
        <w:pStyle w:val="CoverDocType24a"/>
      </w:pPr>
      <w:r w:rsidRPr="00AF7F97">
        <w:rPr>
          <w:rStyle w:val="HideTWBExt"/>
          <w:b w:val="0"/>
        </w:rPr>
        <w:t>&lt;TitreType&gt;</w:t>
      </w:r>
      <w:r w:rsidRPr="00AF7F97">
        <w:t>PROJEKT SPRAWOZDANIA</w:t>
      </w:r>
      <w:r w:rsidRPr="00AF7F97">
        <w:rPr>
          <w:rStyle w:val="HideTWBExt"/>
          <w:b w:val="0"/>
        </w:rPr>
        <w:t>&lt;/TitreType&gt;</w:t>
      </w:r>
    </w:p>
    <w:p w14:paraId="485E3AC1" w14:textId="0CB22BBD" w:rsidR="00100069" w:rsidRPr="00AF7F97" w:rsidRDefault="00100069">
      <w:pPr>
        <w:pStyle w:val="CoverNormal"/>
      </w:pPr>
      <w:r w:rsidRPr="00AF7F97">
        <w:rPr>
          <w:rStyle w:val="HideTWBExt"/>
        </w:rPr>
        <w:t>&lt;Titre&gt;</w:t>
      </w:r>
      <w:r w:rsidRPr="00AF7F97">
        <w:t>w sprawie sprawozdania Komisji dotyczącego Albanii – 2025 r.</w:t>
      </w:r>
      <w:r w:rsidRPr="00AF7F97">
        <w:rPr>
          <w:rStyle w:val="HideTWBExt"/>
        </w:rPr>
        <w:t>&lt;/Titre&gt;</w:t>
      </w:r>
    </w:p>
    <w:p w14:paraId="6200D9C0" w14:textId="7D6544F5" w:rsidR="00100069" w:rsidRPr="00AF7F97" w:rsidRDefault="00100069">
      <w:pPr>
        <w:pStyle w:val="CoverNormal24a"/>
      </w:pPr>
      <w:r w:rsidRPr="00AF7F97">
        <w:rPr>
          <w:rStyle w:val="HideTWBExt"/>
        </w:rPr>
        <w:t>&lt;DocRef&gt;</w:t>
      </w:r>
      <w:r w:rsidRPr="00AF7F97">
        <w:t>(2025/2250(INI))</w:t>
      </w:r>
      <w:r w:rsidRPr="00AF7F97">
        <w:rPr>
          <w:rStyle w:val="HideTWBExt"/>
        </w:rPr>
        <w:t>&lt;/DocRef&gt;</w:t>
      </w:r>
    </w:p>
    <w:p w14:paraId="55AE7A35" w14:textId="4DC8C73F" w:rsidR="00100069" w:rsidRPr="00AF7F97" w:rsidRDefault="00100069">
      <w:pPr>
        <w:pStyle w:val="CoverNormal24a"/>
      </w:pPr>
      <w:r w:rsidRPr="00AF7F97">
        <w:rPr>
          <w:rStyle w:val="HideTWBExt"/>
        </w:rPr>
        <w:t>&lt;Commission&gt;</w:t>
      </w:r>
      <w:r w:rsidRPr="00AF7F97">
        <w:rPr>
          <w:rStyle w:val="HideTWBInt"/>
        </w:rPr>
        <w:t>{AFET}</w:t>
      </w:r>
      <w:r w:rsidRPr="00AF7F97">
        <w:t>Komisja Spraw Zagranicznych</w:t>
      </w:r>
      <w:r w:rsidRPr="00AF7F97">
        <w:rPr>
          <w:rStyle w:val="HideTWBExt"/>
        </w:rPr>
        <w:t>&lt;/Commission&gt;</w:t>
      </w:r>
    </w:p>
    <w:p w14:paraId="21932CD4" w14:textId="09D5846A" w:rsidR="00100069" w:rsidRPr="0031151E" w:rsidRDefault="003513CB">
      <w:pPr>
        <w:pStyle w:val="CoverNormal24a"/>
        <w:rPr>
          <w:lang w:val="de-DE"/>
        </w:rPr>
      </w:pPr>
      <w:r w:rsidRPr="0031151E">
        <w:rPr>
          <w:lang w:val="de-DE"/>
        </w:rPr>
        <w:t xml:space="preserve">Sprawozdawca: </w:t>
      </w:r>
      <w:r w:rsidRPr="0031151E">
        <w:rPr>
          <w:rStyle w:val="HideTWBExt"/>
          <w:lang w:val="de-DE"/>
        </w:rPr>
        <w:t>&lt;Depute&gt;</w:t>
      </w:r>
      <w:r w:rsidRPr="0031151E">
        <w:rPr>
          <w:lang w:val="de-DE"/>
        </w:rPr>
        <w:t>Andreas Schieder</w:t>
      </w:r>
      <w:r w:rsidRPr="0031151E">
        <w:rPr>
          <w:rStyle w:val="HideTWBExt"/>
          <w:lang w:val="de-DE"/>
        </w:rPr>
        <w:t>&lt;/Depute&gt;</w:t>
      </w:r>
    </w:p>
    <w:p w14:paraId="717BF9C1" w14:textId="792A790E" w:rsidR="00100069" w:rsidRPr="00AF7F97" w:rsidRDefault="00100069" w:rsidP="002544DF">
      <w:pPr>
        <w:widowControl/>
        <w:tabs>
          <w:tab w:val="center" w:pos="4677"/>
        </w:tabs>
      </w:pPr>
      <w:r w:rsidRPr="0031151E">
        <w:br w:type="page"/>
      </w:r>
      <w:r w:rsidRPr="00AF7F97">
        <w:lastRenderedPageBreak/>
        <w:t>PR_INI</w:t>
      </w:r>
    </w:p>
    <w:p w14:paraId="3C2957A7" w14:textId="726819A8" w:rsidR="00100069" w:rsidRPr="00AF7F97" w:rsidRDefault="003513CB">
      <w:pPr>
        <w:pStyle w:val="TOCHeading"/>
      </w:pPr>
      <w:r w:rsidRPr="00AF7F97">
        <w:t>SPIS STREŚCI</w:t>
      </w:r>
    </w:p>
    <w:p w14:paraId="191462EF" w14:textId="78C43EAD" w:rsidR="00100069" w:rsidRPr="00AF7F97" w:rsidRDefault="003513CB">
      <w:pPr>
        <w:pStyle w:val="TOCPage"/>
      </w:pPr>
      <w:r w:rsidRPr="00AF7F97">
        <w:t>Strona</w:t>
      </w:r>
    </w:p>
    <w:p w14:paraId="1BA3240B" w14:textId="0B99283B" w:rsidR="0031151E" w:rsidRDefault="002544D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AF7F97">
        <w:rPr>
          <w:b/>
        </w:rPr>
        <w:fldChar w:fldCharType="begin"/>
      </w:r>
      <w:r w:rsidRPr="00AF7F97">
        <w:rPr>
          <w:b/>
        </w:rPr>
        <w:instrText xml:space="preserve"> TOC \t "PageHeading</w:instrText>
      </w:r>
      <w:r w:rsidR="00753CC4" w:rsidRPr="00AF7F97">
        <w:rPr>
          <w:b/>
        </w:rPr>
        <w:instrText>;</w:instrText>
      </w:r>
      <w:r w:rsidRPr="00AF7F97">
        <w:rPr>
          <w:b/>
        </w:rPr>
        <w:instrText xml:space="preserve">1" </w:instrText>
      </w:r>
      <w:r w:rsidRPr="00AF7F97">
        <w:rPr>
          <w:b/>
        </w:rPr>
        <w:fldChar w:fldCharType="separate"/>
      </w:r>
      <w:r w:rsidR="0031151E">
        <w:rPr>
          <w:noProof/>
        </w:rPr>
        <w:t>PROJEKT REZOLUCJI PARLAMENTU EUROPEJSKIEGO</w:t>
      </w:r>
      <w:r w:rsidR="0031151E">
        <w:rPr>
          <w:noProof/>
        </w:rPr>
        <w:tab/>
      </w:r>
      <w:r w:rsidR="0031151E">
        <w:rPr>
          <w:noProof/>
        </w:rPr>
        <w:fldChar w:fldCharType="begin"/>
      </w:r>
      <w:r w:rsidR="0031151E">
        <w:rPr>
          <w:noProof/>
        </w:rPr>
        <w:instrText xml:space="preserve"> PAGEREF _Toc223423206 \h </w:instrText>
      </w:r>
      <w:r w:rsidR="0031151E">
        <w:rPr>
          <w:noProof/>
        </w:rPr>
      </w:r>
      <w:r w:rsidR="0031151E">
        <w:rPr>
          <w:noProof/>
        </w:rPr>
        <w:fldChar w:fldCharType="separate"/>
      </w:r>
      <w:r w:rsidR="0031151E">
        <w:rPr>
          <w:noProof/>
        </w:rPr>
        <w:t>3</w:t>
      </w:r>
      <w:r w:rsidR="0031151E">
        <w:rPr>
          <w:noProof/>
        </w:rPr>
        <w:fldChar w:fldCharType="end"/>
      </w:r>
    </w:p>
    <w:p w14:paraId="5CAA89B8" w14:textId="2958B10D" w:rsidR="0031151E" w:rsidRDefault="0031151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_Toc223423207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15723BE0" w14:textId="218DA153" w:rsidR="0031151E" w:rsidRDefault="0031151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ZAŁĄCZNIK: WYKAZ PODMIOTÓW, OD KTÓRYCH SPRAWOZDAWCA OTRZYMAŁ INFORMACJE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_Toc223423208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7E7072A1" w14:textId="5A6FC6A8" w:rsidR="00E155CA" w:rsidRPr="00AF7F97" w:rsidRDefault="002544DF" w:rsidP="0023245A">
      <w:r w:rsidRPr="00AF7F97">
        <w:rPr>
          <w:b/>
        </w:rPr>
        <w:fldChar w:fldCharType="end"/>
      </w:r>
    </w:p>
    <w:p w14:paraId="3AEA80CD" w14:textId="39124CC3" w:rsidR="00100069" w:rsidRPr="00AF7F97" w:rsidRDefault="00100069">
      <w:pPr>
        <w:pStyle w:val="PageHeading"/>
      </w:pPr>
      <w:r w:rsidRPr="00AF7F97">
        <w:br w:type="page"/>
      </w:r>
      <w:bookmarkStart w:id="0" w:name="_Toc223423206"/>
      <w:r w:rsidRPr="00AF7F97">
        <w:lastRenderedPageBreak/>
        <w:t>PROJEKT REZOLUCJI PARLAMENTU EUROPEJSKIEGO</w:t>
      </w:r>
      <w:bookmarkEnd w:id="0"/>
    </w:p>
    <w:p w14:paraId="515C0B1E" w14:textId="6E33348C" w:rsidR="00100069" w:rsidRPr="00AF7F97" w:rsidRDefault="00660CEF">
      <w:pPr>
        <w:pStyle w:val="NormalBold"/>
      </w:pPr>
      <w:r w:rsidRPr="00AF7F97">
        <w:t>w sprawie sprawozdania Komisji dotyczącego Albanii – 2025 r.</w:t>
      </w:r>
    </w:p>
    <w:p w14:paraId="53236526" w14:textId="5FD77819" w:rsidR="00100069" w:rsidRPr="00AF7F97" w:rsidRDefault="003513CB" w:rsidP="00335F69">
      <w:pPr>
        <w:pStyle w:val="NormalBold"/>
      </w:pPr>
      <w:r w:rsidRPr="00AF7F97">
        <w:t>(2025/2250(INI))</w:t>
      </w:r>
    </w:p>
    <w:p w14:paraId="0FEC4830" w14:textId="379F2BAD" w:rsidR="00100069" w:rsidRPr="00AF7F97" w:rsidRDefault="003513CB" w:rsidP="00335F69">
      <w:pPr>
        <w:pStyle w:val="EPComma"/>
      </w:pPr>
      <w:r w:rsidRPr="00AF7F97">
        <w:rPr>
          <w:i/>
        </w:rPr>
        <w:t>Parlament Europejski</w:t>
      </w:r>
      <w:r w:rsidRPr="00AF7F97">
        <w:t>,</w:t>
      </w:r>
    </w:p>
    <w:p w14:paraId="2AF74C38" w14:textId="77777777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Układ o stabilizacji i stowarzyszeniu między Wspólnotami Europejskimi i ich państwami członkowskimi, z jednej strony, a Republiką Albanii, z drugiej strony</w:t>
      </w:r>
      <w:r w:rsidRPr="00AF7F97">
        <w:rPr>
          <w:vertAlign w:val="superscript"/>
        </w:rPr>
        <w:footnoteReference w:id="1"/>
      </w:r>
      <w:r w:rsidRPr="00AF7F97">
        <w:t>,</w:t>
      </w:r>
    </w:p>
    <w:p w14:paraId="6C33D89B" w14:textId="2A161502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wniosek Albanii o członkostwo w UE złożony 24 kwietnia 2009 r.,</w:t>
      </w:r>
    </w:p>
    <w:p w14:paraId="1C09B177" w14:textId="77777777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rozporządzenie Parlamentu Europejskiego i Rady (UE) 2021/1529 z 15 września 2021 r. ustanawiające Instrument Pomocy Przedakcesyjnej (IPA III)</w:t>
      </w:r>
      <w:r w:rsidRPr="00AF7F97">
        <w:rPr>
          <w:vertAlign w:val="superscript"/>
        </w:rPr>
        <w:footnoteReference w:id="2"/>
      </w:r>
      <w:r w:rsidRPr="00AF7F97">
        <w:t>,</w:t>
      </w:r>
    </w:p>
    <w:p w14:paraId="3AE9DF26" w14:textId="77777777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rozporządzenie Parlamentu Europejskiego i Rady (UE) 2024/1449 z 14 maja 2024 r. w sprawie ustanowienia Instrumentu Wsparcia Reform i Wzrostu Gospodarczego na Bałkanach Zachodnich</w:t>
      </w:r>
      <w:r w:rsidRPr="00AF7F97">
        <w:rPr>
          <w:vertAlign w:val="superscript"/>
        </w:rPr>
        <w:footnoteReference w:id="3"/>
      </w:r>
      <w:r w:rsidRPr="00AF7F97">
        <w:t>,</w:t>
      </w:r>
    </w:p>
    <w:p w14:paraId="39228222" w14:textId="4DBE1528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komunikat Komisji z 5 lutego 2020 r. pt. „Usprawnienie procesu akcesyjnego – wiarygodna perspektywa członkostwa w UE dla państw regionu Bałkanów Zachodnich” (COM(2020)0057),</w:t>
      </w:r>
    </w:p>
    <w:p w14:paraId="7BE71735" w14:textId="36E6BEFE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komunikat Komisji z 8 listopada 2023 r. pt. „Nowy plan wzrostu gospodarczego dla Bałkanów Zachodnich” (COM(2023)0691),</w:t>
      </w:r>
    </w:p>
    <w:p w14:paraId="6B7249AE" w14:textId="3F8CFEF0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program reform Albanii przedłożony w ramach unijnego Instrumentu Wsparcia Reform i Wzrostu Gospodarczego na Bałkanach Zachodnich, zatwierdzony przez Komisję 23 października 2024 r.,</w:t>
      </w:r>
    </w:p>
    <w:p w14:paraId="1A819B1D" w14:textId="64BA944C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komunikat Komisji z 8 lipca 2025 r. pt. „Sprawozdanie na temat praworządności z 2025 r.” (COM(2025)0900) oraz towarzyszący mu dokument roboczy służb Komisji pt. „Sprawozdanie na temat praworządności z 2025 r. – Rozdział dotyczący sytuacji w zakresie praworządności w Albanii” (SWD(2025)0928),</w:t>
      </w:r>
    </w:p>
    <w:p w14:paraId="79286798" w14:textId="7B6C8BEC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komunikat Komisji z 4 listopada 2025 r. pt. „Komunikat w sprawie polityki rozszerzenia UE w 2025 r.” (COM(2025)0690) oraz towarzyszący mu dokument roboczy służb Komisji pt. „Sprawozdanie za rok 2025 dotyczące Albanii” (SWD(2025)0750),</w:t>
      </w:r>
    </w:p>
    <w:p w14:paraId="1E1B3E0A" w14:textId="6AA4E6B5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sprawozdanie końcowe z misji obserwacji wyborów z ramienia Biura Instytucji Demokratycznych i Praw Człowieka (ODIHR) Organizacji Bezpieczeństwa i Współpracy w Europie (OBWE) z 23 października 2025 r. w sprawie wyborów parlamentarnych w Albanii 11 maja 2025 r.,</w:t>
      </w:r>
    </w:p>
    <w:p w14:paraId="1627B703" w14:textId="77777777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deklarację ze szczytu UE–Bałkany Zachodnie, który odbył się 17 grudnia 2025 r. w Brukseli,</w:t>
      </w:r>
    </w:p>
    <w:p w14:paraId="0CA4BC78" w14:textId="77777777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swoje wcześniejsze rezolucje w sprawie Albanii,</w:t>
      </w:r>
    </w:p>
    <w:p w14:paraId="26DEFAEC" w14:textId="77777777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art. 55 Regulaminu,</w:t>
      </w:r>
    </w:p>
    <w:p w14:paraId="534CF378" w14:textId="4D83E05F" w:rsidR="00CB156F" w:rsidRPr="00AF7F97" w:rsidRDefault="00CB156F" w:rsidP="00CB156F">
      <w:pPr>
        <w:pStyle w:val="NormalHanging12a"/>
      </w:pPr>
      <w:r w:rsidRPr="00AF7F97">
        <w:t>–</w:t>
      </w:r>
      <w:r w:rsidRPr="00AF7F97">
        <w:tab/>
        <w:t>uwzględniając sprawozdanie Komisji Spraw Zagranicznych (A10-0000/2026),</w:t>
      </w:r>
    </w:p>
    <w:p w14:paraId="0DEB928D" w14:textId="1C3BEB59" w:rsidR="00CB156F" w:rsidRPr="00AF7F97" w:rsidRDefault="00CB156F" w:rsidP="00CB156F">
      <w:pPr>
        <w:pStyle w:val="NormalHanging12a"/>
      </w:pPr>
      <w:r w:rsidRPr="00AF7F97">
        <w:t>A.</w:t>
      </w:r>
      <w:r w:rsidRPr="00AF7F97">
        <w:tab/>
        <w:t>mając na uwadze, że rozszerzenie UE pozostaje strategiczną inwestycją w pokój, bezpieczeństwo, stabilność oraz rozwój demokratyczny i społeczno-gospodarczy na całym kontynencie europejskim;</w:t>
      </w:r>
    </w:p>
    <w:p w14:paraId="2161D7A8" w14:textId="7CEDEC7B" w:rsidR="00CB156F" w:rsidRPr="00AF7F97" w:rsidRDefault="00CB156F" w:rsidP="00CB156F">
      <w:pPr>
        <w:pStyle w:val="NormalHanging12a"/>
      </w:pPr>
      <w:r w:rsidRPr="00AF7F97">
        <w:t>B.</w:t>
      </w:r>
      <w:r w:rsidRPr="00AF7F97">
        <w:tab/>
        <w:t>mając na uwadze, że Albania utrzymała wyraźny strategiczny kurs na członkostwo w UE i wykazała pełne dostosowanie do wspólnej polityki zagranicznej i bezpieczeństwa (WPZiB) UE;</w:t>
      </w:r>
    </w:p>
    <w:p w14:paraId="419B16DB" w14:textId="77777777" w:rsidR="00CB156F" w:rsidRPr="00AF7F97" w:rsidRDefault="00CB156F" w:rsidP="00CB156F">
      <w:pPr>
        <w:pStyle w:val="NormalHanging12a"/>
      </w:pPr>
      <w:r w:rsidRPr="00AF7F97">
        <w:t>C.</w:t>
      </w:r>
      <w:r w:rsidRPr="00AF7F97">
        <w:tab/>
        <w:t>mając na uwadze, że Albania jest krajem kandydującym do UE od 2014 r., w lipcu 2022 r. rozpoczęła negocjacje akcesyjne, w listopadzie 2023 r. pomyślnie zakończyła przegląd zgodności prawa krajowego z prawem unijnym, a między 15 października 2024 r. i 17 listopada 2025 r. otworzyła wszystkie klastry negocjacyjne;</w:t>
      </w:r>
    </w:p>
    <w:p w14:paraId="75C8ACB1" w14:textId="77777777" w:rsidR="00CB156F" w:rsidRPr="00AF7F97" w:rsidRDefault="00CB156F" w:rsidP="00CB156F">
      <w:pPr>
        <w:pStyle w:val="NormalHanging12a"/>
      </w:pPr>
      <w:r w:rsidRPr="00AF7F97">
        <w:t>D.</w:t>
      </w:r>
      <w:r w:rsidRPr="00AF7F97">
        <w:tab/>
        <w:t>mając na uwadze, że w sprawozdaniu Komisji za rok 2025 dotyczącym Albanii potwierdzono, że kraj ten nadal czyni postępy w większości obszarów związanych z przystąpieniem, a jednocześnie podkreślono potrzebę głębszych, spójniejszych i nieodwracalnych reform;</w:t>
      </w:r>
    </w:p>
    <w:p w14:paraId="2E95FA0A" w14:textId="77777777" w:rsidR="00CB156F" w:rsidRPr="00AF7F97" w:rsidRDefault="00CB156F" w:rsidP="00CB156F">
      <w:pPr>
        <w:pStyle w:val="NormalHanging12a"/>
      </w:pPr>
      <w:r w:rsidRPr="00AF7F97">
        <w:t>E.</w:t>
      </w:r>
      <w:r w:rsidRPr="00AF7F97">
        <w:tab/>
        <w:t>mając na uwadze, że wiarygodność procesu rozszerzenia zależy od rygorystycznej warunkowości, postępów opartych na osiągnięciach i skutecznego wdrażania reform, a nie tylko od formalnego przyjęcia prawodawstwa;</w:t>
      </w:r>
    </w:p>
    <w:p w14:paraId="4AA60F4C" w14:textId="6F5A566B" w:rsidR="00CB156F" w:rsidRPr="00AF7F97" w:rsidRDefault="00CB156F" w:rsidP="00CB156F">
      <w:pPr>
        <w:pStyle w:val="NormalHanging12a"/>
      </w:pPr>
      <w:r w:rsidRPr="00AF7F97">
        <w:t>F.</w:t>
      </w:r>
      <w:r w:rsidRPr="00AF7F97">
        <w:tab/>
        <w:t>mając na uwadze, że wzmocnienie instytucji demokratycznych, niezależności sądów, działań antykorupcyjnych, wolności mediów i praw podstawowych nadal ma zasadnicze znaczenie dla ścieżki akcesyjnej Albanii;</w:t>
      </w:r>
    </w:p>
    <w:p w14:paraId="5FA5C341" w14:textId="77777777" w:rsidR="00CB156F" w:rsidRPr="00AF7F97" w:rsidRDefault="00CB156F" w:rsidP="00CB156F">
      <w:pPr>
        <w:pStyle w:val="NormalHanging12a"/>
      </w:pPr>
      <w:r w:rsidRPr="00AF7F97">
        <w:t>G.</w:t>
      </w:r>
      <w:r w:rsidRPr="00AF7F97">
        <w:tab/>
        <w:t xml:space="preserve">mając na uwadze, że nie uwzględniono jeszcze w pełni zaleceń OBWE/ODIHR dotyczących dalszej poprawy przebiegu wyborów w Albanii; </w:t>
      </w:r>
    </w:p>
    <w:p w14:paraId="75407CFC" w14:textId="09CE3EB9" w:rsidR="00CB156F" w:rsidRPr="00AF7F97" w:rsidRDefault="00CB156F" w:rsidP="00CB156F">
      <w:pPr>
        <w:pStyle w:val="NormalHanging12a"/>
      </w:pPr>
      <w:r w:rsidRPr="00AF7F97">
        <w:t>1.</w:t>
      </w:r>
      <w:r w:rsidRPr="00AF7F97">
        <w:tab/>
        <w:t xml:space="preserve">z zadowoleniem przyjmuje wyjątkowe zaangażowanie Albanii na rzecz integracji z UE, oparte na konsensusie między wszystkimi partiami politycznymi i przytłaczającym poparciu obywateli, oraz pochwala fakt, że Albania otworzyła wszystkie klastry negocjacji akcesyjnych w ciągu zaledwie 13 miesięcy; </w:t>
      </w:r>
    </w:p>
    <w:p w14:paraId="4607D0B9" w14:textId="33E8DA59" w:rsidR="00CB156F" w:rsidRPr="00AF7F97" w:rsidRDefault="00CB156F" w:rsidP="00CB156F">
      <w:pPr>
        <w:pStyle w:val="NormalHanging12a"/>
      </w:pPr>
      <w:r w:rsidRPr="00AF7F97">
        <w:t>2.</w:t>
      </w:r>
      <w:r w:rsidRPr="00AF7F97">
        <w:tab/>
        <w:t xml:space="preserve">z zadowoleniem przyjmuje ambitny cel Albanii, jakim jest zakończenie negocjacji akcesyjnych do końca 2027 r., oraz szybkie postępy poczynione w ostatnich latach; podkreśla, że należy zapewnić rzetelne wdrożenie tego prawodawstwa; </w:t>
      </w:r>
    </w:p>
    <w:p w14:paraId="34DF28BE" w14:textId="2570DB32" w:rsidR="00CB156F" w:rsidRPr="00AF7F97" w:rsidRDefault="00CB156F" w:rsidP="00CB156F">
      <w:pPr>
        <w:pStyle w:val="NormalHanging12a"/>
      </w:pPr>
      <w:r w:rsidRPr="00AF7F97">
        <w:t>3.</w:t>
      </w:r>
      <w:r w:rsidRPr="00AF7F97">
        <w:tab/>
        <w:t>zauważa, że Komisja ocenia albańskie ramy wyborcze jako zasadniczo odpowiednie do przeprowadzenia opartych na rywalizacji wyborów, przypominając jednocześnie o obawach związanych z nierównymi warunkami działania, niewłaściwym wykorzystaniem zasobów administracyjnych, zarzutami dotyczącymi kupowania głosów i wywieraniem presji na wyborców; w związku z tym wzywa większość i opozycję do konstruktywnej i pluralistycznej kompleksowej reformy ordynacji wyborczej, w ścisłej współpracy ze społeczeństwem obywatelskim, oraz do pełnego wdrożenia zaległych zaleceń OBWE/ODIHR i Komisji Weneckiej na długo przed przyszłymi cyklami wyborczymi;</w:t>
      </w:r>
    </w:p>
    <w:p w14:paraId="702ACB33" w14:textId="77777777" w:rsidR="00CB156F" w:rsidRPr="00AF7F97" w:rsidRDefault="00CB156F" w:rsidP="00CB156F">
      <w:pPr>
        <w:pStyle w:val="NormalHanging12a"/>
      </w:pPr>
      <w:r w:rsidRPr="00AF7F97">
        <w:t>4.</w:t>
      </w:r>
      <w:r w:rsidRPr="00AF7F97">
        <w:tab/>
        <w:t>wyraża zaniepokojenie ciągłą polaryzacją polityczną i konfrontacyjnym dyskursem politycznym, które podważają nadzór parlamentarny, zaufanie publiczne i skuteczne funkcjonowanie instytucji demokratycznych;</w:t>
      </w:r>
    </w:p>
    <w:p w14:paraId="34C25CFD" w14:textId="77777777" w:rsidR="00CB156F" w:rsidRPr="00AF7F97" w:rsidRDefault="00CB156F" w:rsidP="00CB156F">
      <w:pPr>
        <w:pStyle w:val="NormalHanging12a"/>
      </w:pPr>
      <w:r w:rsidRPr="00AF7F97">
        <w:t>5.</w:t>
      </w:r>
      <w:r w:rsidRPr="00AF7F97">
        <w:tab/>
        <w:t>zachęca do ściślejszej kontroli parlamentarnej nad władzą wykonawczą, większej przejrzystości procedur ustawodawczych oraz bardziej konstruktywnych konsultacji z organizacjami społeczeństwa obywatelskiego, partnerami społecznymi i niezależnymi instytucjami;</w:t>
      </w:r>
    </w:p>
    <w:p w14:paraId="1F761A52" w14:textId="52AAE93C" w:rsidR="00CB156F" w:rsidRPr="00AF7F97" w:rsidRDefault="00CB156F" w:rsidP="00CB156F">
      <w:pPr>
        <w:pStyle w:val="NormalHanging12a"/>
        <w:rPr>
          <w:b/>
          <w:bCs/>
          <w:i/>
          <w:iCs/>
        </w:rPr>
      </w:pPr>
      <w:r w:rsidRPr="00AF7F97">
        <w:rPr>
          <w:b/>
          <w:i/>
        </w:rPr>
        <w:t>Praworządność, sądownictwo i walka z korupcją</w:t>
      </w:r>
    </w:p>
    <w:p w14:paraId="10DC8F6A" w14:textId="77777777" w:rsidR="00CB156F" w:rsidRPr="00AF7F97" w:rsidRDefault="00CB156F" w:rsidP="00CB156F">
      <w:pPr>
        <w:pStyle w:val="NormalHanging12a"/>
      </w:pPr>
      <w:r w:rsidRPr="00AF7F97">
        <w:t>6.</w:t>
      </w:r>
      <w:r w:rsidRPr="00AF7F97">
        <w:tab/>
        <w:t>z zadowoleniem przyjmuje dalsze postępy w reformie wymiaru sprawiedliwości, w tym weryfikację sędziów i prokuratorów, co przyczyniło się do zwiększenia rozliczalności i uczciwości w sądownictwie; zwraca jednak uwagę na utrzymujące się wyzwania związane ze skutecznością wymiaru sprawiedliwości, zaległościami w rozpatrywaniu spraw, spójnością orzecznictwa i próbami wywierania nadmiernego wpływu;</w:t>
      </w:r>
    </w:p>
    <w:p w14:paraId="78767DE4" w14:textId="77777777" w:rsidR="00CB156F" w:rsidRPr="00AF7F97" w:rsidRDefault="00CB156F" w:rsidP="00CB156F">
      <w:pPr>
        <w:pStyle w:val="NormalHanging12a"/>
      </w:pPr>
      <w:r w:rsidRPr="00AF7F97">
        <w:t>7.</w:t>
      </w:r>
      <w:r w:rsidRPr="00AF7F97">
        <w:tab/>
        <w:t>apeluje o dalsze wzmacnianie organów zarządzania w sądownictwie, zapewnienia ich niezależności, przejrzystości i kwalifikacji zawodowych, a także o ciągłe inwestycje w infrastrukturę sądową i cyfryzację;</w:t>
      </w:r>
    </w:p>
    <w:p w14:paraId="74C8905B" w14:textId="77777777" w:rsidR="00CB156F" w:rsidRPr="00AF7F97" w:rsidRDefault="00CB156F" w:rsidP="00CB156F">
      <w:pPr>
        <w:pStyle w:val="NormalHanging12a"/>
      </w:pPr>
      <w:r w:rsidRPr="00AF7F97">
        <w:t>8.</w:t>
      </w:r>
      <w:r w:rsidRPr="00AF7F97">
        <w:tab/>
        <w:t>podkreśla, że korupcja pozostaje poważnym problemem oraz że mimo postępów w rozwijaniu ram prawnych i instytucjonalnych Albania musi jeszcze bardziej skonsolidować swoje wyniki w zakresie dochodzeń, ścigania i prawomocnych wyroków skazujących, zwłaszcza w sprawach dotyczących korupcji na wysokim szczeblu;</w:t>
      </w:r>
    </w:p>
    <w:p w14:paraId="4D56EF10" w14:textId="1025818F" w:rsidR="00CB156F" w:rsidRPr="00AF7F97" w:rsidRDefault="00CB156F" w:rsidP="00CB156F">
      <w:pPr>
        <w:pStyle w:val="NormalHanging12a"/>
      </w:pPr>
      <w:r w:rsidRPr="00AF7F97">
        <w:t>9.</w:t>
      </w:r>
      <w:r w:rsidRPr="00AF7F97">
        <w:tab/>
        <w:t>podkreśla, że należy zająć się korupcją na wszystkich szczeblach, aby zwiększyć zaufanie obywateli do instytucji państwowych i stworzyć przewidywalne otoczenie biznesowe;</w:t>
      </w:r>
    </w:p>
    <w:p w14:paraId="1B1E2A55" w14:textId="77777777" w:rsidR="00CB156F" w:rsidRPr="00AF7F97" w:rsidRDefault="00CB156F" w:rsidP="00CB156F">
      <w:pPr>
        <w:pStyle w:val="NormalHanging12a"/>
      </w:pPr>
      <w:r w:rsidRPr="00AF7F97">
        <w:t>10.</w:t>
      </w:r>
      <w:r w:rsidRPr="00AF7F97">
        <w:tab/>
        <w:t>podkreśla znaczenie skutecznego zwalczania przestępczości zorganizowanej, w tym siatek zajmujących się praniem pieniędzy i handlem narkotykami, oraz wzywa do zacieśnienia współpracy z agencjami UE, takimi jak Europol i Eurojust;</w:t>
      </w:r>
    </w:p>
    <w:p w14:paraId="6F4AB978" w14:textId="696F8587" w:rsidR="00CB156F" w:rsidRPr="00AF7F97" w:rsidRDefault="00CB156F" w:rsidP="00CB156F">
      <w:pPr>
        <w:pStyle w:val="NormalHanging12a"/>
        <w:rPr>
          <w:b/>
          <w:bCs/>
          <w:i/>
          <w:iCs/>
        </w:rPr>
      </w:pPr>
      <w:r w:rsidRPr="00AF7F97">
        <w:rPr>
          <w:b/>
          <w:i/>
        </w:rPr>
        <w:t>Prawa podstawowe i wolność mediów</w:t>
      </w:r>
    </w:p>
    <w:p w14:paraId="20BA3272" w14:textId="52C4E391" w:rsidR="00CB156F" w:rsidRPr="00AF7F97" w:rsidRDefault="00CB156F" w:rsidP="00CB156F">
      <w:pPr>
        <w:pStyle w:val="NormalHanging12a"/>
      </w:pPr>
      <w:r w:rsidRPr="00AF7F97">
        <w:t>11.</w:t>
      </w:r>
      <w:r w:rsidRPr="00AF7F97">
        <w:tab/>
        <w:t>apeluje o dalsze wysiłki na rzecz ochrony wolności wypowiedzi i pluralizmu mediów, w tym większej przejrzystości ewentualnych konfliktów interesów właścicieli mediów, zabezpieczeń przed naciskami politycznymi i gospodarczymi na dziennikarzy oraz skutecznego prowadzenia dochodzeń w sprawie gróźb i ataków wobec pracowników mediów;</w:t>
      </w:r>
    </w:p>
    <w:p w14:paraId="222E1103" w14:textId="77777777" w:rsidR="00CB156F" w:rsidRPr="00AF7F97" w:rsidRDefault="00CB156F" w:rsidP="00CB156F">
      <w:pPr>
        <w:pStyle w:val="NormalHanging12a"/>
      </w:pPr>
      <w:r w:rsidRPr="00AF7F97">
        <w:t>12.</w:t>
      </w:r>
      <w:r w:rsidRPr="00AF7F97">
        <w:tab/>
        <w:t>zachęca Albanię do wzmocnienia ram instytucjonalnych na rzecz ochrony mniejszości i słabszych grup społecznych, w tym Romów i Egipcjan, osób z niepełnosprawnościami, pracowników migrujących i osób LGBTIQ+, oraz do skutecznego wdrożenia przepisów antydyskryminacyjnych; jest zaniepokojony antygenderową retoryką obecną w dyskursie politycznym;</w:t>
      </w:r>
    </w:p>
    <w:p w14:paraId="5C4F7282" w14:textId="77777777" w:rsidR="00CB156F" w:rsidRPr="00AF7F97" w:rsidRDefault="00CB156F" w:rsidP="00CB156F">
      <w:pPr>
        <w:pStyle w:val="NormalHanging12a"/>
      </w:pPr>
      <w:r w:rsidRPr="00AF7F97">
        <w:t>13.</w:t>
      </w:r>
      <w:r w:rsidRPr="00AF7F97">
        <w:tab/>
        <w:t>podkreśla, że należy poprawić dostęp do wymiaru sprawiedliwości, zwłaszcza dla słabszych i zmarginalizowanych grup społecznych;</w:t>
      </w:r>
    </w:p>
    <w:p w14:paraId="6EE8DDEF" w14:textId="3A21E31A" w:rsidR="00CB156F" w:rsidRPr="00AF7F97" w:rsidRDefault="00CB156F" w:rsidP="00CB156F">
      <w:pPr>
        <w:pStyle w:val="NormalHanging12a"/>
        <w:rPr>
          <w:b/>
          <w:bCs/>
          <w:i/>
          <w:iCs/>
        </w:rPr>
      </w:pPr>
      <w:r w:rsidRPr="00AF7F97">
        <w:rPr>
          <w:b/>
          <w:i/>
        </w:rPr>
        <w:t>Reforma administracji publicznej i sprawowanie rządów</w:t>
      </w:r>
    </w:p>
    <w:p w14:paraId="76970B90" w14:textId="77777777" w:rsidR="00CB156F" w:rsidRPr="00AF7F97" w:rsidRDefault="00CB156F" w:rsidP="00CB156F">
      <w:pPr>
        <w:pStyle w:val="NormalHanging12a"/>
      </w:pPr>
      <w:r w:rsidRPr="00AF7F97">
        <w:t>14.</w:t>
      </w:r>
      <w:r w:rsidRPr="00AF7F97">
        <w:tab/>
        <w:t>dostrzega postępy w reformie administracji publicznej, w tym w planowaniu strategicznym i koordynacji; podkreśla jednak, że konieczne są dalsze wysiłki w celu zapewnienia rekrutacji w oparciu o kryteria merytoryczne i odpolitycznienia służby cywilnej;</w:t>
      </w:r>
    </w:p>
    <w:p w14:paraId="1BA38954" w14:textId="77777777" w:rsidR="00CB156F" w:rsidRPr="00AF7F97" w:rsidRDefault="00CB156F" w:rsidP="00CB156F">
      <w:pPr>
        <w:pStyle w:val="NormalHanging12a"/>
      </w:pPr>
      <w:r w:rsidRPr="00AF7F97">
        <w:t>15.</w:t>
      </w:r>
      <w:r w:rsidRPr="00AF7F97">
        <w:tab/>
        <w:t>apeluje o lepsze planowanie polityki, podejmowanie decyzji w oparciu o dowody i o przejrzyste procedury budżetowe, w tym o wzmocniony nadzór parlamentarny nad finansami publicznymi;</w:t>
      </w:r>
    </w:p>
    <w:p w14:paraId="6BD81249" w14:textId="77777777" w:rsidR="00CB156F" w:rsidRPr="00AF7F97" w:rsidRDefault="00CB156F" w:rsidP="00CB156F">
      <w:pPr>
        <w:pStyle w:val="NormalHanging12a"/>
        <w:rPr>
          <w:b/>
          <w:bCs/>
          <w:i/>
          <w:iCs/>
        </w:rPr>
      </w:pPr>
      <w:r w:rsidRPr="00AF7F97">
        <w:rPr>
          <w:b/>
          <w:i/>
        </w:rPr>
        <w:t>Reformy społeczno-gospodarcze i środowisko</w:t>
      </w:r>
    </w:p>
    <w:p w14:paraId="5B427241" w14:textId="5AC87F6A" w:rsidR="00CB156F" w:rsidRPr="00AF7F97" w:rsidRDefault="00CB156F" w:rsidP="00CB156F">
      <w:pPr>
        <w:pStyle w:val="NormalHanging12a"/>
      </w:pPr>
      <w:r w:rsidRPr="00AF7F97">
        <w:t>16.</w:t>
      </w:r>
      <w:r w:rsidRPr="00AF7F97">
        <w:tab/>
        <w:t>z zadowoleniem przyjmuje zaangażowanie Albanii we wdrażanie unijnego planu wzrostu gospodarczego dla Bałkanów Zachodnich; zauważa jednak, że wciąż utrzymują się słabości strukturalne, w tym szara strefa, ograniczony wzrost wydajności i trudne otoczenie biznesowe; ponownie podkreśla, jak ważna jest poprawa infrastruktury transportowej w krajach Bałkanów Zachodnich oraz rozbudowa połączeń z państwami członkowskimi UE;</w:t>
      </w:r>
    </w:p>
    <w:p w14:paraId="1F260BA5" w14:textId="77777777" w:rsidR="00CB156F" w:rsidRPr="00AF7F97" w:rsidRDefault="00CB156F" w:rsidP="00CB156F">
      <w:pPr>
        <w:pStyle w:val="NormalHanging12a"/>
      </w:pPr>
      <w:r w:rsidRPr="00AF7F97">
        <w:t>17.</w:t>
      </w:r>
      <w:r w:rsidRPr="00AF7F97">
        <w:tab/>
        <w:t>podkreśla znaczenie inwestowania w edukację, rozwój umiejętności i innowacje w celu wspierania zrównoważonego wzrostu i spójności społecznej;</w:t>
      </w:r>
    </w:p>
    <w:p w14:paraId="11997F3A" w14:textId="41122AD2" w:rsidR="00CB156F" w:rsidRPr="00AF7F97" w:rsidRDefault="00CB156F" w:rsidP="00CB156F">
      <w:pPr>
        <w:pStyle w:val="NormalHanging12a"/>
      </w:pPr>
      <w:r w:rsidRPr="00AF7F97">
        <w:t>18.</w:t>
      </w:r>
      <w:r w:rsidRPr="00AF7F97">
        <w:tab/>
        <w:t>podkreśla kluczowe znaczenie prawdziwego dialogu społecznego, tak aby rozszerzenie przyniosło korzyści różnym grupom ludności; ubolewa z powodu niskiej częstotliwości posiedzeń Krajowej Rady Pracy; apeluje o wzmocnienie procesu konsultacji trójstronnych, w tym odpowiednią reprezentację związków zawodowych; podkreśla, że należy w dalszym ciągu wspierać budowanie zdolności partnerów społecznych;</w:t>
      </w:r>
    </w:p>
    <w:p w14:paraId="48B29615" w14:textId="495E8B73" w:rsidR="00CB156F" w:rsidRPr="00AF7F97" w:rsidRDefault="00CB156F" w:rsidP="00CB156F">
      <w:pPr>
        <w:pStyle w:val="NormalHanging12a"/>
      </w:pPr>
      <w:r w:rsidRPr="00AF7F97">
        <w:t>19.</w:t>
      </w:r>
      <w:r w:rsidRPr="00AF7F97">
        <w:tab/>
        <w:t>z zaniepokojeniem odnotowuje ocenę Komisji, zgodnie z którą w ciągu ostatniego roku nie poczyniono żadnych postępów w dziedzinie środowiska i zmiany klimatu;</w:t>
      </w:r>
    </w:p>
    <w:p w14:paraId="06347E72" w14:textId="638947D6" w:rsidR="00CB156F" w:rsidRPr="00AF7F97" w:rsidRDefault="00CB156F" w:rsidP="00CB156F">
      <w:pPr>
        <w:pStyle w:val="NormalHanging12a"/>
        <w:rPr>
          <w:b/>
          <w:bCs/>
          <w:i/>
          <w:iCs/>
        </w:rPr>
      </w:pPr>
      <w:r w:rsidRPr="00AF7F97">
        <w:rPr>
          <w:b/>
          <w:i/>
        </w:rPr>
        <w:t>Polityka zagraniczna i współpraca regionalna</w:t>
      </w:r>
    </w:p>
    <w:p w14:paraId="26E39496" w14:textId="541BC805" w:rsidR="00CB156F" w:rsidRPr="00AF7F97" w:rsidRDefault="00CB156F" w:rsidP="00CB156F">
      <w:pPr>
        <w:pStyle w:val="NormalHanging12a"/>
      </w:pPr>
      <w:r w:rsidRPr="00AF7F97">
        <w:t>20.</w:t>
      </w:r>
      <w:r w:rsidRPr="00AF7F97">
        <w:tab/>
        <w:t>pochwala stałe i pełne dostosowanie Albanii do wspólnej polityki zagranicznej i bezpieczeństwa UE, w tym do środków ograniczających, nieprzerwane zaangażowanie Albanii w misje i operacje w ramach WPBiO oraz jej konstruktywną rolę w promowaniu stabilności w regionie;</w:t>
      </w:r>
    </w:p>
    <w:p w14:paraId="03C808AD" w14:textId="371C8906" w:rsidR="00CB156F" w:rsidRPr="00AF7F97" w:rsidRDefault="00CB156F" w:rsidP="00CB156F">
      <w:pPr>
        <w:pStyle w:val="NormalHanging12a"/>
      </w:pPr>
      <w:r w:rsidRPr="00AF7F97">
        <w:t>21.</w:t>
      </w:r>
      <w:r w:rsidRPr="00AF7F97">
        <w:tab/>
        <w:t>podkreśla znaczenie stosunków dobrosąsiedzkich i współpracy regionalnej jako zasadniczych elementów procesu rozszerzenia i z zadowoleniem przyjmuje aktywny udział Albanii w inicjatywach regionalnych;</w:t>
      </w:r>
    </w:p>
    <w:p w14:paraId="2C018195" w14:textId="233BCDBF" w:rsidR="00CB156F" w:rsidRPr="00AF7F97" w:rsidRDefault="00CB156F" w:rsidP="00CB156F">
      <w:pPr>
        <w:pStyle w:val="NormalHanging12a"/>
        <w:rPr>
          <w:b/>
          <w:bCs/>
          <w:i/>
          <w:iCs/>
        </w:rPr>
      </w:pPr>
      <w:r w:rsidRPr="00AF7F97">
        <w:rPr>
          <w:b/>
          <w:i/>
        </w:rPr>
        <w:t>Wsparcie UE</w:t>
      </w:r>
    </w:p>
    <w:p w14:paraId="50D4F576" w14:textId="77777777" w:rsidR="00CB156F" w:rsidRPr="00AF7F97" w:rsidRDefault="00CB156F" w:rsidP="00CB156F">
      <w:pPr>
        <w:pStyle w:val="NormalHanging12a"/>
      </w:pPr>
      <w:r w:rsidRPr="00AF7F97">
        <w:t>22.</w:t>
      </w:r>
      <w:r w:rsidRPr="00AF7F97">
        <w:tab/>
        <w:t>wyraża zadowolenie, że UE udziela Albanii wsparcia finansowego i technicznego w ramach IPA III oraz Instrumentu Wsparcia Reform i Wzrostu Gospodarczego, oraz podkreśla, że takie wsparcie musi pozostać ściśle powiązane z konkretnymi reformami i mierzalnymi wynikami;</w:t>
      </w:r>
    </w:p>
    <w:p w14:paraId="2CBCAFA6" w14:textId="5DAB43C7" w:rsidR="00FD55C5" w:rsidRPr="00AF7F97" w:rsidRDefault="00FD55C5" w:rsidP="00FD55C5">
      <w:pPr>
        <w:pStyle w:val="NormalHanging12a"/>
        <w:jc w:val="center"/>
      </w:pPr>
      <w:r w:rsidRPr="00AF7F97">
        <w:t>°</w:t>
      </w:r>
    </w:p>
    <w:p w14:paraId="4881BB97" w14:textId="5BD0E0F4" w:rsidR="00FD55C5" w:rsidRPr="00AF7F97" w:rsidRDefault="00FD55C5" w:rsidP="00454E1B">
      <w:pPr>
        <w:pStyle w:val="NormalHanging12a"/>
        <w:jc w:val="center"/>
      </w:pPr>
      <w:r w:rsidRPr="00AF7F97">
        <w:t>°</w:t>
      </w:r>
      <w:r w:rsidRPr="00AF7F97">
        <w:tab/>
        <w:t>°</w:t>
      </w:r>
    </w:p>
    <w:p w14:paraId="14D9A2E3" w14:textId="2C399982" w:rsidR="00CB156F" w:rsidRPr="00AF7F97" w:rsidRDefault="00CB156F" w:rsidP="00CB156F">
      <w:pPr>
        <w:pStyle w:val="NormalHanging12a"/>
        <w:rPr>
          <w:bCs/>
          <w:iCs/>
        </w:rPr>
      </w:pPr>
      <w:r w:rsidRPr="00AF7F97">
        <w:t>23.</w:t>
      </w:r>
      <w:r w:rsidRPr="00AF7F97">
        <w:tab/>
        <w:t>zobowiązuje swoją przewodniczącą do przekazania niniejszej rezolucji przewodniczącemu Rady Europejskiej, Radzie, Komisji, wiceprzewodniczącej Komisji / wysokiej przedstawicielce Unii do spraw zagranicznych i polityki bezpieczeństwa, rządom i parlamentom państw członkowskich oraz prezydentowi, rządowi i parlamentowi Republiki Albanii.</w:t>
      </w:r>
    </w:p>
    <w:p w14:paraId="7C4A8AF8" w14:textId="77777777" w:rsidR="00CB156F" w:rsidRPr="00AF7F97" w:rsidRDefault="00CB156F" w:rsidP="00CB156F"/>
    <w:p w14:paraId="34990A1B" w14:textId="77777777" w:rsidR="00276B35" w:rsidRPr="00AF7F97" w:rsidRDefault="00276B35" w:rsidP="00F3651F">
      <w:pPr>
        <w:sectPr w:rsidR="00276B35" w:rsidRPr="00AF7F97" w:rsidSect="00AF7F9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6E256DF2" w14:textId="4979A23E" w:rsidR="00276B35" w:rsidRPr="00AF7F97" w:rsidRDefault="003513CB" w:rsidP="00276B35">
      <w:pPr>
        <w:pStyle w:val="PageHeading"/>
      </w:pPr>
      <w:bookmarkStart w:id="1" w:name="_Toc223423207"/>
      <w:r w:rsidRPr="00AF7F97">
        <w:t>UZASADNIENIE</w:t>
      </w:r>
      <w:bookmarkEnd w:id="1"/>
    </w:p>
    <w:p w14:paraId="0FAAD6B1" w14:textId="2B62EC1D" w:rsidR="00CB156F" w:rsidRPr="00AF7F97" w:rsidRDefault="00CB156F" w:rsidP="00CB156F">
      <w:pPr>
        <w:pStyle w:val="Normal12a"/>
      </w:pPr>
      <w:r w:rsidRPr="00AF7F97">
        <w:t>W niniejszym sprawozdaniu oceniono aktualną sytuację i najnowsze wydarzenia w odniesieniu do postępów Albanii w procesie przystępowania do UE. Zawiera ono odpowiedź Parlamentu na sprawozdanie Komisji w sprawie rozszerzenia z 2025 r.</w:t>
      </w:r>
    </w:p>
    <w:p w14:paraId="6400164F" w14:textId="77777777" w:rsidR="00CB156F" w:rsidRPr="00AF7F97" w:rsidRDefault="00CB156F" w:rsidP="00CB156F">
      <w:pPr>
        <w:pStyle w:val="Normal12a"/>
      </w:pPr>
      <w:r w:rsidRPr="00AF7F97">
        <w:t>Albania jest krajem kandydującym do UE od 2014 r., w lipcu 2022 r. rozpoczęła negocjacje akcesyjne, w listopadzie 2023 r. pomyślnie zakończyła przegląd zgodności prawa krajowego z prawem unijnym, a między 15 października 2024 r. i 17 listopada 2025 r. otworzyła wszystkie klastry negocjacyjne w rekordowym czasie wynoszącym niewiele ponad rok.</w:t>
      </w:r>
    </w:p>
    <w:p w14:paraId="20FAD715" w14:textId="77777777" w:rsidR="00CB156F" w:rsidRPr="00AF7F97" w:rsidRDefault="00CB156F" w:rsidP="00CB156F">
      <w:pPr>
        <w:pStyle w:val="Normal12a"/>
      </w:pPr>
      <w:r w:rsidRPr="00AF7F97">
        <w:t>W tym i przyszłym roku Albania będzie musiała utrzymać tempo realizacji celu, jakim jest gotowość do przystąpienia do UE do końca 2027 r. Umożliwiłoby to państwom członkowskim przystąpienie do ratyfikacji traktatu o przystąpieniu Albanii do UE przed końcem dekady. Na tym kolejnym etapie zasadnicze znaczenie będzie miało skuteczne wdrożenie przyjętych reform w praktyce.</w:t>
      </w:r>
    </w:p>
    <w:p w14:paraId="4DD54682" w14:textId="2674DB2D" w:rsidR="00CB156F" w:rsidRPr="00AF7F97" w:rsidRDefault="00CB156F" w:rsidP="00CB156F">
      <w:pPr>
        <w:pStyle w:val="Normal12a"/>
      </w:pPr>
      <w:r w:rsidRPr="00AF7F97">
        <w:t>W niniejszym sprawozdaniu oceniono postępy Albanii w zakresie instytucji demokratycznych, wolności mediów, zaangażowania społeczeństwa obywatelskiego, praw podstawowych, praworządności, reform społeczno-gospodarczych, środowiska, współpracy regionalnej i polityki zagranicznej.</w:t>
      </w:r>
    </w:p>
    <w:p w14:paraId="0D93F498" w14:textId="77777777" w:rsidR="00CB156F" w:rsidRPr="00AF7F97" w:rsidRDefault="00CB156F" w:rsidP="00CB156F">
      <w:pPr>
        <w:pStyle w:val="Normal12a"/>
      </w:pPr>
      <w:r w:rsidRPr="00AF7F97">
        <w:t>Pomimo osiągniętych postępów przed Albanią nadal stoi szereg wyzwań, takich jak przezwyciężenie wewnętrznej polaryzacji politycznej i poprawa kultury politycznej, wzmocnienie praworządności i konsolidacja reform antykorupcyjnych.</w:t>
      </w:r>
    </w:p>
    <w:p w14:paraId="2A27F357" w14:textId="329F173C" w:rsidR="00CB156F" w:rsidRPr="00AF7F97" w:rsidRDefault="00CB156F" w:rsidP="00CB156F">
      <w:pPr>
        <w:pStyle w:val="Normal12a"/>
      </w:pPr>
      <w:r w:rsidRPr="00AF7F97">
        <w:t>W tegorocznym sprawozdaniu położono szczególny nacisk na reformy społeczno-gospodarcze i podkreślono kluczowe znaczenie prawdziwego dialogu społecznego dla zapewnienia wszystkim grupom społecznym korzyści płynących z rozszerzenia.</w:t>
      </w:r>
    </w:p>
    <w:p w14:paraId="2CF7C956" w14:textId="189B743E" w:rsidR="00276B35" w:rsidRPr="00AF7F97" w:rsidRDefault="00276B35" w:rsidP="00276B35">
      <w:pPr>
        <w:pStyle w:val="Normal12a"/>
      </w:pPr>
    </w:p>
    <w:p w14:paraId="51B70B76" w14:textId="77777777" w:rsidR="0066499D" w:rsidRPr="00AF7F97" w:rsidRDefault="0066499D">
      <w:pPr>
        <w:widowControl/>
        <w:sectPr w:rsidR="0066499D" w:rsidRPr="00AF7F97" w:rsidSect="00CB156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8F3BBCA" w14:textId="763F8335" w:rsidR="0066499D" w:rsidRPr="00AF7F97" w:rsidRDefault="0066499D">
      <w:pPr>
        <w:widowControl/>
      </w:pPr>
    </w:p>
    <w:p w14:paraId="492A2384" w14:textId="01284B92" w:rsidR="0066499D" w:rsidRPr="00AF7F97" w:rsidRDefault="0066499D" w:rsidP="007041CC">
      <w:pPr>
        <w:pStyle w:val="PageHeading"/>
        <w:rPr>
          <w:noProof/>
        </w:rPr>
      </w:pPr>
      <w:bookmarkStart w:id="2" w:name="FootprintPageRR"/>
      <w:bookmarkStart w:id="3" w:name="_Toc223423208"/>
      <w:r w:rsidRPr="00AF7F97">
        <w:t>ZAŁĄCZNIK: WYKAZ PODMIOTÓW, OD KTÓRYCH SPRAWOZDAWCA OTRZYMAŁ INFORMACJE</w:t>
      </w:r>
      <w:bookmarkEnd w:id="3"/>
    </w:p>
    <w:p w14:paraId="7665919C" w14:textId="7169817D" w:rsidR="0066499D" w:rsidRPr="00AF7F97" w:rsidRDefault="0066499D" w:rsidP="00B31C6A">
      <w:pPr>
        <w:pStyle w:val="Normal24a"/>
        <w:spacing w:after="240"/>
      </w:pPr>
      <w:r w:rsidRPr="00AF7F97">
        <w:rPr>
          <w:rStyle w:val="HideTWBExt"/>
        </w:rPr>
        <w:t>&lt;FootprintIntro&gt;</w:t>
      </w:r>
      <w:r w:rsidRPr="00AF7F97">
        <w:t>Zgodnie z art. 8 załącznika I do Regulaminu sprawozdawca oświadcza, że ujął w swoim sprawozdaniu informacje dotyczące kwestii związanych z tematem, które otrzymał podczas sporządzania projektu sprawozdania od następujących przedstawicieli grup interesu objętych zakresem porozumienia międzyinstytucjonalnego w sprawie obowiązkowego rejestru służącego przejrzystości</w:t>
      </w:r>
      <w:r w:rsidRPr="00AF7F97">
        <w:rPr>
          <w:rStyle w:val="FootnoteReference"/>
        </w:rPr>
        <w:footnoteReference w:id="4"/>
      </w:r>
      <w:r w:rsidRPr="00AF7F97">
        <w:t xml:space="preserve"> lub od następujących przedstawicieli organów publicznych państw trzecich, w tym ich misji dyplomatycznych i ambasad:</w:t>
      </w:r>
      <w:r w:rsidRPr="00AF7F97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6499D" w:rsidRPr="00AF7F97" w14:paraId="7B07436F" w14:textId="77777777" w:rsidTr="00A81CDF">
        <w:tc>
          <w:tcPr>
            <w:tcW w:w="9060" w:type="dxa"/>
            <w:shd w:val="clear" w:color="auto" w:fill="auto"/>
          </w:tcPr>
          <w:p w14:paraId="318FF719" w14:textId="28827EB6" w:rsidR="0066499D" w:rsidRPr="00AF7F97" w:rsidRDefault="0066499D" w:rsidP="00F42F07">
            <w:pPr>
              <w:pStyle w:val="NormalBoldCenter"/>
            </w:pPr>
            <w:r w:rsidRPr="00AF7F97">
              <w:t>1. Przedstawiciele grup interesu objęci zakresem porozumienia międzyinstytucjonalnego w sprawie obowiązkowego rejestru służącego przejrzystości</w:t>
            </w:r>
          </w:p>
        </w:tc>
      </w:tr>
      <w:tr w:rsidR="0066499D" w:rsidRPr="00AF7F97" w14:paraId="4C1BAD60" w14:textId="77777777" w:rsidTr="00A81CDF">
        <w:tc>
          <w:tcPr>
            <w:tcW w:w="9060" w:type="dxa"/>
            <w:shd w:val="clear" w:color="auto" w:fill="auto"/>
          </w:tcPr>
          <w:p w14:paraId="60B2F2DB" w14:textId="3636DDA9" w:rsidR="0066499D" w:rsidRPr="00AF7F97" w:rsidRDefault="0066499D" w:rsidP="00D47F5D">
            <w:pPr>
              <w:pStyle w:val="NormalSingle"/>
            </w:pPr>
          </w:p>
        </w:tc>
      </w:tr>
      <w:tr w:rsidR="0066499D" w:rsidRPr="00AF7F97" w14:paraId="41E784F9" w14:textId="77777777" w:rsidTr="00A81CDF">
        <w:tc>
          <w:tcPr>
            <w:tcW w:w="9060" w:type="dxa"/>
            <w:shd w:val="clear" w:color="auto" w:fill="auto"/>
          </w:tcPr>
          <w:p w14:paraId="5CD71257" w14:textId="647B325C" w:rsidR="0066499D" w:rsidRPr="00AF7F97" w:rsidRDefault="0066499D" w:rsidP="001666EA">
            <w:pPr>
              <w:pStyle w:val="NormalBoldCenter"/>
            </w:pPr>
            <w:r w:rsidRPr="00AF7F97">
              <w:t>2. Przedstawiciele organów publicznych państw trzecich, w tym ich misji dyplomatycznych i ambasad</w:t>
            </w:r>
          </w:p>
        </w:tc>
      </w:tr>
      <w:tr w:rsidR="0066499D" w:rsidRPr="0031151E" w14:paraId="14C2870E" w14:textId="77777777" w:rsidTr="00A81CDF">
        <w:tc>
          <w:tcPr>
            <w:tcW w:w="9060" w:type="dxa"/>
            <w:shd w:val="clear" w:color="auto" w:fill="auto"/>
          </w:tcPr>
          <w:p w14:paraId="69E5177A" w14:textId="71767C3E" w:rsidR="0066499D" w:rsidRPr="0031151E" w:rsidRDefault="00392A26" w:rsidP="00C6630E">
            <w:pPr>
              <w:rPr>
                <w:lang w:val="en-GB"/>
              </w:rPr>
            </w:pPr>
            <w:r w:rsidRPr="0031151E">
              <w:rPr>
                <w:lang w:val="en-GB"/>
              </w:rPr>
              <w:t>Government of Republic of Albania</w:t>
            </w:r>
          </w:p>
        </w:tc>
      </w:tr>
      <w:tr w:rsidR="00753CC4" w:rsidRPr="0031151E" w14:paraId="04DB00C6" w14:textId="77777777" w:rsidTr="00A81CDF">
        <w:tc>
          <w:tcPr>
            <w:tcW w:w="9060" w:type="dxa"/>
            <w:shd w:val="clear" w:color="auto" w:fill="auto"/>
          </w:tcPr>
          <w:p w14:paraId="508120FA" w14:textId="2FAA339A" w:rsidR="00753CC4" w:rsidRPr="0031151E" w:rsidRDefault="00753CC4" w:rsidP="00C6630E">
            <w:pPr>
              <w:rPr>
                <w:lang w:val="en-GB"/>
              </w:rPr>
            </w:pPr>
            <w:r w:rsidRPr="0031151E">
              <w:rPr>
                <w:lang w:val="en-GB"/>
              </w:rPr>
              <w:t>Members of Parliament of the Republic of Albania </w:t>
            </w:r>
          </w:p>
        </w:tc>
      </w:tr>
    </w:tbl>
    <w:p w14:paraId="05C3CE80" w14:textId="0752AC61" w:rsidR="0066499D" w:rsidRPr="00AF7F97" w:rsidRDefault="0066499D" w:rsidP="00086351">
      <w:pPr>
        <w:pStyle w:val="Footprint12b"/>
      </w:pPr>
      <w:r w:rsidRPr="00AF7F97">
        <w:t>Powyższy wykaz został sporządzony na wyłączną odpowiedzialność sprawozdawcy.</w:t>
      </w:r>
    </w:p>
    <w:p w14:paraId="43D5B0A2" w14:textId="3F560821" w:rsidR="0066499D" w:rsidRPr="00AF7F97" w:rsidRDefault="0066499D" w:rsidP="00B7198C">
      <w:pPr>
        <w:pStyle w:val="Footprint12b"/>
      </w:pPr>
      <w:r w:rsidRPr="00AF7F97">
        <w:t>Gdy osoby fizyczne są wymienione w wykazie z imienia i nazwiska, zidentyfikowane poprzez swoją funkcję lub wymienione z imienia i nazwiska wraz z podaniem ich funkcji, sprawozdawca oświadcza, że przedstawił tym osobom fizycznym Oświadczenie o ochronie prywatności w Parlamencie Europejskim nr 484 (</w:t>
      </w:r>
      <w:hyperlink r:id="rId14" w:history="1">
        <w:r w:rsidRPr="00AF7F97">
          <w:rPr>
            <w:rStyle w:val="Hyperlink"/>
          </w:rPr>
          <w:t>https://www.europarl.europa.eu/data-protect/index.do</w:t>
        </w:r>
      </w:hyperlink>
      <w:r w:rsidRPr="00AF7F97">
        <w:t>), w którym określono warunki mające zastosowanie do przetwarzania danych osobowych tych osób oraz prawa związane z takim przetwarzaniem.</w:t>
      </w:r>
    </w:p>
    <w:p w14:paraId="77E6102A" w14:textId="01E7DFCF" w:rsidR="0066499D" w:rsidRPr="00AF7F97" w:rsidRDefault="0066499D" w:rsidP="00646AD2">
      <w:pPr>
        <w:pStyle w:val="Footprint12b"/>
      </w:pPr>
    </w:p>
    <w:p w14:paraId="227DDDE9" w14:textId="77777777" w:rsidR="0066499D" w:rsidRPr="00AF7F97" w:rsidRDefault="0066499D" w:rsidP="0066499D"/>
    <w:bookmarkEnd w:id="2"/>
    <w:p w14:paraId="3E6C545F" w14:textId="5CED9BC6" w:rsidR="00100069" w:rsidRPr="00AF7F97" w:rsidRDefault="00100069" w:rsidP="00F3651F"/>
    <w:sectPr w:rsidR="00100069" w:rsidRPr="00AF7F97" w:rsidSect="00CB156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01906" w14:textId="77777777" w:rsidR="003513CB" w:rsidRPr="00AF7F97" w:rsidRDefault="003513CB">
      <w:r w:rsidRPr="00AF7F97">
        <w:separator/>
      </w:r>
    </w:p>
  </w:endnote>
  <w:endnote w:type="continuationSeparator" w:id="0">
    <w:p w14:paraId="098BA6BE" w14:textId="77777777" w:rsidR="003513CB" w:rsidRPr="00AF7F97" w:rsidRDefault="003513CB">
      <w:r w:rsidRPr="00AF7F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A05C4" w14:textId="77777777" w:rsidR="00AF7F97" w:rsidRPr="00AF7F97" w:rsidRDefault="00AF7F97" w:rsidP="00AF7F97">
    <w:pPr>
      <w:pStyle w:val="EPFooter"/>
    </w:pPr>
    <w:r w:rsidRPr="00AF7F97">
      <w:t>PE</w:t>
    </w:r>
    <w:r w:rsidRPr="00AF7F97">
      <w:rPr>
        <w:rStyle w:val="HideTWBExt"/>
      </w:rPr>
      <w:t>&lt;NoPE&gt;</w:t>
    </w:r>
    <w:r w:rsidRPr="00AF7F97">
      <w:t>784.259</w:t>
    </w:r>
    <w:r w:rsidRPr="00AF7F97">
      <w:rPr>
        <w:rStyle w:val="HideTWBExt"/>
      </w:rPr>
      <w:t>&lt;/NoPE&gt;&lt;Version&gt;</w:t>
    </w:r>
    <w:r w:rsidRPr="00AF7F97">
      <w:t>v01-00</w:t>
    </w:r>
    <w:r w:rsidRPr="00AF7F97">
      <w:rPr>
        <w:rStyle w:val="HideTWBExt"/>
      </w:rPr>
      <w:t>&lt;/Version&gt;</w:t>
    </w:r>
    <w:r w:rsidRPr="00AF7F97">
      <w:tab/>
    </w:r>
    <w:r w:rsidRPr="00AF7F97">
      <w:fldChar w:fldCharType="begin"/>
    </w:r>
    <w:r w:rsidRPr="00AF7F97">
      <w:instrText xml:space="preserve"> PAGE  \* MERGEFORMAT </w:instrText>
    </w:r>
    <w:r w:rsidRPr="00AF7F97">
      <w:fldChar w:fldCharType="separate"/>
    </w:r>
    <w:r w:rsidRPr="00AF7F97">
      <w:rPr>
        <w:noProof/>
      </w:rPr>
      <w:t>2</w:t>
    </w:r>
    <w:r w:rsidRPr="00AF7F97">
      <w:fldChar w:fldCharType="end"/>
    </w:r>
    <w:r w:rsidRPr="00AF7F97">
      <w:t>/</w:t>
    </w:r>
    <w:fldSimple w:instr=" NUMPAGES  \* MERGEFORMAT ">
      <w:r w:rsidRPr="00AF7F97">
        <w:rPr>
          <w:noProof/>
        </w:rPr>
        <w:t>9</w:t>
      </w:r>
    </w:fldSimple>
    <w:r w:rsidRPr="00AF7F97">
      <w:tab/>
    </w:r>
    <w:r w:rsidRPr="00AF7F97">
      <w:rPr>
        <w:rStyle w:val="HideTWBExt"/>
      </w:rPr>
      <w:t>&lt;PathFdR&gt;</w:t>
    </w:r>
    <w:r w:rsidRPr="00AF7F97">
      <w:t>PR\1336685PL.docx</w:t>
    </w:r>
    <w:r w:rsidRPr="00AF7F97">
      <w:rPr>
        <w:rStyle w:val="HideTWBExt"/>
      </w:rPr>
      <w:t>&lt;/PathFdR&gt;</w:t>
    </w:r>
  </w:p>
  <w:p w14:paraId="5A005623" w14:textId="4CE03CEB" w:rsidR="00100069" w:rsidRPr="00AF7F97" w:rsidRDefault="00AF7F97" w:rsidP="00AF7F97">
    <w:pPr>
      <w:pStyle w:val="EPFooter2"/>
    </w:pPr>
    <w:r w:rsidRPr="00AF7F9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CE5B" w14:textId="77777777" w:rsidR="00AF7F97" w:rsidRPr="00AF7F97" w:rsidRDefault="00AF7F97" w:rsidP="00AF7F97">
    <w:pPr>
      <w:pStyle w:val="EPFooter"/>
    </w:pPr>
    <w:r w:rsidRPr="00AF7F97">
      <w:rPr>
        <w:rStyle w:val="HideTWBExt"/>
      </w:rPr>
      <w:t>&lt;PathFdR&gt;</w:t>
    </w:r>
    <w:r w:rsidRPr="00AF7F97">
      <w:t>PR\1336685PL.docx</w:t>
    </w:r>
    <w:r w:rsidRPr="00AF7F97">
      <w:rPr>
        <w:rStyle w:val="HideTWBExt"/>
      </w:rPr>
      <w:t>&lt;/PathFdR&gt;</w:t>
    </w:r>
    <w:r w:rsidRPr="00AF7F97">
      <w:tab/>
    </w:r>
    <w:r w:rsidRPr="00AF7F97">
      <w:fldChar w:fldCharType="begin"/>
    </w:r>
    <w:r w:rsidRPr="00AF7F97">
      <w:instrText xml:space="preserve"> PAGE  \* MERGEFORMAT </w:instrText>
    </w:r>
    <w:r w:rsidRPr="00AF7F97">
      <w:fldChar w:fldCharType="separate"/>
    </w:r>
    <w:r w:rsidRPr="00AF7F97">
      <w:rPr>
        <w:noProof/>
      </w:rPr>
      <w:t>9</w:t>
    </w:r>
    <w:r w:rsidRPr="00AF7F97">
      <w:fldChar w:fldCharType="end"/>
    </w:r>
    <w:r w:rsidRPr="00AF7F97">
      <w:t>/</w:t>
    </w:r>
    <w:fldSimple w:instr=" NUMPAGES  \* MERGEFORMAT ">
      <w:r w:rsidRPr="00AF7F97">
        <w:rPr>
          <w:noProof/>
        </w:rPr>
        <w:t>9</w:t>
      </w:r>
    </w:fldSimple>
    <w:r w:rsidRPr="00AF7F97">
      <w:tab/>
      <w:t>PE</w:t>
    </w:r>
    <w:r w:rsidRPr="00AF7F97">
      <w:rPr>
        <w:rStyle w:val="HideTWBExt"/>
      </w:rPr>
      <w:t>&lt;NoPE&gt;</w:t>
    </w:r>
    <w:r w:rsidRPr="00AF7F97">
      <w:t>784.259</w:t>
    </w:r>
    <w:r w:rsidRPr="00AF7F97">
      <w:rPr>
        <w:rStyle w:val="HideTWBExt"/>
      </w:rPr>
      <w:t>&lt;/NoPE&gt;&lt;Version&gt;</w:t>
    </w:r>
    <w:r w:rsidRPr="00AF7F97">
      <w:t>v01-00</w:t>
    </w:r>
    <w:r w:rsidRPr="00AF7F97">
      <w:rPr>
        <w:rStyle w:val="HideTWBExt"/>
      </w:rPr>
      <w:t>&lt;/Version&gt;</w:t>
    </w:r>
  </w:p>
  <w:p w14:paraId="26DF8929" w14:textId="74C800CA" w:rsidR="00100069" w:rsidRPr="00AF7F97" w:rsidRDefault="00AF7F97" w:rsidP="00AF7F97">
    <w:pPr>
      <w:pStyle w:val="EPFooter2"/>
    </w:pPr>
    <w:r w:rsidRPr="00AF7F97">
      <w:tab/>
    </w:r>
    <w:r w:rsidRPr="00AF7F97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A68FE" w14:textId="77777777" w:rsidR="00AF7F97" w:rsidRPr="00AF7F97" w:rsidRDefault="00AF7F97" w:rsidP="00AF7F97">
    <w:pPr>
      <w:pStyle w:val="EPFooter"/>
    </w:pPr>
    <w:r w:rsidRPr="00AF7F97">
      <w:rPr>
        <w:rStyle w:val="HideTWBExt"/>
      </w:rPr>
      <w:t>&lt;PathFdR&gt;</w:t>
    </w:r>
    <w:r w:rsidRPr="00AF7F97">
      <w:t>PR\1336685PL.docx</w:t>
    </w:r>
    <w:r w:rsidRPr="00AF7F97">
      <w:rPr>
        <w:rStyle w:val="HideTWBExt"/>
      </w:rPr>
      <w:t>&lt;/PathFdR&gt;</w:t>
    </w:r>
    <w:r w:rsidRPr="00AF7F97">
      <w:tab/>
    </w:r>
    <w:r w:rsidRPr="00AF7F97">
      <w:tab/>
      <w:t>PE</w:t>
    </w:r>
    <w:r w:rsidRPr="00AF7F97">
      <w:rPr>
        <w:rStyle w:val="HideTWBExt"/>
      </w:rPr>
      <w:t>&lt;NoPE&gt;</w:t>
    </w:r>
    <w:r w:rsidRPr="00AF7F97">
      <w:t>784.259</w:t>
    </w:r>
    <w:r w:rsidRPr="00AF7F97">
      <w:rPr>
        <w:rStyle w:val="HideTWBExt"/>
      </w:rPr>
      <w:t>&lt;/NoPE&gt;&lt;Version&gt;</w:t>
    </w:r>
    <w:r w:rsidRPr="00AF7F97">
      <w:t>v01-00</w:t>
    </w:r>
    <w:r w:rsidRPr="00AF7F97">
      <w:rPr>
        <w:rStyle w:val="HideTWBExt"/>
      </w:rPr>
      <w:t>&lt;/Version&gt;</w:t>
    </w:r>
  </w:p>
  <w:p w14:paraId="44318657" w14:textId="639FBB83" w:rsidR="00100069" w:rsidRPr="00AF7F97" w:rsidRDefault="00AF7F97" w:rsidP="00AF7F97">
    <w:pPr>
      <w:pStyle w:val="EPFooter2"/>
    </w:pPr>
    <w:r w:rsidRPr="00AF7F97">
      <w:t>PL</w:t>
    </w:r>
    <w:r w:rsidRPr="00AF7F97">
      <w:tab/>
    </w:r>
    <w:r w:rsidRPr="00AF7F97">
      <w:rPr>
        <w:b w:val="0"/>
        <w:i/>
        <w:color w:val="C0C0C0"/>
        <w:sz w:val="22"/>
      </w:rPr>
      <w:t>Zjednoczona w różnorodności</w:t>
    </w:r>
    <w:r w:rsidRPr="00AF7F97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C8433" w14:textId="77777777" w:rsidR="003513CB" w:rsidRPr="00AF7F97" w:rsidRDefault="003513CB">
      <w:r w:rsidRPr="00AF7F97">
        <w:separator/>
      </w:r>
    </w:p>
  </w:footnote>
  <w:footnote w:type="continuationSeparator" w:id="0">
    <w:p w14:paraId="0BCFADF6" w14:textId="77777777" w:rsidR="003513CB" w:rsidRPr="00AF7F97" w:rsidRDefault="003513CB">
      <w:r w:rsidRPr="00AF7F97">
        <w:continuationSeparator/>
      </w:r>
    </w:p>
  </w:footnote>
  <w:footnote w:id="1">
    <w:p w14:paraId="52C24840" w14:textId="26C9CD32" w:rsidR="00CB156F" w:rsidRPr="00AF7F97" w:rsidRDefault="00CB156F" w:rsidP="00CB156F">
      <w:pPr>
        <w:pStyle w:val="FootnoteText"/>
      </w:pPr>
      <w:r w:rsidRPr="00AF7F97">
        <w:rPr>
          <w:rStyle w:val="FootnoteReference"/>
        </w:rPr>
        <w:footnoteRef/>
      </w:r>
      <w:r w:rsidRPr="00AF7F97">
        <w:rPr>
          <w:rStyle w:val="FootnoteReference"/>
        </w:rPr>
        <w:t xml:space="preserve"> </w:t>
      </w:r>
      <w:r w:rsidRPr="00AF7F97">
        <w:t xml:space="preserve">Dz.U. L 107 z 28.4.2009, s. 166, ELI: </w:t>
      </w:r>
      <w:hyperlink r:id="rId1" w:tooltip="Dostęp do dokumentu poprzez identyfikator URI w systemie ELI." w:history="1">
        <w:r w:rsidRPr="00AF7F97">
          <w:t>http://data.europa.eu/eli/agree_internation/2009/332/oj</w:t>
        </w:r>
      </w:hyperlink>
      <w:r w:rsidRPr="00AF7F97">
        <w:t>.</w:t>
      </w:r>
    </w:p>
  </w:footnote>
  <w:footnote w:id="2">
    <w:p w14:paraId="025A9858" w14:textId="55389F7D" w:rsidR="00CB156F" w:rsidRPr="00AF7F97" w:rsidRDefault="00CB156F" w:rsidP="00CB156F">
      <w:pPr>
        <w:pStyle w:val="FootnoteText"/>
      </w:pPr>
      <w:r w:rsidRPr="00AF7F97">
        <w:rPr>
          <w:rStyle w:val="FootnoteReference"/>
        </w:rPr>
        <w:footnoteRef/>
      </w:r>
      <w:r w:rsidRPr="00AF7F97">
        <w:rPr>
          <w:rStyle w:val="FootnoteReference"/>
        </w:rPr>
        <w:t xml:space="preserve"> </w:t>
      </w:r>
      <w:r w:rsidRPr="00AF7F97">
        <w:t xml:space="preserve">Dz.U. L 330 z 20.9.2021, s. 1, ELI: </w:t>
      </w:r>
      <w:hyperlink r:id="rId2" w:tooltip="Dostęp do dokumentu poprzez identyfikator URI w systemie ELI." w:history="1">
        <w:r w:rsidRPr="00AF7F97">
          <w:t>http://data.europa.eu/eli/reg/2021/1529/oj</w:t>
        </w:r>
      </w:hyperlink>
      <w:r w:rsidRPr="00AF7F97">
        <w:t>.</w:t>
      </w:r>
    </w:p>
  </w:footnote>
  <w:footnote w:id="3">
    <w:p w14:paraId="68931A52" w14:textId="00A47CF9" w:rsidR="00CB156F" w:rsidRPr="00AF7F97" w:rsidRDefault="00CB156F" w:rsidP="00CB156F">
      <w:pPr>
        <w:pStyle w:val="FootnoteText"/>
      </w:pPr>
      <w:r w:rsidRPr="00AF7F97">
        <w:rPr>
          <w:rStyle w:val="FootnoteReference"/>
        </w:rPr>
        <w:footnoteRef/>
      </w:r>
      <w:r w:rsidRPr="00AF7F97">
        <w:rPr>
          <w:rStyle w:val="FootnoteReference"/>
        </w:rPr>
        <w:t xml:space="preserve"> </w:t>
      </w:r>
      <w:r w:rsidRPr="00AF7F97">
        <w:t xml:space="preserve">Dz.U. L, 2024/1449, 24.5.2024, ELI: </w:t>
      </w:r>
      <w:hyperlink r:id="rId3" w:tgtFrame="_blank" w:tooltip="Dostęp do dokumentu poprzez identyfikator URI w systemie ELI." w:history="1">
        <w:r w:rsidRPr="00AF7F97">
          <w:t>http://data.europa.eu/eli/reg/2024/1449/oj</w:t>
        </w:r>
      </w:hyperlink>
      <w:r w:rsidRPr="00AF7F97">
        <w:t>.</w:t>
      </w:r>
    </w:p>
  </w:footnote>
  <w:footnote w:id="4">
    <w:p w14:paraId="77998AD3" w14:textId="5E370D38" w:rsidR="0066499D" w:rsidRPr="00AF7F97" w:rsidRDefault="0066499D">
      <w:pPr>
        <w:pStyle w:val="FootnoteText"/>
      </w:pPr>
      <w:r w:rsidRPr="00AF7F97">
        <w:rPr>
          <w:rStyle w:val="FootnoteReference"/>
        </w:rPr>
        <w:footnoteRef/>
      </w:r>
      <w:r w:rsidRPr="00AF7F97">
        <w:t xml:space="preserve"> Porozumienie międzyinstytucjonalne z 20 maja 2021 r. pomiędzy Parlamentem Europejskim, Radą Unii Europejskiej i Komisją Europejską w sprawie obowiązkowego rejestru służącego przejrzystości (Dz.U. L 207 z 11.6.2021, s. 1, ELI: </w:t>
      </w:r>
      <w:hyperlink r:id="rId4" w:history="1">
        <w:r w:rsidRPr="00AF7F97">
          <w:rPr>
            <w:rStyle w:val="Hyperlink"/>
            <w:sz w:val="24"/>
          </w:rPr>
          <w:t>http://data.europa.eu/eli/agree_interinstit/2021/611/oj</w:t>
        </w:r>
      </w:hyperlink>
      <w:r w:rsidRPr="00AF7F97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96E50" w14:textId="77777777" w:rsidR="0031151E" w:rsidRDefault="003115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C1B92" w14:textId="77777777" w:rsidR="0031151E" w:rsidRDefault="003115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F78E3" w14:textId="77777777" w:rsidR="0031151E" w:rsidRDefault="003115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0301641">
    <w:abstractNumId w:val="9"/>
  </w:num>
  <w:num w:numId="2" w16cid:durableId="744954804">
    <w:abstractNumId w:val="9"/>
  </w:num>
  <w:num w:numId="3" w16cid:durableId="573514970">
    <w:abstractNumId w:val="7"/>
  </w:num>
  <w:num w:numId="4" w16cid:durableId="1424719724">
    <w:abstractNumId w:val="7"/>
  </w:num>
  <w:num w:numId="5" w16cid:durableId="904492199">
    <w:abstractNumId w:val="6"/>
  </w:num>
  <w:num w:numId="6" w16cid:durableId="1288588621">
    <w:abstractNumId w:val="6"/>
  </w:num>
  <w:num w:numId="7" w16cid:durableId="1368800594">
    <w:abstractNumId w:val="5"/>
  </w:num>
  <w:num w:numId="8" w16cid:durableId="1875726184">
    <w:abstractNumId w:val="5"/>
  </w:num>
  <w:num w:numId="9" w16cid:durableId="1071460742">
    <w:abstractNumId w:val="4"/>
  </w:num>
  <w:num w:numId="10" w16cid:durableId="1825929590">
    <w:abstractNumId w:val="4"/>
  </w:num>
  <w:num w:numId="11" w16cid:durableId="276446960">
    <w:abstractNumId w:val="8"/>
  </w:num>
  <w:num w:numId="12" w16cid:durableId="896285429">
    <w:abstractNumId w:val="8"/>
  </w:num>
  <w:num w:numId="13" w16cid:durableId="1064716967">
    <w:abstractNumId w:val="3"/>
  </w:num>
  <w:num w:numId="14" w16cid:durableId="1167672469">
    <w:abstractNumId w:val="3"/>
  </w:num>
  <w:num w:numId="15" w16cid:durableId="1752848772">
    <w:abstractNumId w:val="2"/>
  </w:num>
  <w:num w:numId="16" w16cid:durableId="832376162">
    <w:abstractNumId w:val="2"/>
  </w:num>
  <w:num w:numId="17" w16cid:durableId="2090687925">
    <w:abstractNumId w:val="1"/>
  </w:num>
  <w:num w:numId="18" w16cid:durableId="1658534123">
    <w:abstractNumId w:val="1"/>
  </w:num>
  <w:num w:numId="19" w16cid:durableId="350038388">
    <w:abstractNumId w:val="0"/>
  </w:num>
  <w:num w:numId="20" w16cid:durableId="1145003446">
    <w:abstractNumId w:val="0"/>
  </w:num>
  <w:num w:numId="21" w16cid:durableId="2084447131">
    <w:abstractNumId w:val="9"/>
  </w:num>
  <w:num w:numId="22" w16cid:durableId="1947106235">
    <w:abstractNumId w:val="7"/>
  </w:num>
  <w:num w:numId="23" w16cid:durableId="1230270643">
    <w:abstractNumId w:val="6"/>
  </w:num>
  <w:num w:numId="24" w16cid:durableId="1280573652">
    <w:abstractNumId w:val="5"/>
  </w:num>
  <w:num w:numId="25" w16cid:durableId="672340647">
    <w:abstractNumId w:val="4"/>
  </w:num>
  <w:num w:numId="26" w16cid:durableId="948857411">
    <w:abstractNumId w:val="8"/>
  </w:num>
  <w:num w:numId="27" w16cid:durableId="548417900">
    <w:abstractNumId w:val="3"/>
  </w:num>
  <w:num w:numId="28" w16cid:durableId="1478104577">
    <w:abstractNumId w:val="2"/>
  </w:num>
  <w:num w:numId="29" w16cid:durableId="1654723136">
    <w:abstractNumId w:val="1"/>
  </w:num>
  <w:num w:numId="30" w16cid:durableId="1030111042">
    <w:abstractNumId w:val="0"/>
  </w:num>
  <w:num w:numId="31" w16cid:durableId="139159000">
    <w:abstractNumId w:val="9"/>
  </w:num>
  <w:num w:numId="32" w16cid:durableId="1914967199">
    <w:abstractNumId w:val="7"/>
  </w:num>
  <w:num w:numId="33" w16cid:durableId="115568470">
    <w:abstractNumId w:val="6"/>
  </w:num>
  <w:num w:numId="34" w16cid:durableId="1718235063">
    <w:abstractNumId w:val="5"/>
  </w:num>
  <w:num w:numId="35" w16cid:durableId="252128135">
    <w:abstractNumId w:val="4"/>
  </w:num>
  <w:num w:numId="36" w16cid:durableId="1310330310">
    <w:abstractNumId w:val="8"/>
  </w:num>
  <w:num w:numId="37" w16cid:durableId="254870599">
    <w:abstractNumId w:val="3"/>
  </w:num>
  <w:num w:numId="38" w16cid:durableId="27950049">
    <w:abstractNumId w:val="2"/>
  </w:num>
  <w:num w:numId="39" w16cid:durableId="1701857849">
    <w:abstractNumId w:val="1"/>
  </w:num>
  <w:num w:numId="40" w16cid:durableId="173974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PMNU" w:val=" 1"/>
    <w:docVar w:name="COMKEY" w:val="AFET"/>
    <w:docVar w:name="CONTRIBUTIONMNU" w:val=" 1"/>
    <w:docVar w:name="DOCDT" w:val="04/02/2026"/>
    <w:docVar w:name="LastEditedSection" w:val=" 1"/>
    <w:docVar w:name="MOTIONMNU" w:val=" 1"/>
    <w:docVar w:name="NROJ" w:val=" 2"/>
    <w:docVar w:name="NVAR1" w:val="0"/>
    <w:docVar w:name="RULEMNU" w:val=" 1"/>
    <w:docVar w:name="strDocTypeID" w:val="PR_INI"/>
    <w:docVar w:name="strSubDir" w:val="1336"/>
    <w:docVar w:name="TITLEMNU" w:val=" 1"/>
    <w:docVar w:name="TXTAUTHOR" w:val="Andreas Schieder"/>
    <w:docVar w:name="TXTLANGUE" w:val="EN"/>
    <w:docVar w:name="TXTLANGUEMIN" w:val="en"/>
    <w:docVar w:name="TXTNRINI" w:val="2025/2250"/>
    <w:docVar w:name="TXTNRPE" w:val="784.259"/>
    <w:docVar w:name="TXTPEorAP" w:val="PE"/>
    <w:docVar w:name="TXTROUTE" w:val="PR\1336685EN.docx"/>
    <w:docVar w:name="TXTTITLE" w:val="the 2025 Commission report on Albania"/>
    <w:docVar w:name="TXTVERSION" w:val="01-00"/>
  </w:docVars>
  <w:rsids>
    <w:rsidRoot w:val="003513CB"/>
    <w:rsid w:val="00025465"/>
    <w:rsid w:val="00040EAC"/>
    <w:rsid w:val="0007541B"/>
    <w:rsid w:val="00082B37"/>
    <w:rsid w:val="000D2631"/>
    <w:rsid w:val="000F1324"/>
    <w:rsid w:val="00100069"/>
    <w:rsid w:val="001046B1"/>
    <w:rsid w:val="00105C44"/>
    <w:rsid w:val="00112484"/>
    <w:rsid w:val="001B207D"/>
    <w:rsid w:val="0023245A"/>
    <w:rsid w:val="00252C76"/>
    <w:rsid w:val="002544DF"/>
    <w:rsid w:val="00276B35"/>
    <w:rsid w:val="0031151E"/>
    <w:rsid w:val="00335F69"/>
    <w:rsid w:val="003513CB"/>
    <w:rsid w:val="00351EDF"/>
    <w:rsid w:val="00392A26"/>
    <w:rsid w:val="00395A66"/>
    <w:rsid w:val="003E4507"/>
    <w:rsid w:val="003E6413"/>
    <w:rsid w:val="004016B4"/>
    <w:rsid w:val="004200B3"/>
    <w:rsid w:val="00432B50"/>
    <w:rsid w:val="004478E1"/>
    <w:rsid w:val="00454E1B"/>
    <w:rsid w:val="00455003"/>
    <w:rsid w:val="00466A1A"/>
    <w:rsid w:val="004B1B5F"/>
    <w:rsid w:val="005178FF"/>
    <w:rsid w:val="00531F4C"/>
    <w:rsid w:val="00556373"/>
    <w:rsid w:val="00584A07"/>
    <w:rsid w:val="005B2DCF"/>
    <w:rsid w:val="005F1DAA"/>
    <w:rsid w:val="00614C55"/>
    <w:rsid w:val="006272CD"/>
    <w:rsid w:val="00660CEF"/>
    <w:rsid w:val="0066499D"/>
    <w:rsid w:val="00685E62"/>
    <w:rsid w:val="00705D44"/>
    <w:rsid w:val="00726C82"/>
    <w:rsid w:val="00753CC4"/>
    <w:rsid w:val="007963C6"/>
    <w:rsid w:val="00820F0A"/>
    <w:rsid w:val="00865656"/>
    <w:rsid w:val="008C4C65"/>
    <w:rsid w:val="0090583E"/>
    <w:rsid w:val="0095536F"/>
    <w:rsid w:val="00956282"/>
    <w:rsid w:val="00996AC6"/>
    <w:rsid w:val="009E4ABB"/>
    <w:rsid w:val="00A45202"/>
    <w:rsid w:val="00AF310F"/>
    <w:rsid w:val="00AF7F97"/>
    <w:rsid w:val="00B17532"/>
    <w:rsid w:val="00BA2A57"/>
    <w:rsid w:val="00BA5076"/>
    <w:rsid w:val="00BB70F1"/>
    <w:rsid w:val="00BC7C60"/>
    <w:rsid w:val="00C00074"/>
    <w:rsid w:val="00C21C5F"/>
    <w:rsid w:val="00C93A60"/>
    <w:rsid w:val="00CB156F"/>
    <w:rsid w:val="00CD3E8A"/>
    <w:rsid w:val="00D31D25"/>
    <w:rsid w:val="00D47BB0"/>
    <w:rsid w:val="00D7244F"/>
    <w:rsid w:val="00DB4680"/>
    <w:rsid w:val="00DD7B9D"/>
    <w:rsid w:val="00DE14C7"/>
    <w:rsid w:val="00E155CA"/>
    <w:rsid w:val="00E3537C"/>
    <w:rsid w:val="00E61690"/>
    <w:rsid w:val="00F076A5"/>
    <w:rsid w:val="00F3651F"/>
    <w:rsid w:val="00F714A9"/>
    <w:rsid w:val="00FB717E"/>
    <w:rsid w:val="00FD3897"/>
    <w:rsid w:val="00FD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2890E"/>
  <w15:chartTrackingRefBased/>
  <w15:docId w15:val="{A91AE142-A048-4427-A9D6-9B2318AF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customStyle="1" w:styleId="Normal12a">
    <w:name w:val="Normal12a"/>
    <w:basedOn w:val="Normal"/>
    <w:rsid w:val="00276B35"/>
    <w:pPr>
      <w:spacing w:after="240"/>
    </w:pPr>
  </w:style>
  <w:style w:type="paragraph" w:customStyle="1" w:styleId="CoverNormal12a">
    <w:name w:val="CoverNormal12a"/>
    <w:basedOn w:val="Normal"/>
    <w:rsid w:val="00C21C5F"/>
    <w:pPr>
      <w:spacing w:after="240"/>
      <w:ind w:left="1418"/>
    </w:pPr>
  </w:style>
  <w:style w:type="paragraph" w:styleId="FootnoteText">
    <w:name w:val="footnote text"/>
    <w:basedOn w:val="Normal"/>
    <w:link w:val="FootnoteTextChar"/>
    <w:rsid w:val="00660CE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60CEF"/>
  </w:style>
  <w:style w:type="character" w:styleId="FootnoteReference">
    <w:name w:val="footnote reference"/>
    <w:basedOn w:val="DefaultParagraphFont"/>
    <w:rsid w:val="00660CEF"/>
    <w:rPr>
      <w:vertAlign w:val="superscript"/>
    </w:rPr>
  </w:style>
  <w:style w:type="character" w:styleId="Hyperlink">
    <w:name w:val="Hyperlink"/>
    <w:basedOn w:val="DefaultParagraphFont"/>
    <w:unhideWhenUsed/>
    <w:rsid w:val="00660CE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6499D"/>
    <w:rPr>
      <w:sz w:val="24"/>
    </w:rPr>
  </w:style>
  <w:style w:type="paragraph" w:customStyle="1" w:styleId="Normal24a">
    <w:name w:val="Normal24a"/>
    <w:basedOn w:val="Normal"/>
    <w:rsid w:val="0066499D"/>
    <w:pPr>
      <w:spacing w:after="480"/>
    </w:pPr>
  </w:style>
  <w:style w:type="paragraph" w:customStyle="1" w:styleId="NormalBoldCenter">
    <w:name w:val="NormalBoldCenter"/>
    <w:basedOn w:val="Normal"/>
    <w:rsid w:val="0066499D"/>
    <w:pPr>
      <w:jc w:val="center"/>
    </w:pPr>
    <w:rPr>
      <w:b/>
    </w:rPr>
  </w:style>
  <w:style w:type="paragraph" w:customStyle="1" w:styleId="Footprint12b">
    <w:name w:val="Footprint12b"/>
    <w:basedOn w:val="Normal"/>
    <w:rsid w:val="0066499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6499D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6499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685E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85E6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europarl.europa.eu/data-protect/index.do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09/332/oj" TargetMode="External"/><Relationship Id="rId4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1828</Words>
  <Characters>12747</Characters>
  <Application>Microsoft Office Word</Application>
  <DocSecurity>0</DocSecurity>
  <Lines>245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14473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subject/>
  <dc:creator>TENGELIDOU Gesthimani</dc:creator>
  <cp:keywords/>
  <dc:description/>
  <cp:lastModifiedBy>WIERTLEWSKA Maria</cp:lastModifiedBy>
  <cp:revision>2</cp:revision>
  <cp:lastPrinted>2026-02-16T09:10:00Z</cp:lastPrinted>
  <dcterms:created xsi:type="dcterms:W3CDTF">2026-03-03T08:39:00Z</dcterms:created>
  <dcterms:modified xsi:type="dcterms:W3CDTF">2026-03-03T08:39:00Z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1336685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\\eiciBRUpr1\pdocep$\DocEP\DOCS\General\PR\PR_NonLeg\INI\PR_INI.dotx(18/02/2025 08:53:03)</vt:lpwstr>
  </property>
  <property fmtid="{D5CDD505-2E9C-101B-9397-08002B2CF9AE}" pid="8" name="&lt;ModelTra&gt;">
    <vt:lpwstr>\\eiciBRUpr1\pdocep$\DocEP\TRANSFIL\EN\PR_INI.EN(18/02/2025 08:54:04)</vt:lpwstr>
  </property>
  <property fmtid="{D5CDD505-2E9C-101B-9397-08002B2CF9AE}" pid="9" name="&lt;Model&gt;">
    <vt:lpwstr>PR_INI</vt:lpwstr>
  </property>
  <property fmtid="{D5CDD505-2E9C-101B-9397-08002B2CF9AE}" pid="10" name="FooterPath">
    <vt:lpwstr>PR\1336685PL.docx</vt:lpwstr>
  </property>
  <property fmtid="{D5CDD505-2E9C-101B-9397-08002B2CF9AE}" pid="11" name="PE number">
    <vt:lpwstr>784.259</vt:lpwstr>
  </property>
  <property fmtid="{D5CDD505-2E9C-101B-9397-08002B2CF9AE}" pid="12" name="SendToEpades">
    <vt:lpwstr>OK - 2026/02/16 10:24</vt:lpwstr>
  </property>
  <property fmtid="{D5CDD505-2E9C-101B-9397-08002B2CF9AE}" pid="13" name="Bookout">
    <vt:lpwstr>OK - 2026/03/03 09:39</vt:lpwstr>
  </property>
  <property fmtid="{D5CDD505-2E9C-101B-9397-08002B2CF9AE}" pid="14" name="SDLStudio">
    <vt:lpwstr/>
  </property>
</Properties>
</file>